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66FCE2">
      <w:pPr>
        <w:spacing w:line="360" w:lineRule="auto"/>
        <w:jc w:val="center"/>
        <w:rPr>
          <w:b/>
          <w:color w:val="auto"/>
          <w:sz w:val="28"/>
          <w:szCs w:val="28"/>
        </w:rPr>
      </w:pPr>
      <w:bookmarkStart w:id="0" w:name="_Toc509323947"/>
    </w:p>
    <w:p w14:paraId="0C801561">
      <w:pPr>
        <w:spacing w:line="360" w:lineRule="auto"/>
        <w:jc w:val="center"/>
        <w:rPr>
          <w:b/>
          <w:color w:val="auto"/>
          <w:sz w:val="28"/>
          <w:szCs w:val="28"/>
        </w:rPr>
      </w:pPr>
    </w:p>
    <w:p w14:paraId="0A935C63">
      <w:pPr>
        <w:spacing w:line="360" w:lineRule="auto"/>
        <w:jc w:val="center"/>
        <w:rPr>
          <w:b/>
          <w:color w:val="auto"/>
          <w:sz w:val="28"/>
          <w:szCs w:val="28"/>
        </w:rPr>
      </w:pPr>
    </w:p>
    <w:p w14:paraId="27CD39D5">
      <w:pPr>
        <w:spacing w:line="360" w:lineRule="auto"/>
        <w:jc w:val="center"/>
        <w:rPr>
          <w:b/>
          <w:color w:val="auto"/>
          <w:sz w:val="28"/>
          <w:szCs w:val="28"/>
        </w:rPr>
      </w:pPr>
    </w:p>
    <w:p w14:paraId="59CA53DE">
      <w:pPr>
        <w:pStyle w:val="50"/>
      </w:pPr>
    </w:p>
    <w:p w14:paraId="664BF6CF">
      <w:pPr>
        <w:pStyle w:val="36"/>
        <w:rPr>
          <w:color w:val="auto"/>
        </w:rPr>
      </w:pPr>
    </w:p>
    <w:p w14:paraId="2AF5FCF7">
      <w:pPr>
        <w:spacing w:line="360" w:lineRule="auto"/>
        <w:ind w:left="883" w:hanging="883" w:hangingChars="200"/>
        <w:jc w:val="center"/>
        <w:outlineLvl w:val="9"/>
        <w:rPr>
          <w:rFonts w:ascii="Times New Roman" w:hAnsi="Times New Roman" w:eastAsia="宋体" w:cs="Times New Roman"/>
          <w:b/>
          <w:color w:val="auto"/>
          <w:sz w:val="44"/>
          <w:szCs w:val="44"/>
        </w:rPr>
      </w:pPr>
      <w:bookmarkStart w:id="1" w:name="_Toc24982"/>
      <w:bookmarkStart w:id="2" w:name="_Toc7330"/>
      <w:r>
        <w:rPr>
          <w:rFonts w:hint="eastAsia" w:ascii="Times New Roman" w:hAnsi="Times New Roman" w:eastAsia="宋体" w:cs="Times New Roman"/>
          <w:b/>
          <w:color w:val="auto"/>
          <w:sz w:val="44"/>
          <w:szCs w:val="44"/>
          <w:lang w:val="en-US" w:eastAsia="zh-CN"/>
        </w:rPr>
        <w:t>南通众隆纺织科技有限公司</w:t>
      </w:r>
      <w:bookmarkEnd w:id="1"/>
      <w:bookmarkEnd w:id="2"/>
    </w:p>
    <w:p w14:paraId="558B21A2">
      <w:pPr>
        <w:spacing w:line="360" w:lineRule="auto"/>
        <w:ind w:left="883" w:hanging="883" w:hangingChars="200"/>
        <w:jc w:val="center"/>
        <w:outlineLvl w:val="9"/>
        <w:rPr>
          <w:b/>
          <w:color w:val="auto"/>
          <w:sz w:val="28"/>
          <w:szCs w:val="28"/>
        </w:rPr>
      </w:pPr>
      <w:bookmarkStart w:id="3" w:name="_Toc11389"/>
      <w:bookmarkStart w:id="4" w:name="_Toc2617"/>
      <w:r>
        <w:rPr>
          <w:rFonts w:hint="eastAsia" w:ascii="Times New Roman" w:hAnsi="Times New Roman" w:eastAsia="宋体" w:cs="Times New Roman"/>
          <w:b/>
          <w:color w:val="auto"/>
          <w:sz w:val="44"/>
          <w:szCs w:val="44"/>
          <w:lang w:val="en-US" w:eastAsia="zh-CN"/>
        </w:rPr>
        <w:t>年加工1000万米文体用布（桌球布）项目</w:t>
      </w:r>
      <w:bookmarkEnd w:id="3"/>
      <w:bookmarkEnd w:id="4"/>
    </w:p>
    <w:p w14:paraId="50B6C6BA">
      <w:pPr>
        <w:spacing w:line="360" w:lineRule="auto"/>
        <w:ind w:left="883" w:hanging="883" w:hangingChars="200"/>
        <w:jc w:val="center"/>
        <w:outlineLvl w:val="9"/>
        <w:rPr>
          <w:rFonts w:hint="eastAsia" w:ascii="Times New Roman" w:hAnsi="Times New Roman" w:eastAsia="宋体" w:cs="Times New Roman"/>
          <w:b/>
          <w:color w:val="auto"/>
          <w:sz w:val="44"/>
          <w:szCs w:val="44"/>
          <w:lang w:val="en-US" w:eastAsia="zh-CN"/>
        </w:rPr>
      </w:pPr>
      <w:bookmarkStart w:id="5" w:name="_Toc18041"/>
      <w:bookmarkStart w:id="6" w:name="_Toc25311"/>
      <w:r>
        <w:rPr>
          <w:rFonts w:hint="eastAsia" w:ascii="Times New Roman" w:hAnsi="Times New Roman" w:eastAsia="宋体" w:cs="Times New Roman"/>
          <w:b/>
          <w:color w:val="auto"/>
          <w:sz w:val="44"/>
          <w:szCs w:val="44"/>
          <w:lang w:val="en-US" w:eastAsia="zh-CN"/>
        </w:rPr>
        <w:t>大气环境影响专项评价</w:t>
      </w:r>
      <w:bookmarkEnd w:id="5"/>
      <w:bookmarkEnd w:id="6"/>
    </w:p>
    <w:p w14:paraId="2591094B">
      <w:pPr>
        <w:spacing w:line="360" w:lineRule="auto"/>
        <w:jc w:val="center"/>
        <w:outlineLvl w:val="9"/>
        <w:rPr>
          <w:b/>
          <w:color w:val="auto"/>
          <w:sz w:val="24"/>
        </w:rPr>
      </w:pPr>
    </w:p>
    <w:p w14:paraId="31540D15">
      <w:pPr>
        <w:spacing w:line="360" w:lineRule="auto"/>
        <w:ind w:firstLine="480" w:firstLineChars="200"/>
        <w:outlineLvl w:val="9"/>
        <w:rPr>
          <w:color w:val="auto"/>
          <w:sz w:val="24"/>
        </w:rPr>
      </w:pPr>
    </w:p>
    <w:p w14:paraId="3A894511">
      <w:pPr>
        <w:spacing w:line="360" w:lineRule="auto"/>
        <w:ind w:firstLine="480" w:firstLineChars="200"/>
        <w:outlineLvl w:val="9"/>
        <w:rPr>
          <w:color w:val="auto"/>
          <w:sz w:val="24"/>
        </w:rPr>
      </w:pPr>
    </w:p>
    <w:p w14:paraId="50618749">
      <w:pPr>
        <w:spacing w:line="360" w:lineRule="auto"/>
        <w:ind w:firstLine="480" w:firstLineChars="200"/>
        <w:outlineLvl w:val="9"/>
        <w:rPr>
          <w:color w:val="auto"/>
          <w:sz w:val="24"/>
        </w:rPr>
      </w:pPr>
    </w:p>
    <w:p w14:paraId="0388B5C1">
      <w:pPr>
        <w:spacing w:line="360" w:lineRule="auto"/>
        <w:ind w:firstLine="480" w:firstLineChars="200"/>
        <w:outlineLvl w:val="9"/>
        <w:rPr>
          <w:color w:val="auto"/>
          <w:sz w:val="24"/>
        </w:rPr>
      </w:pPr>
    </w:p>
    <w:p w14:paraId="57D6CACD">
      <w:pPr>
        <w:spacing w:line="360" w:lineRule="auto"/>
        <w:ind w:firstLine="480" w:firstLineChars="200"/>
        <w:outlineLvl w:val="9"/>
        <w:rPr>
          <w:color w:val="auto"/>
          <w:sz w:val="24"/>
        </w:rPr>
      </w:pPr>
    </w:p>
    <w:p w14:paraId="051FBE82">
      <w:pPr>
        <w:spacing w:line="360" w:lineRule="auto"/>
        <w:ind w:firstLine="480" w:firstLineChars="200"/>
        <w:outlineLvl w:val="9"/>
        <w:rPr>
          <w:color w:val="auto"/>
          <w:sz w:val="24"/>
        </w:rPr>
      </w:pPr>
    </w:p>
    <w:p w14:paraId="68FDE0D5">
      <w:pPr>
        <w:spacing w:line="360" w:lineRule="auto"/>
        <w:ind w:firstLine="480" w:firstLineChars="200"/>
        <w:outlineLvl w:val="9"/>
        <w:rPr>
          <w:color w:val="auto"/>
          <w:sz w:val="24"/>
        </w:rPr>
      </w:pPr>
    </w:p>
    <w:p w14:paraId="57083200">
      <w:pPr>
        <w:spacing w:line="360" w:lineRule="auto"/>
        <w:ind w:firstLine="480" w:firstLineChars="200"/>
        <w:outlineLvl w:val="9"/>
        <w:rPr>
          <w:color w:val="auto"/>
          <w:sz w:val="24"/>
        </w:rPr>
      </w:pPr>
    </w:p>
    <w:p w14:paraId="34E256A4">
      <w:pPr>
        <w:spacing w:line="360" w:lineRule="auto"/>
        <w:ind w:firstLine="480" w:firstLineChars="200"/>
        <w:outlineLvl w:val="9"/>
        <w:rPr>
          <w:color w:val="auto"/>
          <w:sz w:val="24"/>
        </w:rPr>
      </w:pPr>
    </w:p>
    <w:p w14:paraId="377FD0DF">
      <w:pPr>
        <w:spacing w:line="360" w:lineRule="auto"/>
        <w:ind w:firstLine="480" w:firstLineChars="200"/>
        <w:outlineLvl w:val="9"/>
        <w:rPr>
          <w:color w:val="auto"/>
          <w:sz w:val="24"/>
        </w:rPr>
      </w:pPr>
    </w:p>
    <w:p w14:paraId="3029E0E2">
      <w:pPr>
        <w:spacing w:line="360" w:lineRule="auto"/>
        <w:ind w:firstLine="480" w:firstLineChars="200"/>
        <w:outlineLvl w:val="9"/>
        <w:rPr>
          <w:color w:val="auto"/>
          <w:sz w:val="24"/>
        </w:rPr>
      </w:pPr>
    </w:p>
    <w:p w14:paraId="551F6E36">
      <w:pPr>
        <w:spacing w:line="360" w:lineRule="auto"/>
        <w:ind w:firstLine="480" w:firstLineChars="200"/>
        <w:outlineLvl w:val="9"/>
        <w:rPr>
          <w:color w:val="auto"/>
          <w:sz w:val="24"/>
        </w:rPr>
      </w:pPr>
    </w:p>
    <w:p w14:paraId="149DCB14">
      <w:pPr>
        <w:spacing w:line="360" w:lineRule="auto"/>
        <w:ind w:firstLine="480" w:firstLineChars="200"/>
        <w:outlineLvl w:val="9"/>
        <w:rPr>
          <w:color w:val="auto"/>
          <w:sz w:val="24"/>
        </w:rPr>
      </w:pPr>
    </w:p>
    <w:p w14:paraId="354217F0">
      <w:pPr>
        <w:spacing w:line="360" w:lineRule="auto"/>
        <w:ind w:firstLine="480" w:firstLineChars="200"/>
        <w:outlineLvl w:val="9"/>
        <w:rPr>
          <w:color w:val="auto"/>
          <w:sz w:val="24"/>
        </w:rPr>
      </w:pPr>
    </w:p>
    <w:p w14:paraId="469C5E59">
      <w:pPr>
        <w:spacing w:line="360" w:lineRule="auto"/>
        <w:ind w:firstLine="480" w:firstLineChars="200"/>
        <w:outlineLvl w:val="9"/>
        <w:rPr>
          <w:color w:val="auto"/>
          <w:sz w:val="24"/>
        </w:rPr>
      </w:pPr>
    </w:p>
    <w:p w14:paraId="3518D84B">
      <w:pPr>
        <w:spacing w:line="360" w:lineRule="auto"/>
        <w:ind w:firstLine="480" w:firstLineChars="200"/>
        <w:outlineLvl w:val="9"/>
        <w:rPr>
          <w:color w:val="auto"/>
          <w:sz w:val="24"/>
        </w:rPr>
      </w:pPr>
    </w:p>
    <w:p w14:paraId="5A26930B">
      <w:pPr>
        <w:spacing w:line="480" w:lineRule="auto"/>
        <w:jc w:val="center"/>
        <w:outlineLvl w:val="9"/>
        <w:rPr>
          <w:b/>
          <w:color w:val="auto"/>
          <w:sz w:val="28"/>
          <w:szCs w:val="28"/>
        </w:rPr>
      </w:pPr>
      <w:bookmarkStart w:id="7" w:name="_Toc30155"/>
      <w:bookmarkStart w:id="8" w:name="_Toc19883"/>
      <w:r>
        <w:rPr>
          <w:rFonts w:hint="eastAsia" w:ascii="Times New Roman" w:hAnsi="Times New Roman" w:eastAsia="宋体" w:cs="Times New Roman"/>
          <w:b/>
          <w:color w:val="auto"/>
          <w:sz w:val="28"/>
          <w:szCs w:val="28"/>
          <w:lang w:val="en-US" w:eastAsia="zh-CN"/>
        </w:rPr>
        <w:t>南通众隆纺织科技有限</w:t>
      </w:r>
      <w:r>
        <w:rPr>
          <w:rFonts w:hint="eastAsia"/>
          <w:b/>
          <w:color w:val="auto"/>
          <w:sz w:val="28"/>
          <w:szCs w:val="28"/>
        </w:rPr>
        <w:t>公司</w:t>
      </w:r>
      <w:bookmarkEnd w:id="7"/>
      <w:bookmarkEnd w:id="8"/>
    </w:p>
    <w:p w14:paraId="0A54A88C">
      <w:pPr>
        <w:spacing w:line="480" w:lineRule="auto"/>
        <w:jc w:val="center"/>
        <w:outlineLvl w:val="9"/>
        <w:rPr>
          <w:color w:val="auto"/>
        </w:rPr>
        <w:sectPr>
          <w:footerReference r:id="rId3" w:type="default"/>
          <w:pgSz w:w="11907" w:h="16839"/>
          <w:pgMar w:top="1440" w:right="1800" w:bottom="1440" w:left="1800" w:header="1134" w:footer="992" w:gutter="0"/>
          <w:pgBorders>
            <w:top w:val="none" w:sz="0" w:space="0"/>
            <w:left w:val="none" w:sz="0" w:space="0"/>
            <w:bottom w:val="none" w:sz="0" w:space="0"/>
            <w:right w:val="none" w:sz="0" w:space="0"/>
          </w:pgBorders>
          <w:pgNumType w:start="1"/>
          <w:cols w:space="720" w:num="1"/>
          <w:docGrid w:linePitch="312" w:charSpace="0"/>
        </w:sectPr>
      </w:pPr>
      <w:r>
        <w:rPr>
          <w:b/>
          <w:color w:val="auto"/>
          <w:sz w:val="28"/>
          <w:szCs w:val="28"/>
        </w:rPr>
        <w:t>20</w:t>
      </w:r>
      <w:r>
        <w:rPr>
          <w:rFonts w:hint="eastAsia"/>
          <w:b/>
          <w:color w:val="auto"/>
          <w:sz w:val="28"/>
          <w:szCs w:val="28"/>
        </w:rPr>
        <w:t>2</w:t>
      </w:r>
      <w:r>
        <w:rPr>
          <w:rFonts w:hint="eastAsia"/>
          <w:b/>
          <w:color w:val="auto"/>
          <w:sz w:val="28"/>
          <w:szCs w:val="28"/>
          <w:lang w:val="en-US" w:eastAsia="zh-CN"/>
        </w:rPr>
        <w:t>6</w:t>
      </w:r>
      <w:r>
        <w:rPr>
          <w:b/>
          <w:color w:val="auto"/>
          <w:sz w:val="28"/>
          <w:szCs w:val="28"/>
        </w:rPr>
        <w:t>年</w:t>
      </w:r>
      <w:r>
        <w:rPr>
          <w:rFonts w:hint="eastAsia"/>
          <w:b/>
          <w:color w:val="auto"/>
          <w:sz w:val="28"/>
          <w:szCs w:val="28"/>
          <w:lang w:val="en-US" w:eastAsia="zh-CN"/>
        </w:rPr>
        <w:t>5</w:t>
      </w:r>
      <w:r>
        <w:rPr>
          <w:b/>
          <w:color w:val="auto"/>
          <w:sz w:val="28"/>
          <w:szCs w:val="28"/>
        </w:rPr>
        <w:t>月</w:t>
      </w:r>
    </w:p>
    <w:p w14:paraId="514CE804">
      <w:pPr>
        <w:spacing w:line="360" w:lineRule="auto"/>
        <w:jc w:val="center"/>
        <w:outlineLvl w:val="0"/>
        <w:rPr>
          <w:color w:val="auto"/>
        </w:rPr>
      </w:pPr>
      <w:bookmarkStart w:id="9" w:name="_Toc8752"/>
      <w:bookmarkStart w:id="10" w:name="_Toc2524"/>
      <w:bookmarkStart w:id="11" w:name="_Toc10683"/>
      <w:bookmarkStart w:id="12" w:name="_Toc14073"/>
      <w:bookmarkStart w:id="13" w:name="_Toc15670"/>
      <w:r>
        <w:rPr>
          <w:b/>
          <w:color w:val="auto"/>
          <w:sz w:val="32"/>
          <w:szCs w:val="32"/>
        </w:rPr>
        <w:t>目录</w:t>
      </w:r>
      <w:bookmarkEnd w:id="9"/>
      <w:bookmarkEnd w:id="10"/>
      <w:bookmarkEnd w:id="11"/>
      <w:bookmarkEnd w:id="12"/>
      <w:bookmarkEnd w:id="13"/>
    </w:p>
    <w:bookmarkEnd w:id="0"/>
    <w:sdt>
      <w:sdtPr>
        <w:rPr>
          <w:rFonts w:ascii="宋体" w:hAnsi="宋体"/>
          <w:color w:val="auto"/>
        </w:rPr>
        <w:id w:val="147460649"/>
        <w15:color w:val="DBDBDB"/>
        <w:docPartObj>
          <w:docPartGallery w:val="Table of Contents"/>
          <w:docPartUnique/>
        </w:docPartObj>
      </w:sdtPr>
      <w:sdtEndPr>
        <w:rPr>
          <w:rFonts w:ascii="Times New Roman" w:hAnsi="Times New Roman"/>
          <w:b/>
          <w:color w:val="auto"/>
        </w:rPr>
      </w:sdtEndPr>
      <w:sdtContent>
        <w:p w14:paraId="183EC098">
          <w:pPr>
            <w:jc w:val="center"/>
            <w:rPr>
              <w:rFonts w:ascii="Times New Roman" w:hAnsi="Times New Roman" w:eastAsia="宋体" w:cs="Times New Roman"/>
              <w:b/>
              <w:color w:val="auto"/>
              <w:kern w:val="2"/>
              <w:sz w:val="21"/>
              <w:lang w:val="en-US" w:eastAsia="zh-CN" w:bidi="ar-SA"/>
            </w:rPr>
          </w:pPr>
          <w:bookmarkStart w:id="14" w:name="_Toc509323949"/>
          <w:r>
            <w:rPr>
              <w:color w:val="auto"/>
            </w:rPr>
            <w:fldChar w:fldCharType="begin"/>
          </w:r>
          <w:r>
            <w:rPr>
              <w:color w:val="auto"/>
            </w:rPr>
            <w:instrText xml:space="preserve">TOC \o "1-2" \h \u </w:instrText>
          </w:r>
          <w:r>
            <w:rPr>
              <w:color w:val="auto"/>
            </w:rPr>
            <w:fldChar w:fldCharType="separate"/>
          </w:r>
        </w:p>
        <w:p w14:paraId="0A3224DF">
          <w:pPr>
            <w:pStyle w:val="25"/>
            <w:keepNext w:val="0"/>
            <w:keepLines w:val="0"/>
            <w:pageBreakBefore w:val="0"/>
            <w:widowControl w:val="0"/>
            <w:tabs>
              <w:tab w:val="right" w:leader="dot" w:pos="9026"/>
              <w:tab w:val="clear" w:pos="420"/>
              <w:tab w:val="clear" w:pos="8303"/>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_Toc24102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kern w:val="0"/>
              <w:sz w:val="24"/>
              <w:szCs w:val="24"/>
            </w:rPr>
            <w:t>1总则</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_Toc24102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40BDD9CB">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_Toc5748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lang w:val="en-US" w:eastAsia="zh-CN"/>
            </w:rPr>
            <w:t>1.1项目由来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_Toc5748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A97D505">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_Toc8695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_Toc8695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1A668402">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_Toc26715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val="en-US" w:eastAsia="zh-CN"/>
            </w:rPr>
            <w:t>3评价因子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_Toc26715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3A7D9154">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_Toc2008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6A4FF0DF">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_Toc2323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rPr>
            <w:t>评价工作等级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4C09A0B5">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_Toc32574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1.</w:t>
          </w:r>
          <w:r>
            <w:rPr>
              <w:rFonts w:hint="default" w:ascii="Times New Roman" w:hAnsi="Times New Roman" w:eastAsia="宋体" w:cs="Times New Roman"/>
              <w:kern w:val="0"/>
              <w:sz w:val="24"/>
              <w:szCs w:val="24"/>
              <w:lang w:val="en-US" w:eastAsia="zh-CN"/>
            </w:rPr>
            <w:t>6</w:t>
          </w:r>
          <w:r>
            <w:rPr>
              <w:rFonts w:hint="default" w:ascii="Times New Roman" w:hAnsi="Times New Roman" w:eastAsia="宋体" w:cs="Times New Roman"/>
              <w:kern w:val="0"/>
              <w:sz w:val="24"/>
              <w:szCs w:val="24"/>
            </w:rPr>
            <w:t>保护目标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_Toc32574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7E85A94">
          <w:pPr>
            <w:pStyle w:val="25"/>
            <w:keepNext w:val="0"/>
            <w:keepLines w:val="0"/>
            <w:pageBreakBefore w:val="0"/>
            <w:widowControl w:val="0"/>
            <w:tabs>
              <w:tab w:val="right" w:leader="dot" w:pos="9026"/>
              <w:tab w:val="clear" w:pos="420"/>
              <w:tab w:val="clear" w:pos="8303"/>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_Toc9306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2项目工程分析</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_Toc9306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10</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67ABE652">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_Toc32414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2.1</w:t>
          </w:r>
          <w:r>
            <w:rPr>
              <w:rFonts w:hint="default" w:ascii="Times New Roman" w:hAnsi="Times New Roman" w:eastAsia="宋体" w:cs="Times New Roman"/>
              <w:kern w:val="0"/>
              <w:sz w:val="24"/>
              <w:szCs w:val="24"/>
              <w:lang w:val="en-US" w:eastAsia="zh-CN"/>
            </w:rPr>
            <w:t>大气污染物调查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_Toc32414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5E32C497">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_Toc12729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2.2</w:t>
          </w:r>
          <w:r>
            <w:rPr>
              <w:rFonts w:hint="default" w:ascii="Times New Roman" w:hAnsi="Times New Roman" w:eastAsia="宋体" w:cs="Times New Roman"/>
              <w:kern w:val="0"/>
              <w:sz w:val="24"/>
              <w:szCs w:val="24"/>
              <w:lang w:val="en-US" w:eastAsia="zh-CN"/>
            </w:rPr>
            <w:t>大气污染源数据来源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_Toc12729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77BED5E0">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_Toc13984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2.3污染源源强核算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027A6918">
          <w:pPr>
            <w:pStyle w:val="25"/>
            <w:keepNext w:val="0"/>
            <w:keepLines w:val="0"/>
            <w:pageBreakBefore w:val="0"/>
            <w:widowControl w:val="0"/>
            <w:tabs>
              <w:tab w:val="right" w:leader="dot" w:pos="9026"/>
              <w:tab w:val="clear" w:pos="420"/>
              <w:tab w:val="clear" w:pos="8303"/>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_Toc24949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3环境空气质量现状监测与评价</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_Toc24949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22</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0617CDA1">
          <w:pPr>
            <w:pStyle w:val="25"/>
            <w:keepNext w:val="0"/>
            <w:keepLines w:val="0"/>
            <w:pageBreakBefore w:val="0"/>
            <w:widowControl w:val="0"/>
            <w:tabs>
              <w:tab w:val="right" w:leader="dot" w:pos="9026"/>
              <w:tab w:val="clear" w:pos="420"/>
              <w:tab w:val="clear" w:pos="8303"/>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_Toc14281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4大气环境影响预测与评价</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_Toc14281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23</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50B297A2">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_Toc26118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4.1气象资料分析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_Toc26118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DD4B5D7">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_Toc26255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4.2预测模式及预测参数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836C57E">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_Toc9832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4.3评价因子和标准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38A10C17">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_Toc14580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4.4预测结果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5CF92E0D">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_Toc1976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4.5无组织影响分析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2B2D71A">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_Toc21024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4.6大气环境防护距离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_Toc21024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A1AAF35">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_Toc12544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4.7异味影响分析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_Toc12544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7168FE71">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_Toc29578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lang w:val="en-US" w:eastAsia="zh-CN"/>
            </w:rPr>
            <w:t>4.8汞对人体健康分析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64F3FA7F">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_Toc543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lang w:val="en-US" w:eastAsia="zh-CN"/>
            </w:rPr>
            <w:t>4.9大气卫生防护距离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0EFB5C69">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_Toc14516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4.</w:t>
          </w:r>
          <w:r>
            <w:rPr>
              <w:rFonts w:hint="default" w:ascii="Times New Roman" w:hAnsi="Times New Roman" w:eastAsia="宋体" w:cs="Times New Roman"/>
              <w:kern w:val="0"/>
              <w:sz w:val="24"/>
              <w:szCs w:val="24"/>
              <w:lang w:val="en-US" w:eastAsia="zh-CN"/>
            </w:rPr>
            <w:t>10</w:t>
          </w:r>
          <w:r>
            <w:rPr>
              <w:rFonts w:hint="default" w:ascii="Times New Roman" w:hAnsi="Times New Roman" w:eastAsia="宋体" w:cs="Times New Roman"/>
              <w:kern w:val="0"/>
              <w:sz w:val="24"/>
              <w:szCs w:val="24"/>
            </w:rPr>
            <w:t>大气环境影响评价结论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4C95FA45">
          <w:pPr>
            <w:pStyle w:val="25"/>
            <w:keepNext w:val="0"/>
            <w:keepLines w:val="0"/>
            <w:pageBreakBefore w:val="0"/>
            <w:widowControl w:val="0"/>
            <w:tabs>
              <w:tab w:val="right" w:leader="dot" w:pos="9026"/>
              <w:tab w:val="clear" w:pos="420"/>
              <w:tab w:val="clear" w:pos="8303"/>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_Toc32557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5大气污染防治措施</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_Toc32557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39</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38705CE9">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_Toc31113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5.1废气收集处理工艺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_Toc31113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743C919">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_Toc15313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5.2废气措施可行性分析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DB5698B">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_Toc20695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5.3非正常排放控制措施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_Toc20695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32193E79">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_Toc28249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5.4经济可行性分析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8B67DC9">
          <w:pPr>
            <w:pStyle w:val="25"/>
            <w:keepNext w:val="0"/>
            <w:keepLines w:val="0"/>
            <w:pageBreakBefore w:val="0"/>
            <w:widowControl w:val="0"/>
            <w:tabs>
              <w:tab w:val="right" w:leader="dot" w:pos="9026"/>
              <w:tab w:val="clear" w:pos="420"/>
              <w:tab w:val="clear" w:pos="8303"/>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_Toc28549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6环境管理与监测计划</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_Toc28549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48</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58A5E140">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_Toc20638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6.1环境管理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_Toc20638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3C7ABC69">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_Toc27240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6.2大气污染源环境监测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_Toc27240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2BE6B1D8">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_Toc25848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6.3污染物排放清单及污染物排放管理要求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0DEE68FE">
          <w:pPr>
            <w:pStyle w:val="25"/>
            <w:keepNext w:val="0"/>
            <w:keepLines w:val="0"/>
            <w:pageBreakBefore w:val="0"/>
            <w:widowControl w:val="0"/>
            <w:tabs>
              <w:tab w:val="right" w:leader="dot" w:pos="9026"/>
              <w:tab w:val="clear" w:pos="420"/>
              <w:tab w:val="clear" w:pos="8303"/>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sz w:val="24"/>
              <w:szCs w:val="24"/>
            </w:rPr>
            <w:instrText xml:space="preserve"> HYPERLINK \l _Toc24559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7结论与要求</w:t>
          </w:r>
          <w:r>
            <w:rPr>
              <w:rFonts w:hint="default" w:ascii="Times New Roman" w:hAnsi="Times New Roman" w:cs="Times New Roman"/>
              <w:b/>
              <w:bCs/>
              <w:sz w:val="24"/>
              <w:szCs w:val="24"/>
            </w:rPr>
            <w:tab/>
          </w: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PAGEREF _Toc24559 \h </w:instrText>
          </w:r>
          <w:r>
            <w:rPr>
              <w:rFonts w:hint="default" w:ascii="Times New Roman" w:hAnsi="Times New Roman" w:cs="Times New Roman"/>
              <w:b/>
              <w:bCs/>
              <w:sz w:val="24"/>
              <w:szCs w:val="24"/>
            </w:rPr>
            <w:fldChar w:fldCharType="separate"/>
          </w:r>
          <w:r>
            <w:rPr>
              <w:rFonts w:hint="default" w:ascii="Times New Roman" w:hAnsi="Times New Roman" w:cs="Times New Roman"/>
              <w:b/>
              <w:bCs/>
              <w:sz w:val="24"/>
              <w:szCs w:val="24"/>
            </w:rPr>
            <w:t>51</w:t>
          </w:r>
          <w:r>
            <w:rPr>
              <w:rFonts w:hint="default" w:ascii="Times New Roman" w:hAnsi="Times New Roman" w:cs="Times New Roman"/>
              <w:b/>
              <w:bCs/>
              <w:sz w:val="24"/>
              <w:szCs w:val="24"/>
            </w:rPr>
            <w:fldChar w:fldCharType="end"/>
          </w:r>
          <w:r>
            <w:rPr>
              <w:rFonts w:hint="default" w:ascii="Times New Roman" w:hAnsi="Times New Roman" w:cs="Times New Roman"/>
              <w:b/>
              <w:bCs/>
              <w:color w:val="auto"/>
              <w:sz w:val="24"/>
              <w:szCs w:val="24"/>
            </w:rPr>
            <w:fldChar w:fldCharType="end"/>
          </w:r>
        </w:p>
        <w:p w14:paraId="44CD7C01">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_Toc10182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7.1结论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_Toc10182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55D65BAD">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color w:val="auto"/>
              <w:sz w:val="24"/>
              <w:szCs w:val="24"/>
            </w:rPr>
            <w:fldChar w:fldCharType="begin"/>
          </w:r>
          <w:r>
            <w:rPr>
              <w:rFonts w:hint="default" w:ascii="Times New Roman" w:hAnsi="Times New Roman" w:cs="Times New Roman"/>
              <w:sz w:val="24"/>
              <w:szCs w:val="24"/>
            </w:rPr>
            <w:instrText xml:space="preserve"> HYPERLINK \l _Toc31739 </w:instrText>
          </w:r>
          <w:r>
            <w:rPr>
              <w:rFonts w:hint="default" w:ascii="Times New Roman" w:hAnsi="Times New Roman" w:cs="Times New Roman"/>
              <w:sz w:val="24"/>
              <w:szCs w:val="24"/>
            </w:rPr>
            <w:fldChar w:fldCharType="separate"/>
          </w:r>
          <w:r>
            <w:rPr>
              <w:rFonts w:hint="default" w:ascii="Times New Roman" w:hAnsi="Times New Roman" w:eastAsia="宋体" w:cs="Times New Roman"/>
              <w:kern w:val="0"/>
              <w:sz w:val="24"/>
              <w:szCs w:val="24"/>
            </w:rPr>
            <w:t>7.2要求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_Toc31739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color w:val="auto"/>
              <w:sz w:val="24"/>
              <w:szCs w:val="24"/>
            </w:rPr>
            <w:fldChar w:fldCharType="end"/>
          </w:r>
        </w:p>
        <w:p w14:paraId="0AF48C57">
          <w:pPr>
            <w:jc w:val="center"/>
            <w:rPr>
              <w:color w:val="auto"/>
            </w:rPr>
          </w:pPr>
          <w:r>
            <w:rPr>
              <w:b/>
              <w:color w:val="auto"/>
            </w:rPr>
            <w:fldChar w:fldCharType="end"/>
          </w:r>
        </w:p>
      </w:sdtContent>
    </w:sdt>
    <w:p w14:paraId="199A1394">
      <w:pPr>
        <w:rPr>
          <w:color w:val="auto"/>
        </w:rPr>
      </w:pPr>
    </w:p>
    <w:p w14:paraId="152FDC96">
      <w:pPr>
        <w:rPr>
          <w:color w:val="auto"/>
        </w:rPr>
      </w:pPr>
    </w:p>
    <w:p w14:paraId="0140B2B8">
      <w:pPr>
        <w:pStyle w:val="2"/>
        <w:spacing w:line="460" w:lineRule="exact"/>
        <w:rPr>
          <w:rFonts w:hint="eastAsia" w:eastAsia="宋体"/>
          <w:color w:val="auto"/>
          <w:kern w:val="0"/>
          <w:sz w:val="30"/>
          <w:szCs w:val="30"/>
        </w:rPr>
        <w:sectPr>
          <w:footerReference r:id="rId4" w:type="default"/>
          <w:pgSz w:w="11906" w:h="16838"/>
          <w:pgMar w:top="1080" w:right="1440" w:bottom="1080" w:left="1440" w:header="850" w:footer="992" w:gutter="0"/>
          <w:pgBorders>
            <w:top w:val="none" w:sz="0" w:space="0"/>
            <w:left w:val="none" w:sz="0" w:space="0"/>
            <w:bottom w:val="none" w:sz="0" w:space="0"/>
            <w:right w:val="none" w:sz="0" w:space="0"/>
          </w:pgBorders>
          <w:pgNumType w:fmt="upperRoman" w:start="1"/>
          <w:cols w:space="720" w:num="1"/>
          <w:docGrid w:linePitch="312" w:charSpace="0"/>
        </w:sectPr>
      </w:pPr>
      <w:bookmarkStart w:id="15" w:name="_Toc26339"/>
    </w:p>
    <w:p w14:paraId="6B923B4E">
      <w:pPr>
        <w:pStyle w:val="2"/>
        <w:spacing w:line="460" w:lineRule="exact"/>
        <w:rPr>
          <w:rFonts w:eastAsia="宋体"/>
          <w:color w:val="auto"/>
          <w:kern w:val="0"/>
          <w:sz w:val="30"/>
          <w:szCs w:val="30"/>
        </w:rPr>
      </w:pPr>
      <w:bookmarkStart w:id="16" w:name="_Toc24102"/>
      <w:r>
        <w:rPr>
          <w:rFonts w:hint="eastAsia" w:eastAsia="宋体"/>
          <w:color w:val="auto"/>
          <w:kern w:val="0"/>
          <w:sz w:val="30"/>
          <w:szCs w:val="30"/>
        </w:rPr>
        <w:t>1</w:t>
      </w:r>
      <w:r>
        <w:rPr>
          <w:rFonts w:hAnsi="宋体" w:eastAsia="宋体"/>
          <w:color w:val="auto"/>
          <w:kern w:val="0"/>
          <w:sz w:val="30"/>
          <w:szCs w:val="30"/>
        </w:rPr>
        <w:t>总则</w:t>
      </w:r>
      <w:bookmarkEnd w:id="15"/>
      <w:bookmarkEnd w:id="16"/>
    </w:p>
    <w:p w14:paraId="300E5255">
      <w:pPr>
        <w:pStyle w:val="3"/>
        <w:spacing w:before="0" w:after="0" w:line="460" w:lineRule="exact"/>
        <w:rPr>
          <w:rFonts w:hint="eastAsia" w:eastAsia="宋体"/>
          <w:color w:val="auto"/>
          <w:kern w:val="0"/>
          <w:szCs w:val="28"/>
          <w:lang w:val="en-US" w:eastAsia="zh-CN"/>
        </w:rPr>
      </w:pPr>
      <w:bookmarkStart w:id="17" w:name="_Toc5748"/>
      <w:bookmarkStart w:id="18" w:name="_Toc7882"/>
      <w:r>
        <w:rPr>
          <w:rFonts w:hint="eastAsia" w:eastAsia="宋体"/>
          <w:color w:val="auto"/>
          <w:kern w:val="0"/>
          <w:szCs w:val="28"/>
          <w:lang w:val="en-US" w:eastAsia="zh-CN"/>
        </w:rPr>
        <w:t>1.1项目由来</w:t>
      </w:r>
      <w:bookmarkEnd w:id="17"/>
    </w:p>
    <w:p w14:paraId="69067FE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Cs/>
          <w:color w:val="FF0000"/>
          <w:sz w:val="24"/>
          <w:szCs w:val="24"/>
          <w:lang w:val="en-US" w:eastAsia="zh-CN"/>
        </w:rPr>
      </w:pPr>
      <w:r>
        <w:rPr>
          <w:rFonts w:hint="eastAsia" w:ascii="Times New Roman" w:hAnsi="Times New Roman" w:eastAsia="宋体" w:cs="Times New Roman"/>
          <w:bCs/>
          <w:color w:val="FF0000"/>
          <w:sz w:val="24"/>
          <w:szCs w:val="24"/>
          <w:lang w:val="en-US" w:eastAsia="zh-CN"/>
        </w:rPr>
        <w:t>南通众隆纺织科技有限公司成立于2022年，</w:t>
      </w:r>
      <w:r>
        <w:rPr>
          <w:rFonts w:hint="eastAsia" w:cs="Times New Roman"/>
          <w:bCs/>
          <w:color w:val="FF0000"/>
          <w:sz w:val="24"/>
          <w:szCs w:val="24"/>
          <w:lang w:val="en-US" w:eastAsia="zh-CN"/>
        </w:rPr>
        <w:t>位于</w:t>
      </w:r>
      <w:r>
        <w:rPr>
          <w:rFonts w:hint="eastAsia"/>
          <w:color w:val="FF0000"/>
          <w:sz w:val="24"/>
          <w:szCs w:val="24"/>
        </w:rPr>
        <w:t>江苏省南通市</w:t>
      </w:r>
      <w:r>
        <w:rPr>
          <w:rFonts w:hint="eastAsia"/>
          <w:color w:val="FF0000"/>
          <w:sz w:val="24"/>
          <w:szCs w:val="24"/>
          <w:lang w:val="en-US" w:eastAsia="zh-CN"/>
        </w:rPr>
        <w:t>如皋市九华镇马桥村18组，</w:t>
      </w:r>
      <w:r>
        <w:rPr>
          <w:rFonts w:hint="eastAsia" w:ascii="Times New Roman" w:hAnsi="Times New Roman" w:eastAsia="宋体" w:cs="Times New Roman"/>
          <w:bCs/>
          <w:color w:val="FF0000"/>
          <w:sz w:val="24"/>
          <w:szCs w:val="24"/>
          <w:lang w:val="en-US" w:eastAsia="zh-CN"/>
        </w:rPr>
        <w:t>是一家从事面料纺织后整理加工、销售的企业</w:t>
      </w:r>
      <w:r>
        <w:rPr>
          <w:rFonts w:hint="eastAsia" w:cs="Times New Roman"/>
          <w:bCs/>
          <w:color w:val="FF0000"/>
          <w:sz w:val="24"/>
          <w:szCs w:val="24"/>
          <w:lang w:val="en-US" w:eastAsia="zh-CN"/>
        </w:rPr>
        <w:t>，</w:t>
      </w:r>
      <w:r>
        <w:rPr>
          <w:rFonts w:hint="eastAsia" w:eastAsia="宋体"/>
          <w:color w:val="FF0000"/>
          <w:sz w:val="24"/>
          <w:szCs w:val="24"/>
          <w:lang w:val="en-US" w:eastAsia="zh-CN"/>
        </w:rPr>
        <w:t>公司</w:t>
      </w:r>
      <w:r>
        <w:rPr>
          <w:rFonts w:hint="eastAsia" w:eastAsia="宋体"/>
          <w:color w:val="FF0000"/>
          <w:sz w:val="24"/>
          <w:szCs w:val="24"/>
        </w:rPr>
        <w:t>自成立以来仅从事</w:t>
      </w:r>
      <w:r>
        <w:rPr>
          <w:rFonts w:hint="eastAsia" w:eastAsia="宋体"/>
          <w:color w:val="FF0000"/>
          <w:sz w:val="24"/>
          <w:szCs w:val="24"/>
          <w:lang w:val="en-US" w:eastAsia="zh-CN"/>
        </w:rPr>
        <w:t>纺织面料</w:t>
      </w:r>
      <w:r>
        <w:rPr>
          <w:rFonts w:hint="eastAsia" w:eastAsia="宋体"/>
          <w:color w:val="FF0000"/>
          <w:sz w:val="24"/>
          <w:szCs w:val="24"/>
        </w:rPr>
        <w:t>销售，未建设生产线进行实际生产活动。</w:t>
      </w:r>
    </w:p>
    <w:p w14:paraId="662E5B2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为满足市场需要、实现公司战略目标，南通众隆纺织有限公司拟投资8000万元人民币，租用南通华胜数码纺织科技有限公司位于如皋市九华镇马桥村18组现有厂房，购置定型机、摇粒烘干机、360万大卡/h导热油炉、6t/h生物质锅炉（链条炉排锅炉）等设备37台</w:t>
      </w:r>
      <w:r>
        <w:rPr>
          <w:rFonts w:hint="eastAsia"/>
          <w:color w:val="auto"/>
          <w:sz w:val="24"/>
          <w:szCs w:val="24"/>
        </w:rPr>
        <w:t>，</w:t>
      </w:r>
      <w:r>
        <w:rPr>
          <w:rFonts w:hint="eastAsia" w:ascii="Times New Roman" w:hAnsi="Times New Roman" w:eastAsia="宋体" w:cs="Times New Roman"/>
          <w:bCs/>
          <w:color w:val="auto"/>
          <w:sz w:val="24"/>
          <w:szCs w:val="24"/>
          <w:lang w:val="en-US" w:eastAsia="zh-CN"/>
        </w:rPr>
        <w:t>新建</w:t>
      </w:r>
      <w:r>
        <w:rPr>
          <w:rFonts w:hint="eastAsia"/>
          <w:color w:val="auto"/>
          <w:sz w:val="24"/>
          <w:szCs w:val="24"/>
          <w:lang w:val="en-US" w:eastAsia="zh-CN"/>
        </w:rPr>
        <w:t>年加工1000万米文体用布（桌球布）项目</w:t>
      </w:r>
      <w:r>
        <w:rPr>
          <w:rFonts w:hint="eastAsia" w:ascii="Times New Roman" w:hAnsi="Times New Roman" w:eastAsia="宋体" w:cs="Times New Roman"/>
          <w:bCs/>
          <w:color w:val="auto"/>
          <w:sz w:val="24"/>
          <w:szCs w:val="24"/>
          <w:lang w:val="en-US" w:eastAsia="zh-CN"/>
        </w:rPr>
        <w:t>。</w:t>
      </w:r>
    </w:p>
    <w:p w14:paraId="0DD1816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bCs/>
          <w:color w:val="auto"/>
          <w:sz w:val="24"/>
          <w:szCs w:val="24"/>
        </w:rPr>
      </w:pPr>
      <w:r>
        <w:rPr>
          <w:rFonts w:hint="eastAsia" w:ascii="Times New Roman" w:hAnsi="Times New Roman" w:eastAsia="宋体" w:cs="Times New Roman"/>
          <w:bCs/>
          <w:color w:val="FF0000"/>
          <w:sz w:val="24"/>
          <w:szCs w:val="24"/>
          <w:lang w:val="en-US" w:eastAsia="zh-CN"/>
        </w:rPr>
        <w:t>本项目由于定型、烫光、预缩和蒸呢工艺需要</w:t>
      </w:r>
      <w:r>
        <w:rPr>
          <w:rFonts w:hint="eastAsia" w:cs="Times New Roman"/>
          <w:bCs/>
          <w:color w:val="FF0000"/>
          <w:sz w:val="24"/>
          <w:szCs w:val="24"/>
          <w:lang w:val="en-US" w:eastAsia="zh-CN"/>
        </w:rPr>
        <w:t>控温</w:t>
      </w:r>
      <w:r>
        <w:rPr>
          <w:rFonts w:hint="eastAsia" w:ascii="Times New Roman" w:hAnsi="Times New Roman" w:eastAsia="宋体" w:cs="Times New Roman"/>
          <w:bCs/>
          <w:color w:val="FF0000"/>
          <w:sz w:val="24"/>
          <w:szCs w:val="24"/>
          <w:lang w:val="en-US" w:eastAsia="zh-CN"/>
        </w:rPr>
        <w:t>，</w:t>
      </w:r>
      <w:r>
        <w:rPr>
          <w:rFonts w:hint="eastAsia" w:ascii="Times New Roman" w:hAnsi="Times New Roman" w:eastAsia="宋体" w:cs="Times New Roman"/>
          <w:bCs/>
          <w:color w:val="FF0000"/>
          <w:sz w:val="24"/>
          <w:szCs w:val="24"/>
        </w:rPr>
        <w:t>该区域目</w:t>
      </w:r>
      <w:r>
        <w:rPr>
          <w:rFonts w:hint="eastAsia" w:ascii="Times New Roman" w:hAnsi="Times New Roman" w:eastAsia="宋体" w:cs="Times New Roman"/>
          <w:bCs/>
          <w:color w:val="FF0000"/>
          <w:sz w:val="24"/>
          <w:szCs w:val="24"/>
          <w:lang w:eastAsia="zh-CN"/>
        </w:rPr>
        <w:t>前尚</w:t>
      </w:r>
      <w:r>
        <w:rPr>
          <w:rFonts w:hint="eastAsia" w:ascii="Times New Roman" w:hAnsi="Times New Roman" w:eastAsia="宋体" w:cs="Times New Roman"/>
          <w:bCs/>
          <w:color w:val="FF0000"/>
          <w:sz w:val="24"/>
          <w:szCs w:val="24"/>
        </w:rPr>
        <w:t>未实施集中供热，亦未铺设天然气管道，不在集中供热和天然气管道铺设范围之内，</w:t>
      </w:r>
      <w:r>
        <w:rPr>
          <w:rFonts w:hint="eastAsia" w:eastAsia="宋体" w:cs="Times New Roman"/>
          <w:bCs/>
          <w:color w:val="FF0000"/>
          <w:sz w:val="24"/>
          <w:szCs w:val="24"/>
          <w:lang w:val="en-US" w:eastAsia="zh-CN"/>
        </w:rPr>
        <w:t>因此本项目新建</w:t>
      </w:r>
      <w:r>
        <w:rPr>
          <w:rFonts w:hint="eastAsia" w:ascii="Times New Roman" w:hAnsi="Times New Roman" w:eastAsia="宋体" w:cs="Times New Roman"/>
          <w:bCs/>
          <w:color w:val="FF0000"/>
          <w:sz w:val="24"/>
          <w:szCs w:val="24"/>
        </w:rPr>
        <w:t>1台6吨/小时</w:t>
      </w:r>
      <w:r>
        <w:rPr>
          <w:rFonts w:hint="eastAsia" w:ascii="Times New Roman" w:hAnsi="Times New Roman" w:eastAsia="宋体" w:cs="Times New Roman"/>
          <w:bCs/>
          <w:color w:val="FF0000"/>
          <w:sz w:val="24"/>
          <w:szCs w:val="24"/>
          <w:lang w:eastAsia="zh-CN"/>
        </w:rPr>
        <w:t>的</w:t>
      </w:r>
      <w:r>
        <w:rPr>
          <w:rFonts w:hint="eastAsia" w:ascii="Times New Roman" w:hAnsi="Times New Roman" w:eastAsia="宋体" w:cs="Times New Roman"/>
          <w:bCs/>
          <w:color w:val="FF0000"/>
          <w:sz w:val="24"/>
          <w:szCs w:val="24"/>
          <w:lang w:val="en-US" w:eastAsia="zh-CN"/>
        </w:rPr>
        <w:t>燃生物质蒸汽</w:t>
      </w:r>
      <w:r>
        <w:rPr>
          <w:rFonts w:hint="eastAsia" w:ascii="Times New Roman" w:hAnsi="Times New Roman" w:eastAsia="宋体" w:cs="Times New Roman"/>
          <w:bCs/>
          <w:color w:val="FF0000"/>
          <w:sz w:val="24"/>
          <w:szCs w:val="24"/>
        </w:rPr>
        <w:t>锅炉和1台6吨/小时</w:t>
      </w:r>
      <w:r>
        <w:rPr>
          <w:rFonts w:hint="eastAsia" w:ascii="Times New Roman" w:hAnsi="Times New Roman" w:eastAsia="宋体" w:cs="Times New Roman"/>
          <w:bCs/>
          <w:color w:val="FF0000"/>
          <w:sz w:val="24"/>
          <w:szCs w:val="24"/>
          <w:lang w:val="en-US" w:eastAsia="zh-CN"/>
        </w:rPr>
        <w:t>燃生物质</w:t>
      </w:r>
      <w:r>
        <w:rPr>
          <w:rFonts w:hint="eastAsia" w:ascii="Times New Roman" w:hAnsi="Times New Roman" w:eastAsia="宋体" w:cs="Times New Roman"/>
          <w:bCs/>
          <w:color w:val="FF0000"/>
          <w:sz w:val="24"/>
          <w:szCs w:val="24"/>
        </w:rPr>
        <w:t>导热油炉</w:t>
      </w:r>
      <w:r>
        <w:rPr>
          <w:rFonts w:hint="eastAsia" w:cs="Times New Roman"/>
          <w:bCs/>
          <w:color w:val="FF0000"/>
          <w:sz w:val="24"/>
          <w:szCs w:val="24"/>
          <w:lang w:val="en-US" w:eastAsia="zh-CN"/>
        </w:rPr>
        <w:t>为本项目供热</w:t>
      </w:r>
      <w:r>
        <w:rPr>
          <w:rFonts w:hint="eastAsia" w:ascii="Times New Roman" w:hAnsi="Times New Roman" w:eastAsia="宋体" w:cs="Times New Roman"/>
          <w:bCs/>
          <w:color w:val="FF0000"/>
          <w:sz w:val="24"/>
          <w:szCs w:val="24"/>
          <w:lang w:eastAsia="zh-CN"/>
        </w:rPr>
        <w:t>。</w:t>
      </w:r>
      <w:r>
        <w:rPr>
          <w:rFonts w:hint="eastAsia"/>
          <w:bCs/>
          <w:color w:val="FF0000"/>
          <w:sz w:val="24"/>
          <w:szCs w:val="24"/>
          <w:lang w:val="en-US" w:eastAsia="zh-CN"/>
        </w:rPr>
        <w:t>经过对比测算使用生物质锅炉燃料成本仅为天然气的50%-60%，单吨蒸汽节省140元以上，且</w:t>
      </w:r>
      <w:r>
        <w:rPr>
          <w:rFonts w:hint="eastAsia"/>
          <w:bCs/>
          <w:color w:val="FF0000"/>
          <w:sz w:val="24"/>
          <w:szCs w:val="24"/>
        </w:rPr>
        <w:t>生物质燃料碳排放属于"碳中和"，燃烧排放产生的二氧化碳近似等于植物生产吸收量，而天然气属于化石能源，在"双碳"背景下，生物质燃料具备一定优势。</w:t>
      </w:r>
    </w:p>
    <w:p w14:paraId="2D3AA2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bCs/>
          <w:color w:val="auto"/>
          <w:sz w:val="24"/>
          <w:szCs w:val="24"/>
        </w:rPr>
      </w:pPr>
      <w:r>
        <w:rPr>
          <w:rFonts w:hint="default"/>
          <w:bCs/>
          <w:color w:val="FF0000"/>
          <w:sz w:val="24"/>
          <w:szCs w:val="24"/>
          <w:lang w:val="en-US" w:eastAsia="zh-CN"/>
        </w:rPr>
        <w:t>‌生物质链条炉排锅炉的先进性体现在其高效燃烧、环保性能与智能化运维的综合优势上‌，已成为中小工业供热系统绿色转型的核心设备。采用‌层燃+悬浮燃烧‌模式，轻质燃料在炉膛上部悬浮燃烧，重质部分在炉排上稳定燃烧，显著提升燃尽率。物质燃料本身‌含硫</w:t>
      </w:r>
      <w:r>
        <w:rPr>
          <w:rFonts w:hint="default" w:ascii="Times New Roman" w:hAnsi="Times New Roman" w:cs="Times New Roman"/>
          <w:bCs/>
          <w:color w:val="FF0000"/>
          <w:sz w:val="24"/>
          <w:szCs w:val="24"/>
          <w:lang w:val="en-US" w:eastAsia="zh-CN"/>
        </w:rPr>
        <w:t>量极低（≤0.1%），通过‌低氮燃烧+烟气再循环‌技术，NOx排放可控制在‌30~50mg/m</w:t>
      </w:r>
      <w:r>
        <w:rPr>
          <w:rFonts w:hint="eastAsia"/>
          <w:bCs/>
          <w:color w:val="FF0000"/>
          <w:sz w:val="24"/>
          <w:szCs w:val="24"/>
          <w:vertAlign w:val="superscript"/>
          <w:lang w:val="en-US" w:eastAsia="zh-CN"/>
        </w:rPr>
        <w:t>3</w:t>
      </w:r>
      <w:r>
        <w:rPr>
          <w:rFonts w:hint="default" w:ascii="Times New Roman" w:hAnsi="Times New Roman" w:cs="Times New Roman"/>
          <w:bCs/>
          <w:color w:val="FF0000"/>
          <w:sz w:val="24"/>
          <w:szCs w:val="24"/>
          <w:lang w:val="en-US" w:eastAsia="zh-CN"/>
        </w:rPr>
        <w:t>‌，远低于国家标准。</w:t>
      </w:r>
      <w:r>
        <w:rPr>
          <w:rFonts w:hint="default"/>
          <w:bCs/>
          <w:color w:val="FF0000"/>
          <w:sz w:val="24"/>
          <w:szCs w:val="24"/>
          <w:lang w:val="en-US" w:eastAsia="zh-CN"/>
        </w:rPr>
        <w:t>尾部配置‌多级除尘系统‌（旋风+布袋），颗粒物排放可稳定低于‌20mg/m</w:t>
      </w:r>
      <w:r>
        <w:rPr>
          <w:rFonts w:hint="eastAsia"/>
          <w:bCs/>
          <w:color w:val="FF0000"/>
          <w:sz w:val="24"/>
          <w:szCs w:val="24"/>
          <w:vertAlign w:val="superscript"/>
          <w:lang w:val="en-US" w:eastAsia="zh-CN"/>
        </w:rPr>
        <w:t>3</w:t>
      </w:r>
      <w:r>
        <w:rPr>
          <w:rFonts w:hint="default"/>
          <w:bCs/>
          <w:color w:val="FF0000"/>
          <w:sz w:val="24"/>
          <w:szCs w:val="24"/>
          <w:lang w:val="en-US" w:eastAsia="zh-CN"/>
        </w:rPr>
        <w:t>‌，满足超低排放要求。</w:t>
      </w:r>
    </w:p>
    <w:p w14:paraId="27A1857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FF0000"/>
          <w:sz w:val="24"/>
          <w:szCs w:val="24"/>
        </w:rPr>
      </w:pPr>
      <w:r>
        <w:rPr>
          <w:rFonts w:hint="default" w:ascii="Times New Roman" w:hAnsi="Times New Roman" w:cs="Times New Roman"/>
          <w:bCs/>
          <w:color w:val="FF0000"/>
          <w:sz w:val="24"/>
          <w:szCs w:val="24"/>
        </w:rPr>
        <w:t>根据《高污染燃料目录》(国环规大气[2017]2号〉表1禁燃区内禁止燃用的燃料组合类别、第Ⅲ类“非专用锅炉或未配置高效除尘设施的专用锅炉燃用的生物质成型燃料</w:t>
      </w:r>
      <w:r>
        <w:rPr>
          <w:rFonts w:hint="default" w:ascii="Times New Roman" w:hAnsi="Times New Roman" w:cs="Times New Roman"/>
          <w:bCs/>
          <w:color w:val="FF0000"/>
          <w:sz w:val="24"/>
          <w:szCs w:val="24"/>
          <w:lang w:eastAsia="zh-CN"/>
        </w:rPr>
        <w:t>”</w:t>
      </w:r>
      <w:r>
        <w:rPr>
          <w:rFonts w:hint="default" w:ascii="Times New Roman" w:hAnsi="Times New Roman" w:cs="Times New Roman"/>
          <w:bCs/>
          <w:color w:val="FF0000"/>
          <w:sz w:val="24"/>
          <w:szCs w:val="24"/>
        </w:rPr>
        <w:t>。本项目原料为林业生物质</w:t>
      </w:r>
      <w:r>
        <w:rPr>
          <w:rFonts w:hint="eastAsia" w:cs="Times New Roman"/>
          <w:bCs/>
          <w:color w:val="FF0000"/>
          <w:sz w:val="24"/>
          <w:szCs w:val="24"/>
          <w:lang w:val="en-US" w:eastAsia="zh-CN"/>
        </w:rPr>
        <w:t>成型</w:t>
      </w:r>
      <w:r>
        <w:rPr>
          <w:rFonts w:hint="default" w:ascii="Times New Roman" w:hAnsi="Times New Roman" w:cs="Times New Roman"/>
          <w:bCs/>
          <w:color w:val="FF0000"/>
          <w:sz w:val="24"/>
          <w:szCs w:val="24"/>
        </w:rPr>
        <w:t>燃料，使用专用生物质锅炉，且配有高效“旋风除尘+布袋除尘</w:t>
      </w:r>
      <w:r>
        <w:rPr>
          <w:rFonts w:hint="default" w:ascii="Times New Roman" w:hAnsi="Times New Roman" w:cs="Times New Roman"/>
          <w:bCs/>
          <w:color w:val="FF0000"/>
          <w:sz w:val="24"/>
          <w:szCs w:val="24"/>
          <w:lang w:val="en-US" w:eastAsia="zh-CN"/>
        </w:rPr>
        <w:t>+水幕除尘</w:t>
      </w:r>
      <w:r>
        <w:rPr>
          <w:rFonts w:hint="default" w:ascii="Times New Roman" w:hAnsi="Times New Roman" w:cs="Times New Roman"/>
          <w:bCs/>
          <w:color w:val="FF0000"/>
          <w:sz w:val="24"/>
          <w:szCs w:val="24"/>
        </w:rPr>
        <w:t>"装置处理生物质锅炉烟尘，因此，不属于禁止燃用的高污染燃料。</w:t>
      </w:r>
    </w:p>
    <w:p w14:paraId="3BD8CE5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bCs/>
          <w:color w:val="auto"/>
          <w:sz w:val="24"/>
          <w:szCs w:val="24"/>
        </w:rPr>
      </w:pPr>
      <w:r>
        <w:rPr>
          <w:bCs/>
          <w:color w:val="auto"/>
          <w:sz w:val="24"/>
          <w:szCs w:val="24"/>
        </w:rPr>
        <w:t>根据《建设项目环境影响评价分类管理名录》（2021年版），</w:t>
      </w:r>
      <w:r>
        <w:rPr>
          <w:rFonts w:hint="eastAsia"/>
          <w:bCs/>
          <w:color w:val="FF0000"/>
          <w:sz w:val="24"/>
          <w:szCs w:val="24"/>
        </w:rPr>
        <w:t>本项目对</w:t>
      </w:r>
      <w:r>
        <w:rPr>
          <w:rFonts w:hint="eastAsia"/>
          <w:bCs/>
          <w:color w:val="FF0000"/>
          <w:sz w:val="24"/>
          <w:szCs w:val="24"/>
          <w:lang w:val="en-US" w:eastAsia="zh-CN"/>
        </w:rPr>
        <w:t>羊毛布料</w:t>
      </w:r>
      <w:r>
        <w:rPr>
          <w:rFonts w:hint="eastAsia"/>
          <w:bCs/>
          <w:color w:val="FF0000"/>
          <w:sz w:val="24"/>
          <w:szCs w:val="24"/>
        </w:rPr>
        <w:t>后整理加工，对照江苏省环保厅《关于纺织品后整理企业审批问题的复函》（苏环函【2018】194号），本项目属于“无废水排放的单纯纺织品后整理项目，可归类纺织品制造”。</w:t>
      </w:r>
      <w:r>
        <w:rPr>
          <w:bCs/>
          <w:color w:val="auto"/>
          <w:sz w:val="24"/>
          <w:szCs w:val="24"/>
        </w:rPr>
        <w:t>本项目属于</w:t>
      </w:r>
      <w:r>
        <w:rPr>
          <w:rFonts w:hint="eastAsia"/>
          <w:bCs/>
          <w:color w:val="auto"/>
          <w:sz w:val="24"/>
          <w:szCs w:val="24"/>
          <w:lang w:eastAsia="zh-CN"/>
        </w:rPr>
        <w:t>“</w:t>
      </w:r>
      <w:r>
        <w:rPr>
          <w:rFonts w:hint="eastAsia"/>
          <w:bCs/>
          <w:color w:val="auto"/>
          <w:sz w:val="24"/>
          <w:szCs w:val="24"/>
          <w:lang w:val="en-US" w:eastAsia="zh-CN"/>
        </w:rPr>
        <w:t>十四、纺织业17产业用纺织成品制造178</w:t>
      </w:r>
      <w:r>
        <w:rPr>
          <w:rFonts w:hint="eastAsia"/>
          <w:bCs/>
          <w:color w:val="auto"/>
          <w:sz w:val="24"/>
          <w:szCs w:val="24"/>
          <w:lang w:eastAsia="zh-CN"/>
        </w:rPr>
        <w:t>”</w:t>
      </w:r>
      <w:r>
        <w:rPr>
          <w:rFonts w:hint="eastAsia"/>
          <w:bCs/>
          <w:color w:val="auto"/>
          <w:sz w:val="24"/>
          <w:szCs w:val="24"/>
          <w:lang w:val="en-US" w:eastAsia="zh-CN"/>
        </w:rPr>
        <w:t>本项目后整理工序不涉及有机溶剂，无需进行环境影响评价，考虑本项目需设置生物质锅炉，对照</w:t>
      </w:r>
      <w:r>
        <w:rPr>
          <w:rFonts w:hint="eastAsia"/>
          <w:bCs/>
          <w:color w:val="auto"/>
          <w:sz w:val="24"/>
          <w:szCs w:val="24"/>
        </w:rPr>
        <w:t>“</w:t>
      </w:r>
      <w:r>
        <w:rPr>
          <w:rFonts w:hint="eastAsia" w:eastAsia="宋体"/>
          <w:color w:val="auto"/>
          <w:sz w:val="24"/>
          <w:szCs w:val="24"/>
        </w:rPr>
        <w:t>四十</w:t>
      </w:r>
      <w:r>
        <w:rPr>
          <w:rFonts w:hint="eastAsia" w:eastAsia="宋体"/>
          <w:color w:val="auto"/>
          <w:sz w:val="24"/>
          <w:szCs w:val="24"/>
          <w:lang w:val="en-US" w:eastAsia="zh-CN"/>
        </w:rPr>
        <w:t>一</w:t>
      </w:r>
      <w:r>
        <w:rPr>
          <w:rFonts w:hint="eastAsia" w:eastAsia="宋体"/>
          <w:color w:val="auto"/>
          <w:sz w:val="24"/>
          <w:szCs w:val="24"/>
        </w:rPr>
        <w:t>、</w:t>
      </w:r>
      <w:r>
        <w:rPr>
          <w:rFonts w:hint="eastAsia" w:eastAsia="宋体"/>
          <w:color w:val="auto"/>
          <w:sz w:val="24"/>
          <w:szCs w:val="24"/>
          <w:lang w:val="en-US" w:eastAsia="zh-CN"/>
        </w:rPr>
        <w:t>电力、热力生产和供应业91热力生产和供应工程（包括建设单位自建自用的供热工程）、使用其他高污染燃料的</w:t>
      </w:r>
      <w:r>
        <w:rPr>
          <w:rFonts w:hint="eastAsia"/>
          <w:color w:val="auto"/>
          <w:sz w:val="24"/>
          <w:szCs w:val="24"/>
          <w:lang w:val="en-US" w:eastAsia="zh-CN"/>
        </w:rPr>
        <w:t>（</w:t>
      </w:r>
      <w:r>
        <w:rPr>
          <w:rFonts w:hint="eastAsia" w:eastAsia="宋体"/>
          <w:color w:val="auto"/>
          <w:sz w:val="24"/>
          <w:szCs w:val="24"/>
          <w:lang w:val="en-US" w:eastAsia="zh-CN"/>
        </w:rPr>
        <w:t>高污染燃料指国环规大气</w:t>
      </w:r>
      <w:r>
        <w:rPr>
          <w:rFonts w:hint="eastAsia" w:ascii="Times New Roman" w:hAnsi="Times New Roman" w:eastAsia="宋体" w:cs="Times New Roman"/>
          <w:color w:val="auto"/>
          <w:sz w:val="24"/>
          <w:szCs w:val="24"/>
          <w:lang w:val="en-US" w:eastAsia="zh-CN"/>
        </w:rPr>
        <w:t>〔201</w:t>
      </w:r>
      <w:r>
        <w:rPr>
          <w:rFonts w:hint="eastAsia" w:eastAsia="宋体"/>
          <w:color w:val="auto"/>
          <w:sz w:val="24"/>
          <w:szCs w:val="24"/>
          <w:lang w:val="en-US" w:eastAsia="zh-CN"/>
        </w:rPr>
        <w:t>7〕2号《高污染燃料目录》中规定的燃料）</w:t>
      </w:r>
      <w:r>
        <w:rPr>
          <w:rFonts w:hint="eastAsia"/>
          <w:bCs/>
          <w:color w:val="auto"/>
          <w:sz w:val="24"/>
          <w:szCs w:val="24"/>
        </w:rPr>
        <w:t>”</w:t>
      </w:r>
      <w:r>
        <w:rPr>
          <w:bCs/>
          <w:color w:val="auto"/>
          <w:sz w:val="24"/>
          <w:szCs w:val="24"/>
        </w:rPr>
        <w:t>，应编制环境影响报告表。</w:t>
      </w:r>
    </w:p>
    <w:p w14:paraId="2E8FFB98">
      <w:pPr>
        <w:keepNext w:val="0"/>
        <w:keepLines w:val="0"/>
        <w:pageBreakBefore w:val="0"/>
        <w:widowControl w:val="0"/>
        <w:kinsoku/>
        <w:wordWrap/>
        <w:overflowPunct/>
        <w:topLinePunct w:val="0"/>
        <w:bidi w:val="0"/>
        <w:spacing w:line="360" w:lineRule="auto"/>
        <w:ind w:firstLine="480" w:firstLineChars="200"/>
        <w:textAlignment w:val="auto"/>
        <w:outlineLvl w:val="9"/>
        <w:rPr>
          <w:bCs/>
          <w:color w:val="auto"/>
          <w:sz w:val="24"/>
          <w:szCs w:val="24"/>
        </w:rPr>
      </w:pPr>
      <w:r>
        <w:rPr>
          <w:rFonts w:hint="eastAsia" w:ascii="Times New Roman" w:hAnsi="Times New Roman" w:eastAsia="宋体" w:cs="Times New Roman"/>
          <w:bCs/>
          <w:color w:val="auto"/>
          <w:sz w:val="24"/>
          <w:szCs w:val="24"/>
          <w:lang w:val="en-US" w:eastAsia="zh-CN"/>
        </w:rPr>
        <w:t>南通众隆纺织科技有限公司</w:t>
      </w:r>
      <w:r>
        <w:rPr>
          <w:bCs/>
          <w:color w:val="auto"/>
          <w:sz w:val="24"/>
          <w:szCs w:val="24"/>
        </w:rPr>
        <w:t>委托我公司开展该项目环境影响评价工作</w:t>
      </w:r>
      <w:r>
        <w:rPr>
          <w:rFonts w:hint="eastAsia"/>
          <w:bCs/>
          <w:color w:val="auto"/>
          <w:sz w:val="24"/>
          <w:szCs w:val="24"/>
        </w:rPr>
        <w:t>，</w:t>
      </w:r>
      <w:r>
        <w:rPr>
          <w:bCs/>
          <w:color w:val="auto"/>
          <w:sz w:val="24"/>
          <w:szCs w:val="24"/>
        </w:rPr>
        <w:t>我公司接受委托后，进行了实地踏勘和资料收集，在工程分析的基础上，编制了本环境影响报告表。</w:t>
      </w:r>
    </w:p>
    <w:p w14:paraId="19C25A09">
      <w:pPr>
        <w:spacing w:line="360" w:lineRule="auto"/>
        <w:ind w:firstLine="480" w:firstLineChars="200"/>
        <w:outlineLvl w:val="9"/>
        <w:rPr>
          <w:rFonts w:hint="default"/>
          <w:lang w:val="en-US" w:eastAsia="zh-CN"/>
        </w:rPr>
      </w:pPr>
      <w:r>
        <w:rPr>
          <w:rFonts w:ascii="Times New Roman" w:hAnsi="Times New Roman" w:eastAsia="宋体" w:cs="Times New Roman"/>
          <w:color w:val="auto"/>
          <w:sz w:val="24"/>
          <w:szCs w:val="24"/>
        </w:rPr>
        <w:t>根据《建设项目环境影响报告表编制技术指南（污染影响类）》（试行）中表1专项评价设置原则表</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rPr>
        <w:t>排放废气含有毒有害污染物</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汞</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且界外500米范围内有环境空气保护目标</w:t>
      </w:r>
      <w:r>
        <w:rPr>
          <w:rFonts w:ascii="Times New Roman" w:hAnsi="Times New Roman" w:eastAsia="宋体" w:cs="Times New Roman"/>
          <w:color w:val="auto"/>
          <w:sz w:val="24"/>
          <w:szCs w:val="24"/>
        </w:rPr>
        <w:t>，需设置</w:t>
      </w:r>
      <w:r>
        <w:rPr>
          <w:rFonts w:hint="eastAsia" w:ascii="Times New Roman" w:hAnsi="Times New Roman" w:eastAsia="宋体" w:cs="Times New Roman"/>
          <w:color w:val="auto"/>
          <w:sz w:val="24"/>
          <w:szCs w:val="24"/>
          <w:lang w:val="en-US" w:eastAsia="zh-CN"/>
        </w:rPr>
        <w:t>大气</w:t>
      </w:r>
      <w:r>
        <w:rPr>
          <w:rFonts w:ascii="Times New Roman" w:hAnsi="Times New Roman" w:eastAsia="宋体" w:cs="Times New Roman"/>
          <w:color w:val="auto"/>
          <w:sz w:val="24"/>
          <w:szCs w:val="24"/>
        </w:rPr>
        <w:t>专项评价。</w:t>
      </w:r>
    </w:p>
    <w:p w14:paraId="2217988D">
      <w:pPr>
        <w:pStyle w:val="3"/>
        <w:spacing w:before="0" w:after="0" w:line="460" w:lineRule="exact"/>
        <w:rPr>
          <w:rFonts w:eastAsia="宋体"/>
          <w:color w:val="auto"/>
          <w:kern w:val="0"/>
          <w:szCs w:val="28"/>
        </w:rPr>
      </w:pPr>
      <w:bookmarkStart w:id="19" w:name="_Toc8695"/>
      <w:r>
        <w:rPr>
          <w:rFonts w:eastAsia="宋体"/>
          <w:color w:val="auto"/>
          <w:kern w:val="0"/>
          <w:szCs w:val="28"/>
        </w:rPr>
        <w:t>1</w:t>
      </w:r>
      <w:r>
        <w:rPr>
          <w:rFonts w:hint="eastAsia" w:eastAsia="宋体"/>
          <w:color w:val="auto"/>
          <w:kern w:val="0"/>
          <w:szCs w:val="28"/>
        </w:rPr>
        <w:t>.</w:t>
      </w:r>
      <w:r>
        <w:rPr>
          <w:rFonts w:hint="eastAsia" w:eastAsia="宋体"/>
          <w:color w:val="auto"/>
          <w:kern w:val="0"/>
          <w:szCs w:val="28"/>
          <w:lang w:val="en-US" w:eastAsia="zh-CN"/>
        </w:rPr>
        <w:t>2</w:t>
      </w:r>
      <w:r>
        <w:rPr>
          <w:rFonts w:hint="eastAsia" w:eastAsia="宋体"/>
          <w:color w:val="auto"/>
          <w:kern w:val="0"/>
          <w:szCs w:val="28"/>
        </w:rPr>
        <w:t>编制依据</w:t>
      </w:r>
      <w:bookmarkEnd w:id="14"/>
      <w:bookmarkEnd w:id="18"/>
      <w:bookmarkEnd w:id="19"/>
    </w:p>
    <w:p w14:paraId="748DC40E">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1</w:t>
      </w:r>
      <w:r>
        <w:rPr>
          <w:rFonts w:hint="eastAsia" w:eastAsia="宋体"/>
          <w:color w:val="auto"/>
          <w:kern w:val="0"/>
          <w:sz w:val="24"/>
          <w:szCs w:val="24"/>
          <w:lang w:eastAsia="zh-CN"/>
        </w:rPr>
        <w:t>）</w:t>
      </w:r>
      <w:r>
        <w:rPr>
          <w:color w:val="auto"/>
          <w:kern w:val="0"/>
          <w:sz w:val="24"/>
          <w:szCs w:val="24"/>
        </w:rPr>
        <w:t>《中华人民共和国环境保护法》（</w:t>
      </w:r>
      <w:r>
        <w:rPr>
          <w:rFonts w:eastAsia="TimesNewRomanPSMT"/>
          <w:color w:val="auto"/>
          <w:kern w:val="0"/>
          <w:sz w:val="24"/>
          <w:szCs w:val="24"/>
        </w:rPr>
        <w:t>2014</w:t>
      </w:r>
      <w:r>
        <w:rPr>
          <w:color w:val="auto"/>
          <w:kern w:val="0"/>
          <w:sz w:val="24"/>
          <w:szCs w:val="24"/>
        </w:rPr>
        <w:t>年</w:t>
      </w:r>
      <w:r>
        <w:rPr>
          <w:rFonts w:eastAsia="TimesNewRomanPSMT"/>
          <w:color w:val="auto"/>
          <w:kern w:val="0"/>
          <w:sz w:val="24"/>
          <w:szCs w:val="24"/>
        </w:rPr>
        <w:t>4</w:t>
      </w:r>
      <w:r>
        <w:rPr>
          <w:color w:val="auto"/>
          <w:kern w:val="0"/>
          <w:sz w:val="24"/>
          <w:szCs w:val="24"/>
        </w:rPr>
        <w:t>月</w:t>
      </w:r>
      <w:r>
        <w:rPr>
          <w:rFonts w:eastAsia="TimesNewRomanPSMT"/>
          <w:color w:val="auto"/>
          <w:kern w:val="0"/>
          <w:sz w:val="24"/>
          <w:szCs w:val="24"/>
        </w:rPr>
        <w:t>24</w:t>
      </w:r>
      <w:r>
        <w:rPr>
          <w:color w:val="auto"/>
          <w:kern w:val="0"/>
          <w:sz w:val="24"/>
          <w:szCs w:val="24"/>
        </w:rPr>
        <w:t>日第十二届全国人民代表大会常务委员会第八次会议修订）</w:t>
      </w:r>
      <w:r>
        <w:rPr>
          <w:rFonts w:hint="eastAsia"/>
          <w:color w:val="auto"/>
          <w:kern w:val="0"/>
          <w:sz w:val="24"/>
          <w:szCs w:val="24"/>
        </w:rPr>
        <w:t>；</w:t>
      </w:r>
    </w:p>
    <w:p w14:paraId="71C2A579">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2</w:t>
      </w:r>
      <w:r>
        <w:rPr>
          <w:rFonts w:hint="eastAsia" w:eastAsia="宋体"/>
          <w:color w:val="auto"/>
          <w:kern w:val="0"/>
          <w:sz w:val="24"/>
          <w:szCs w:val="24"/>
          <w:lang w:eastAsia="zh-CN"/>
        </w:rPr>
        <w:t>）</w:t>
      </w:r>
      <w:r>
        <w:rPr>
          <w:color w:val="auto"/>
          <w:kern w:val="0"/>
          <w:sz w:val="24"/>
          <w:szCs w:val="24"/>
        </w:rPr>
        <w:t>《中华人民共和国大气污染防治法》</w:t>
      </w:r>
      <w:r>
        <w:rPr>
          <w:rFonts w:hint="eastAsia"/>
          <w:color w:val="auto"/>
          <w:kern w:val="0"/>
          <w:sz w:val="24"/>
          <w:szCs w:val="24"/>
        </w:rPr>
        <w:t>（2018年修订版）；</w:t>
      </w:r>
    </w:p>
    <w:p w14:paraId="11921D47">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3</w:t>
      </w:r>
      <w:r>
        <w:rPr>
          <w:rFonts w:hint="eastAsia" w:eastAsia="宋体"/>
          <w:color w:val="auto"/>
          <w:kern w:val="0"/>
          <w:sz w:val="24"/>
          <w:szCs w:val="24"/>
          <w:lang w:eastAsia="zh-CN"/>
        </w:rPr>
        <w:t>）</w:t>
      </w:r>
      <w:r>
        <w:rPr>
          <w:color w:val="auto"/>
          <w:kern w:val="0"/>
          <w:sz w:val="24"/>
          <w:szCs w:val="24"/>
        </w:rPr>
        <w:t>《中华人民共和国环境影响评价法》（</w:t>
      </w:r>
      <w:r>
        <w:rPr>
          <w:rFonts w:hint="eastAsia"/>
          <w:color w:val="auto"/>
          <w:kern w:val="0"/>
          <w:sz w:val="24"/>
          <w:szCs w:val="24"/>
        </w:rPr>
        <w:t>2018年12月29日第十三届全国人民代表大会常务委员会第七次会议《关于修改&lt;中华人民共和国劳动法&gt;等七部法律的决定》修正</w:t>
      </w:r>
      <w:r>
        <w:rPr>
          <w:color w:val="auto"/>
          <w:kern w:val="0"/>
          <w:sz w:val="24"/>
          <w:szCs w:val="24"/>
        </w:rPr>
        <w:t>）</w:t>
      </w:r>
      <w:r>
        <w:rPr>
          <w:rFonts w:hint="eastAsia"/>
          <w:color w:val="auto"/>
          <w:kern w:val="0"/>
          <w:sz w:val="24"/>
          <w:szCs w:val="24"/>
        </w:rPr>
        <w:t>；</w:t>
      </w:r>
    </w:p>
    <w:p w14:paraId="5B60DA0B">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4</w:t>
      </w:r>
      <w:r>
        <w:rPr>
          <w:rFonts w:hint="eastAsia" w:eastAsia="宋体"/>
          <w:color w:val="auto"/>
          <w:kern w:val="0"/>
          <w:sz w:val="24"/>
          <w:szCs w:val="24"/>
          <w:lang w:eastAsia="zh-CN"/>
        </w:rPr>
        <w:t>）</w:t>
      </w:r>
      <w:r>
        <w:rPr>
          <w:rFonts w:hint="default" w:ascii="Times New Roman" w:hAnsi="Times New Roman" w:eastAsia="宋体" w:cs="Times New Roman"/>
          <w:color w:val="000000"/>
          <w:kern w:val="0"/>
          <w:sz w:val="24"/>
          <w:szCs w:val="22"/>
          <w:lang w:val="en-US" w:eastAsia="zh-CN" w:bidi="ar-SA"/>
        </w:rPr>
        <w:t>《产业结构调整指导目录（2024年本）》（中华人民共和国国家发展和改革委员会令 第7号），2024年2月1日起施行；</w:t>
      </w:r>
    </w:p>
    <w:p w14:paraId="195D7A1A">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5</w:t>
      </w:r>
      <w:r>
        <w:rPr>
          <w:rFonts w:hint="eastAsia" w:eastAsia="宋体"/>
          <w:color w:val="auto"/>
          <w:kern w:val="0"/>
          <w:sz w:val="24"/>
          <w:szCs w:val="24"/>
          <w:lang w:eastAsia="zh-CN"/>
        </w:rPr>
        <w:t>）</w:t>
      </w:r>
      <w:r>
        <w:rPr>
          <w:rFonts w:hint="eastAsia"/>
          <w:color w:val="auto"/>
          <w:sz w:val="24"/>
        </w:rPr>
        <w:t>《排污许可证申请与核发技术规范总则》（HJ942-2018）；</w:t>
      </w:r>
    </w:p>
    <w:p w14:paraId="1662BEA3">
      <w:pPr>
        <w:autoSpaceDE w:val="0"/>
        <w:autoSpaceDN w:val="0"/>
        <w:adjustRightInd w:val="0"/>
        <w:spacing w:line="460" w:lineRule="exact"/>
        <w:ind w:firstLine="480" w:firstLineChars="200"/>
        <w:jc w:val="left"/>
        <w:rPr>
          <w:color w:val="auto"/>
          <w:kern w:val="0"/>
          <w:sz w:val="24"/>
          <w:szCs w:val="24"/>
        </w:rPr>
      </w:pPr>
      <w:r>
        <w:rPr>
          <w:rFonts w:hint="eastAsia"/>
          <w:color w:val="auto"/>
          <w:kern w:val="0"/>
          <w:sz w:val="24"/>
          <w:szCs w:val="24"/>
          <w:lang w:eastAsia="zh-CN"/>
        </w:rPr>
        <w:t>（</w:t>
      </w:r>
      <w:r>
        <w:rPr>
          <w:rFonts w:hint="eastAsia"/>
          <w:color w:val="auto"/>
          <w:kern w:val="0"/>
          <w:sz w:val="24"/>
          <w:szCs w:val="24"/>
          <w:lang w:val="en-US" w:eastAsia="zh-CN"/>
        </w:rPr>
        <w:t>6</w:t>
      </w:r>
      <w:r>
        <w:rPr>
          <w:rFonts w:hint="eastAsia"/>
          <w:color w:val="auto"/>
          <w:kern w:val="0"/>
          <w:sz w:val="24"/>
          <w:szCs w:val="24"/>
          <w:lang w:eastAsia="zh-CN"/>
        </w:rPr>
        <w:t>）</w:t>
      </w:r>
      <w:r>
        <w:rPr>
          <w:rFonts w:hint="eastAsia"/>
          <w:color w:val="auto"/>
          <w:kern w:val="0"/>
          <w:sz w:val="24"/>
          <w:szCs w:val="24"/>
        </w:rPr>
        <w:t>《国务院关于修改</w:t>
      </w:r>
      <w:r>
        <w:rPr>
          <w:rFonts w:hint="eastAsia" w:ascii="Arial" w:hAnsi="Arial" w:cs="Arial"/>
          <w:color w:val="auto"/>
          <w:szCs w:val="21"/>
          <w:shd w:val="clear" w:color="auto" w:fill="FFFFFF"/>
        </w:rPr>
        <w:t>&lt;</w:t>
      </w:r>
      <w:r>
        <w:rPr>
          <w:color w:val="auto"/>
          <w:kern w:val="0"/>
          <w:sz w:val="24"/>
          <w:szCs w:val="24"/>
        </w:rPr>
        <w:t>建设项目环境保护管理条例</w:t>
      </w:r>
      <w:r>
        <w:rPr>
          <w:rFonts w:hint="eastAsia" w:ascii="Arial" w:hAnsi="Arial" w:cs="Arial"/>
          <w:color w:val="auto"/>
          <w:szCs w:val="21"/>
          <w:shd w:val="clear" w:color="auto" w:fill="FFFFFF"/>
        </w:rPr>
        <w:t>&gt;</w:t>
      </w:r>
      <w:r>
        <w:rPr>
          <w:rFonts w:hint="eastAsia"/>
          <w:color w:val="auto"/>
          <w:kern w:val="0"/>
          <w:sz w:val="24"/>
          <w:szCs w:val="24"/>
        </w:rPr>
        <w:t>的决定</w:t>
      </w:r>
      <w:r>
        <w:rPr>
          <w:color w:val="auto"/>
          <w:kern w:val="0"/>
          <w:sz w:val="24"/>
          <w:szCs w:val="24"/>
        </w:rPr>
        <w:t>》（</w:t>
      </w:r>
      <w:r>
        <w:rPr>
          <w:rFonts w:hint="eastAsia"/>
          <w:color w:val="auto"/>
          <w:kern w:val="0"/>
          <w:sz w:val="24"/>
          <w:szCs w:val="24"/>
        </w:rPr>
        <w:t>中华人民共和国</w:t>
      </w:r>
      <w:r>
        <w:rPr>
          <w:color w:val="auto"/>
          <w:kern w:val="0"/>
          <w:sz w:val="24"/>
          <w:szCs w:val="24"/>
        </w:rPr>
        <w:t>国务院令第</w:t>
      </w:r>
      <w:r>
        <w:rPr>
          <w:rFonts w:hint="eastAsia"/>
          <w:color w:val="auto"/>
          <w:kern w:val="0"/>
          <w:sz w:val="24"/>
          <w:szCs w:val="24"/>
        </w:rPr>
        <w:t>682</w:t>
      </w:r>
      <w:r>
        <w:rPr>
          <w:color w:val="auto"/>
          <w:kern w:val="0"/>
          <w:sz w:val="24"/>
          <w:szCs w:val="24"/>
        </w:rPr>
        <w:t>号）；</w:t>
      </w:r>
    </w:p>
    <w:p w14:paraId="6CAD0394">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7</w:t>
      </w:r>
      <w:r>
        <w:rPr>
          <w:rFonts w:hint="eastAsia" w:eastAsia="宋体"/>
          <w:color w:val="auto"/>
          <w:kern w:val="0"/>
          <w:sz w:val="24"/>
          <w:szCs w:val="24"/>
          <w:lang w:eastAsia="zh-CN"/>
        </w:rPr>
        <w:t>）</w:t>
      </w:r>
      <w:r>
        <w:rPr>
          <w:rFonts w:hint="eastAsia"/>
          <w:color w:val="auto"/>
          <w:sz w:val="24"/>
        </w:rPr>
        <w:t>《排污单位自行监测技术指南总则》（HJ819-2017）；</w:t>
      </w:r>
    </w:p>
    <w:p w14:paraId="10F1F227">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8</w:t>
      </w:r>
      <w:r>
        <w:rPr>
          <w:rFonts w:hint="eastAsia" w:eastAsia="宋体"/>
          <w:color w:val="auto"/>
          <w:kern w:val="0"/>
          <w:sz w:val="24"/>
          <w:szCs w:val="24"/>
          <w:lang w:eastAsia="zh-CN"/>
        </w:rPr>
        <w:t>）</w:t>
      </w:r>
      <w:r>
        <w:rPr>
          <w:color w:val="auto"/>
          <w:kern w:val="0"/>
          <w:sz w:val="24"/>
          <w:szCs w:val="24"/>
        </w:rPr>
        <w:t>《江苏省大气污染防治条例》</w:t>
      </w:r>
      <w:r>
        <w:rPr>
          <w:rFonts w:hint="eastAsia"/>
          <w:color w:val="auto"/>
          <w:kern w:val="0"/>
          <w:sz w:val="24"/>
          <w:szCs w:val="24"/>
        </w:rPr>
        <w:t>（2018修正）；</w:t>
      </w:r>
    </w:p>
    <w:p w14:paraId="5FA55928">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9</w:t>
      </w:r>
      <w:r>
        <w:rPr>
          <w:rFonts w:hint="eastAsia" w:eastAsia="宋体"/>
          <w:color w:val="auto"/>
          <w:kern w:val="0"/>
          <w:sz w:val="24"/>
          <w:szCs w:val="24"/>
          <w:lang w:eastAsia="zh-CN"/>
        </w:rPr>
        <w:t>）</w:t>
      </w:r>
      <w:r>
        <w:rPr>
          <w:color w:val="auto"/>
          <w:kern w:val="0"/>
          <w:sz w:val="24"/>
          <w:szCs w:val="24"/>
        </w:rPr>
        <w:t>《关于印发〈江苏省排污口设置及规范化整治管理办法〉的通知》（苏环控</w:t>
      </w:r>
      <w:r>
        <w:rPr>
          <w:rFonts w:eastAsia="TimesNewRomanPSMT"/>
          <w:color w:val="auto"/>
          <w:kern w:val="0"/>
          <w:sz w:val="24"/>
          <w:szCs w:val="24"/>
        </w:rPr>
        <w:t>[1997]122</w:t>
      </w:r>
      <w:r>
        <w:rPr>
          <w:color w:val="auto"/>
          <w:kern w:val="0"/>
          <w:sz w:val="24"/>
          <w:szCs w:val="24"/>
        </w:rPr>
        <w:t>号）；</w:t>
      </w:r>
    </w:p>
    <w:p w14:paraId="5CC2CA53">
      <w:pPr>
        <w:autoSpaceDE w:val="0"/>
        <w:autoSpaceDN w:val="0"/>
        <w:adjustRightInd w:val="0"/>
        <w:spacing w:line="460" w:lineRule="exact"/>
        <w:ind w:firstLine="480" w:firstLineChars="200"/>
        <w:jc w:val="left"/>
        <w:rPr>
          <w:color w:val="auto"/>
          <w:kern w:val="0"/>
          <w:sz w:val="24"/>
          <w:szCs w:val="24"/>
        </w:rPr>
      </w:pPr>
      <w:r>
        <w:rPr>
          <w:rFonts w:hint="eastAsia" w:eastAsia="宋体"/>
          <w:color w:val="auto"/>
          <w:kern w:val="0"/>
          <w:sz w:val="24"/>
          <w:szCs w:val="24"/>
          <w:lang w:eastAsia="zh-CN"/>
        </w:rPr>
        <w:t>（</w:t>
      </w:r>
      <w:r>
        <w:rPr>
          <w:rFonts w:hint="eastAsia" w:eastAsia="宋体"/>
          <w:color w:val="auto"/>
          <w:kern w:val="0"/>
          <w:sz w:val="24"/>
          <w:szCs w:val="24"/>
          <w:lang w:val="en-US" w:eastAsia="zh-CN"/>
        </w:rPr>
        <w:t>10</w:t>
      </w:r>
      <w:r>
        <w:rPr>
          <w:rFonts w:hint="eastAsia" w:eastAsia="宋体"/>
          <w:color w:val="auto"/>
          <w:kern w:val="0"/>
          <w:sz w:val="24"/>
          <w:szCs w:val="24"/>
          <w:lang w:eastAsia="zh-CN"/>
        </w:rPr>
        <w:t>）</w:t>
      </w:r>
      <w:r>
        <w:rPr>
          <w:color w:val="auto"/>
          <w:kern w:val="0"/>
          <w:sz w:val="24"/>
          <w:szCs w:val="24"/>
        </w:rPr>
        <w:t>《建设项目环境影响评价技术导则 总纲》（</w:t>
      </w:r>
      <w:r>
        <w:rPr>
          <w:rFonts w:eastAsia="TimesNewRomanPSMT"/>
          <w:color w:val="auto"/>
          <w:kern w:val="0"/>
          <w:sz w:val="24"/>
          <w:szCs w:val="24"/>
        </w:rPr>
        <w:t>HJ2.1-2016</w:t>
      </w:r>
      <w:r>
        <w:rPr>
          <w:color w:val="auto"/>
          <w:kern w:val="0"/>
          <w:sz w:val="24"/>
          <w:szCs w:val="24"/>
        </w:rPr>
        <w:t>）；</w:t>
      </w:r>
    </w:p>
    <w:p w14:paraId="1B5C2097">
      <w:pPr>
        <w:autoSpaceDE w:val="0"/>
        <w:autoSpaceDN w:val="0"/>
        <w:adjustRightInd w:val="0"/>
        <w:spacing w:line="460" w:lineRule="exact"/>
        <w:ind w:firstLine="480" w:firstLineChars="200"/>
        <w:jc w:val="left"/>
        <w:rPr>
          <w:rFonts w:ascii="Times New Roman" w:hAnsi="Times New Roman" w:eastAsia="宋体" w:cs="Times New Roman"/>
          <w:color w:val="auto"/>
          <w:kern w:val="0"/>
          <w:sz w:val="24"/>
          <w:szCs w:val="24"/>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11</w:t>
      </w:r>
      <w:r>
        <w:rPr>
          <w:rFonts w:hint="eastAsia" w:cs="Times New Roman"/>
          <w:color w:val="auto"/>
          <w:kern w:val="0"/>
          <w:sz w:val="24"/>
          <w:szCs w:val="24"/>
          <w:lang w:eastAsia="zh-CN"/>
        </w:rPr>
        <w:t>）</w:t>
      </w:r>
      <w:r>
        <w:rPr>
          <w:rFonts w:ascii="Times New Roman" w:hAnsi="Times New Roman" w:eastAsia="宋体" w:cs="Times New Roman"/>
          <w:color w:val="auto"/>
          <w:kern w:val="0"/>
          <w:sz w:val="24"/>
          <w:szCs w:val="24"/>
        </w:rPr>
        <w:t>《环境影响评价技术导则 大气环境》（HJ2.2-20</w:t>
      </w:r>
      <w:r>
        <w:rPr>
          <w:rFonts w:hint="eastAsia" w:ascii="Times New Roman" w:hAnsi="Times New Roman" w:eastAsia="宋体" w:cs="Times New Roman"/>
          <w:color w:val="auto"/>
          <w:kern w:val="0"/>
          <w:sz w:val="24"/>
          <w:szCs w:val="24"/>
        </w:rPr>
        <w:t>18</w:t>
      </w:r>
      <w:r>
        <w:rPr>
          <w:rFonts w:ascii="Times New Roman" w:hAnsi="Times New Roman" w:eastAsia="宋体" w:cs="Times New Roman"/>
          <w:color w:val="auto"/>
          <w:kern w:val="0"/>
          <w:sz w:val="24"/>
          <w:szCs w:val="24"/>
        </w:rPr>
        <w:t>）；</w:t>
      </w:r>
    </w:p>
    <w:p w14:paraId="1BCD47A8">
      <w:pPr>
        <w:autoSpaceDE w:val="0"/>
        <w:autoSpaceDN w:val="0"/>
        <w:adjustRightInd w:val="0"/>
        <w:spacing w:line="460" w:lineRule="exact"/>
        <w:ind w:firstLine="480" w:firstLineChars="200"/>
        <w:jc w:val="left"/>
        <w:rPr>
          <w:rFonts w:ascii="Times New Roman" w:hAnsi="Times New Roman" w:eastAsia="宋体" w:cs="Times New Roman"/>
          <w:color w:val="auto"/>
          <w:kern w:val="0"/>
          <w:sz w:val="24"/>
          <w:szCs w:val="24"/>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12</w:t>
      </w:r>
      <w:r>
        <w:rPr>
          <w:rFonts w:hint="eastAsia"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《排污许可证申请与核发技术规范 锅炉》（HJ953-2018）</w:t>
      </w:r>
      <w:r>
        <w:rPr>
          <w:rFonts w:ascii="Times New Roman" w:hAnsi="Times New Roman" w:eastAsia="宋体" w:cs="Times New Roman"/>
          <w:color w:val="auto"/>
          <w:kern w:val="0"/>
          <w:sz w:val="24"/>
          <w:szCs w:val="24"/>
        </w:rPr>
        <w:t>；</w:t>
      </w:r>
    </w:p>
    <w:p w14:paraId="58F2959B">
      <w:pPr>
        <w:autoSpaceDE w:val="0"/>
        <w:autoSpaceDN w:val="0"/>
        <w:adjustRightInd w:val="0"/>
        <w:spacing w:line="460" w:lineRule="exact"/>
        <w:ind w:firstLine="480" w:firstLineChars="200"/>
        <w:jc w:val="left"/>
        <w:rPr>
          <w:rFonts w:hint="eastAsia" w:ascii="Times New Roman" w:hAnsi="Times New Roman" w:eastAsia="宋体" w:cs="Times New Roman"/>
          <w:color w:val="auto"/>
          <w:kern w:val="0"/>
          <w:sz w:val="24"/>
          <w:szCs w:val="24"/>
          <w:lang w:eastAsia="zh-CN"/>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13</w:t>
      </w:r>
      <w:r>
        <w:rPr>
          <w:rFonts w:hint="eastAsia" w:cs="Times New Roman"/>
          <w:color w:val="auto"/>
          <w:kern w:val="0"/>
          <w:sz w:val="24"/>
          <w:szCs w:val="24"/>
          <w:lang w:eastAsia="zh-CN"/>
        </w:rPr>
        <w:t>）</w:t>
      </w:r>
      <w:r>
        <w:rPr>
          <w:rFonts w:hint="eastAsia" w:ascii="Times New Roman" w:hAnsi="Times New Roman" w:eastAsia="宋体" w:cs="Times New Roman"/>
          <w:color w:val="auto"/>
          <w:kern w:val="0"/>
          <w:sz w:val="24"/>
          <w:szCs w:val="24"/>
        </w:rPr>
        <w:t>《排污许可证申请与核发技术规范纺织印染工业》 (HJ861-2017)</w:t>
      </w:r>
      <w:r>
        <w:rPr>
          <w:rFonts w:hint="eastAsia" w:ascii="Times New Roman" w:hAnsi="Times New Roman" w:eastAsia="宋体" w:cs="Times New Roman"/>
          <w:color w:val="auto"/>
          <w:kern w:val="0"/>
          <w:sz w:val="24"/>
          <w:szCs w:val="24"/>
          <w:lang w:eastAsia="zh-CN"/>
        </w:rPr>
        <w:t>；</w:t>
      </w:r>
    </w:p>
    <w:p w14:paraId="4F127915">
      <w:pPr>
        <w:autoSpaceDE w:val="0"/>
        <w:autoSpaceDN w:val="0"/>
        <w:adjustRightInd w:val="0"/>
        <w:spacing w:line="460" w:lineRule="exact"/>
        <w:ind w:firstLine="480" w:firstLineChars="200"/>
        <w:jc w:val="left"/>
        <w:rPr>
          <w:rFonts w:hint="default" w:ascii="Times New Roman" w:hAnsi="Times New Roman" w:eastAsia="TimesNewRomanPSMT" w:cs="Times New Roman"/>
          <w:color w:val="auto"/>
          <w:kern w:val="0"/>
          <w:sz w:val="24"/>
          <w:szCs w:val="24"/>
          <w:lang w:val="en-US" w:eastAsia="zh-CN"/>
        </w:rPr>
      </w:pPr>
      <w:r>
        <w:rPr>
          <w:rFonts w:hint="eastAsia" w:eastAsia="宋体" w:cs="Times New Roman"/>
          <w:color w:val="auto"/>
          <w:kern w:val="0"/>
          <w:sz w:val="24"/>
          <w:szCs w:val="24"/>
          <w:lang w:eastAsia="zh-CN"/>
        </w:rPr>
        <w:t>（</w:t>
      </w:r>
      <w:r>
        <w:rPr>
          <w:rFonts w:hint="eastAsia" w:eastAsia="宋体" w:cs="Times New Roman"/>
          <w:color w:val="auto"/>
          <w:kern w:val="0"/>
          <w:sz w:val="24"/>
          <w:szCs w:val="24"/>
          <w:lang w:val="en-US" w:eastAsia="zh-CN"/>
        </w:rPr>
        <w:t>14</w:t>
      </w:r>
      <w:r>
        <w:rPr>
          <w:rFonts w:hint="eastAsia" w:eastAsia="宋体" w:cs="Times New Roman"/>
          <w:color w:val="auto"/>
          <w:kern w:val="0"/>
          <w:sz w:val="24"/>
          <w:szCs w:val="24"/>
          <w:lang w:eastAsia="zh-CN"/>
        </w:rPr>
        <w:t>）</w:t>
      </w:r>
      <w:r>
        <w:rPr>
          <w:rFonts w:hint="default" w:ascii="Times New Roman" w:hAnsi="Times New Roman" w:eastAsia="TimesNewRomanPSMT" w:cs="Times New Roman"/>
          <w:color w:val="auto"/>
          <w:kern w:val="0"/>
          <w:sz w:val="24"/>
          <w:szCs w:val="24"/>
          <w:lang w:val="en-US" w:eastAsia="zh-CN"/>
        </w:rPr>
        <w:t>《2024年度南通市生态环境状况公报》；</w:t>
      </w:r>
    </w:p>
    <w:p w14:paraId="4B10297C">
      <w:pPr>
        <w:autoSpaceDE w:val="0"/>
        <w:autoSpaceDN w:val="0"/>
        <w:adjustRightInd w:val="0"/>
        <w:spacing w:line="460" w:lineRule="exact"/>
        <w:ind w:firstLine="480" w:firstLineChars="200"/>
        <w:jc w:val="left"/>
        <w:rPr>
          <w:rFonts w:hint="eastAsia" w:ascii="Times New Roman" w:hAnsi="Times New Roman" w:eastAsia="TimesNewRomanPSMT" w:cs="Times New Roman"/>
          <w:color w:val="auto"/>
          <w:kern w:val="0"/>
          <w:sz w:val="24"/>
          <w:szCs w:val="24"/>
          <w:lang w:eastAsia="zh-CN"/>
        </w:rPr>
      </w:pPr>
      <w:r>
        <w:rPr>
          <w:rFonts w:hint="eastAsia" w:eastAsia="宋体" w:cs="Times New Roman"/>
          <w:color w:val="auto"/>
          <w:kern w:val="0"/>
          <w:sz w:val="24"/>
          <w:szCs w:val="24"/>
          <w:lang w:eastAsia="zh-CN"/>
        </w:rPr>
        <w:t>（</w:t>
      </w:r>
      <w:r>
        <w:rPr>
          <w:rFonts w:hint="eastAsia" w:eastAsia="宋体" w:cs="Times New Roman"/>
          <w:color w:val="auto"/>
          <w:kern w:val="0"/>
          <w:sz w:val="24"/>
          <w:szCs w:val="24"/>
          <w:lang w:val="en-US" w:eastAsia="zh-CN"/>
        </w:rPr>
        <w:t>15</w:t>
      </w:r>
      <w:r>
        <w:rPr>
          <w:rFonts w:hint="eastAsia" w:eastAsia="宋体" w:cs="Times New Roman"/>
          <w:color w:val="auto"/>
          <w:kern w:val="0"/>
          <w:sz w:val="24"/>
          <w:szCs w:val="24"/>
          <w:lang w:eastAsia="zh-CN"/>
        </w:rPr>
        <w:t>）</w:t>
      </w:r>
      <w:r>
        <w:rPr>
          <w:rFonts w:hint="default" w:ascii="Times New Roman" w:hAnsi="Times New Roman" w:eastAsia="TimesNewRomanPSMT" w:cs="Times New Roman"/>
          <w:color w:val="auto"/>
          <w:kern w:val="0"/>
          <w:sz w:val="24"/>
          <w:szCs w:val="24"/>
          <w:lang w:val="en-US" w:eastAsia="zh-CN"/>
        </w:rPr>
        <w:t>《大气污染治理工程技术导则》（HJ 2000-2010）；</w:t>
      </w:r>
    </w:p>
    <w:p w14:paraId="7AC696D8">
      <w:pPr>
        <w:autoSpaceDE w:val="0"/>
        <w:autoSpaceDN w:val="0"/>
        <w:adjustRightInd w:val="0"/>
        <w:spacing w:line="460" w:lineRule="exact"/>
        <w:ind w:firstLine="480" w:firstLineChars="200"/>
        <w:jc w:val="left"/>
        <w:rPr>
          <w:rFonts w:hint="eastAsia" w:ascii="Times New Roman" w:hAnsi="Times New Roman" w:eastAsia="TimesNewRomanPSMT" w:cs="Times New Roman"/>
          <w:color w:val="auto"/>
          <w:kern w:val="0"/>
          <w:sz w:val="24"/>
          <w:szCs w:val="24"/>
          <w:lang w:eastAsia="zh-CN"/>
        </w:rPr>
      </w:pPr>
      <w:r>
        <w:rPr>
          <w:rFonts w:hint="eastAsia" w:eastAsia="宋体" w:cs="Times New Roman"/>
          <w:color w:val="auto"/>
          <w:kern w:val="0"/>
          <w:sz w:val="24"/>
          <w:szCs w:val="24"/>
          <w:lang w:eastAsia="zh-CN"/>
        </w:rPr>
        <w:t>（</w:t>
      </w:r>
      <w:r>
        <w:rPr>
          <w:rFonts w:hint="eastAsia" w:eastAsia="宋体" w:cs="Times New Roman"/>
          <w:color w:val="auto"/>
          <w:kern w:val="0"/>
          <w:sz w:val="24"/>
          <w:szCs w:val="24"/>
          <w:lang w:val="en-US" w:eastAsia="zh-CN"/>
        </w:rPr>
        <w:t>16</w:t>
      </w:r>
      <w:r>
        <w:rPr>
          <w:rFonts w:hint="eastAsia" w:eastAsia="宋体" w:cs="Times New Roman"/>
          <w:color w:val="auto"/>
          <w:kern w:val="0"/>
          <w:sz w:val="24"/>
          <w:szCs w:val="24"/>
          <w:lang w:eastAsia="zh-CN"/>
        </w:rPr>
        <w:t>）</w:t>
      </w:r>
      <w:r>
        <w:rPr>
          <w:rFonts w:hint="eastAsia" w:ascii="Times New Roman" w:hAnsi="Times New Roman" w:eastAsia="TimesNewRomanPSMT" w:cs="Times New Roman"/>
          <w:color w:val="auto"/>
          <w:kern w:val="0"/>
          <w:sz w:val="24"/>
          <w:szCs w:val="24"/>
        </w:rPr>
        <w:t>《排放源统计调查产排污核算方法和系数手册-工业行业系数手册》</w:t>
      </w:r>
      <w:r>
        <w:rPr>
          <w:rFonts w:hint="eastAsia" w:ascii="Times New Roman" w:hAnsi="Times New Roman" w:eastAsia="TimesNewRomanPSMT" w:cs="Times New Roman"/>
          <w:color w:val="auto"/>
          <w:kern w:val="0"/>
          <w:sz w:val="24"/>
          <w:szCs w:val="24"/>
          <w:lang w:eastAsia="zh-CN"/>
        </w:rPr>
        <w:t>；</w:t>
      </w:r>
    </w:p>
    <w:p w14:paraId="169CF91B">
      <w:pPr>
        <w:autoSpaceDE w:val="0"/>
        <w:autoSpaceDN w:val="0"/>
        <w:adjustRightInd w:val="0"/>
        <w:spacing w:line="460" w:lineRule="exact"/>
        <w:ind w:firstLine="480" w:firstLineChars="200"/>
        <w:jc w:val="left"/>
        <w:rPr>
          <w:rFonts w:hint="eastAsia" w:ascii="Times New Roman" w:hAnsi="Times New Roman" w:eastAsia="TimesNewRomanPSMT" w:cs="Times New Roman"/>
          <w:color w:val="auto"/>
          <w:kern w:val="0"/>
          <w:sz w:val="24"/>
          <w:szCs w:val="24"/>
          <w:lang w:val="en-US" w:eastAsia="zh-CN"/>
        </w:rPr>
      </w:pPr>
      <w:r>
        <w:rPr>
          <w:rFonts w:hint="eastAsia" w:ascii="Times New Roman" w:hAnsi="Times New Roman" w:eastAsia="TimesNewRomanPSMT" w:cs="Times New Roman"/>
          <w:color w:val="auto"/>
          <w:kern w:val="0"/>
          <w:sz w:val="24"/>
          <w:szCs w:val="24"/>
          <w:lang w:val="en-US" w:eastAsia="zh-CN"/>
        </w:rPr>
        <w:t>（17）</w:t>
      </w:r>
      <w:r>
        <w:rPr>
          <w:rFonts w:hint="default" w:ascii="Times New Roman" w:hAnsi="Times New Roman" w:eastAsia="TimesNewRomanPSMT" w:cs="Times New Roman"/>
          <w:color w:val="auto"/>
          <w:kern w:val="0"/>
          <w:sz w:val="24"/>
          <w:szCs w:val="24"/>
          <w:lang w:val="en-US" w:eastAsia="zh-CN"/>
        </w:rPr>
        <w:t>《</w:t>
      </w:r>
      <w:r>
        <w:rPr>
          <w:rFonts w:hint="eastAsia" w:ascii="Times New Roman" w:hAnsi="Times New Roman" w:eastAsia="TimesNewRomanPSMT" w:cs="Times New Roman"/>
          <w:color w:val="auto"/>
          <w:kern w:val="0"/>
          <w:sz w:val="24"/>
          <w:szCs w:val="24"/>
          <w:lang w:val="en-US" w:eastAsia="zh-CN"/>
        </w:rPr>
        <w:t>排污单位自行监测技术指南火力发电及锅炉</w:t>
      </w:r>
      <w:r>
        <w:rPr>
          <w:rFonts w:hint="default" w:ascii="Times New Roman" w:hAnsi="Times New Roman" w:eastAsia="TimesNewRomanPSMT" w:cs="Times New Roman"/>
          <w:color w:val="auto"/>
          <w:kern w:val="0"/>
          <w:sz w:val="24"/>
          <w:szCs w:val="24"/>
          <w:lang w:val="en-US" w:eastAsia="zh-CN"/>
        </w:rPr>
        <w:t>》（HJ</w:t>
      </w:r>
      <w:r>
        <w:rPr>
          <w:rFonts w:hint="eastAsia" w:ascii="Times New Roman" w:hAnsi="Times New Roman" w:eastAsia="TimesNewRomanPSMT" w:cs="Times New Roman"/>
          <w:color w:val="auto"/>
          <w:kern w:val="0"/>
          <w:sz w:val="24"/>
          <w:szCs w:val="24"/>
          <w:lang w:val="en-US" w:eastAsia="zh-CN"/>
        </w:rPr>
        <w:t>8720-2017</w:t>
      </w:r>
      <w:r>
        <w:rPr>
          <w:rFonts w:hint="default" w:ascii="Times New Roman" w:hAnsi="Times New Roman" w:eastAsia="TimesNewRomanPSMT" w:cs="Times New Roman"/>
          <w:color w:val="auto"/>
          <w:kern w:val="0"/>
          <w:sz w:val="24"/>
          <w:szCs w:val="24"/>
          <w:lang w:val="en-US" w:eastAsia="zh-CN"/>
        </w:rPr>
        <w:t>）</w:t>
      </w:r>
      <w:r>
        <w:rPr>
          <w:rFonts w:hint="eastAsia" w:ascii="Times New Roman" w:hAnsi="Times New Roman" w:eastAsia="TimesNewRomanPSMT" w:cs="Times New Roman"/>
          <w:color w:val="auto"/>
          <w:kern w:val="0"/>
          <w:sz w:val="24"/>
          <w:szCs w:val="24"/>
          <w:lang w:val="en-US" w:eastAsia="zh-CN"/>
        </w:rPr>
        <w:t>；</w:t>
      </w:r>
    </w:p>
    <w:p w14:paraId="40E05F32">
      <w:pPr>
        <w:autoSpaceDE w:val="0"/>
        <w:autoSpaceDN w:val="0"/>
        <w:adjustRightInd w:val="0"/>
        <w:spacing w:line="460" w:lineRule="exact"/>
        <w:ind w:firstLine="480" w:firstLineChars="200"/>
        <w:jc w:val="left"/>
        <w:rPr>
          <w:rFonts w:hint="eastAsia" w:ascii="Times New Roman" w:hAnsi="Times New Roman" w:eastAsia="TimesNewRomanPSMT" w:cs="Times New Roman"/>
          <w:color w:val="auto"/>
          <w:kern w:val="0"/>
          <w:sz w:val="24"/>
          <w:szCs w:val="24"/>
          <w:lang w:val="en-US" w:eastAsia="zh-CN"/>
        </w:rPr>
      </w:pPr>
      <w:r>
        <w:rPr>
          <w:rFonts w:hint="eastAsia" w:ascii="Times New Roman" w:hAnsi="Times New Roman" w:eastAsia="TimesNewRomanPSMT" w:cs="Times New Roman"/>
          <w:color w:val="auto"/>
          <w:kern w:val="0"/>
          <w:sz w:val="24"/>
          <w:szCs w:val="24"/>
          <w:lang w:val="en-US" w:eastAsia="zh-CN"/>
        </w:rPr>
        <w:t>（18）</w:t>
      </w:r>
      <w:r>
        <w:rPr>
          <w:rFonts w:hint="default" w:ascii="Times New Roman" w:hAnsi="Times New Roman" w:eastAsia="TimesNewRomanPSMT" w:cs="Times New Roman"/>
          <w:color w:val="auto"/>
          <w:kern w:val="0"/>
          <w:sz w:val="24"/>
          <w:szCs w:val="24"/>
          <w:lang w:val="en-US" w:eastAsia="zh-CN"/>
        </w:rPr>
        <w:t>《</w:t>
      </w:r>
      <w:r>
        <w:rPr>
          <w:rFonts w:hint="eastAsia" w:ascii="Times New Roman" w:hAnsi="Times New Roman" w:eastAsia="TimesNewRomanPSMT" w:cs="Times New Roman"/>
          <w:color w:val="auto"/>
          <w:kern w:val="0"/>
          <w:sz w:val="24"/>
          <w:szCs w:val="24"/>
          <w:lang w:val="en-US" w:eastAsia="zh-CN"/>
        </w:rPr>
        <w:t>排污单位自行监测技术指南 纺织印染工业</w:t>
      </w:r>
      <w:r>
        <w:rPr>
          <w:rFonts w:hint="default" w:ascii="Times New Roman" w:hAnsi="Times New Roman" w:eastAsia="TimesNewRomanPSMT" w:cs="Times New Roman"/>
          <w:color w:val="auto"/>
          <w:kern w:val="0"/>
          <w:sz w:val="24"/>
          <w:szCs w:val="24"/>
          <w:lang w:val="en-US" w:eastAsia="zh-CN"/>
        </w:rPr>
        <w:t>》（HJ</w:t>
      </w:r>
      <w:r>
        <w:rPr>
          <w:rFonts w:hint="eastAsia" w:ascii="Times New Roman" w:hAnsi="Times New Roman" w:eastAsia="TimesNewRomanPSMT" w:cs="Times New Roman"/>
          <w:color w:val="auto"/>
          <w:kern w:val="0"/>
          <w:sz w:val="24"/>
          <w:szCs w:val="24"/>
          <w:lang w:val="en-US" w:eastAsia="zh-CN"/>
        </w:rPr>
        <w:t>879-2017</w:t>
      </w:r>
      <w:r>
        <w:rPr>
          <w:rFonts w:hint="default" w:ascii="Times New Roman" w:hAnsi="Times New Roman" w:eastAsia="TimesNewRomanPSMT" w:cs="Times New Roman"/>
          <w:color w:val="auto"/>
          <w:kern w:val="0"/>
          <w:sz w:val="24"/>
          <w:szCs w:val="24"/>
          <w:lang w:val="en-US" w:eastAsia="zh-CN"/>
        </w:rPr>
        <w:t>）</w:t>
      </w:r>
      <w:r>
        <w:rPr>
          <w:rFonts w:hint="eastAsia" w:ascii="Times New Roman" w:hAnsi="Times New Roman" w:eastAsia="TimesNewRomanPSMT" w:cs="Times New Roman"/>
          <w:color w:val="auto"/>
          <w:kern w:val="0"/>
          <w:sz w:val="24"/>
          <w:szCs w:val="24"/>
          <w:lang w:val="en-US" w:eastAsia="zh-CN"/>
        </w:rPr>
        <w:t>；</w:t>
      </w:r>
    </w:p>
    <w:p w14:paraId="2BF66BF6">
      <w:pPr>
        <w:autoSpaceDE w:val="0"/>
        <w:autoSpaceDN w:val="0"/>
        <w:adjustRightInd w:val="0"/>
        <w:spacing w:line="460" w:lineRule="exact"/>
        <w:ind w:firstLine="480" w:firstLineChars="200"/>
        <w:jc w:val="left"/>
        <w:rPr>
          <w:rFonts w:ascii="Times New Roman" w:hAnsi="Times New Roman" w:eastAsia="TimesNewRomanPSMT" w:cs="Times New Roman"/>
          <w:color w:val="auto"/>
          <w:kern w:val="0"/>
          <w:sz w:val="24"/>
          <w:szCs w:val="24"/>
        </w:rPr>
      </w:pPr>
      <w:r>
        <w:rPr>
          <w:rFonts w:hint="eastAsia" w:eastAsia="宋体" w:cs="Times New Roman"/>
          <w:color w:val="auto"/>
          <w:kern w:val="0"/>
          <w:sz w:val="24"/>
          <w:szCs w:val="24"/>
          <w:lang w:eastAsia="zh-CN"/>
        </w:rPr>
        <w:t>（</w:t>
      </w:r>
      <w:r>
        <w:rPr>
          <w:rFonts w:hint="eastAsia" w:eastAsia="宋体" w:cs="Times New Roman"/>
          <w:color w:val="auto"/>
          <w:kern w:val="0"/>
          <w:sz w:val="24"/>
          <w:szCs w:val="24"/>
          <w:lang w:val="en-US" w:eastAsia="zh-CN"/>
        </w:rPr>
        <w:t>19</w:t>
      </w:r>
      <w:r>
        <w:rPr>
          <w:rFonts w:hint="eastAsia" w:eastAsia="宋体" w:cs="Times New Roman"/>
          <w:color w:val="auto"/>
          <w:kern w:val="0"/>
          <w:sz w:val="24"/>
          <w:szCs w:val="24"/>
          <w:lang w:eastAsia="zh-CN"/>
        </w:rPr>
        <w:t>）</w:t>
      </w:r>
      <w:r>
        <w:rPr>
          <w:rFonts w:hint="default" w:ascii="Times New Roman" w:hAnsi="Times New Roman" w:eastAsia="TimesNewRomanPSMT" w:cs="Times New Roman"/>
          <w:color w:val="auto"/>
          <w:kern w:val="0"/>
          <w:sz w:val="24"/>
          <w:szCs w:val="24"/>
          <w:lang w:val="en-US" w:eastAsia="zh-CN"/>
        </w:rPr>
        <w:t>建设单位提供的其它有关的技术资料。</w:t>
      </w:r>
    </w:p>
    <w:p w14:paraId="0B2DBAB2">
      <w:pPr>
        <w:pStyle w:val="3"/>
        <w:spacing w:before="0" w:after="0" w:line="460" w:lineRule="exact"/>
        <w:rPr>
          <w:rFonts w:eastAsia="宋体"/>
          <w:color w:val="auto"/>
          <w:kern w:val="0"/>
          <w:szCs w:val="28"/>
        </w:rPr>
      </w:pPr>
      <w:bookmarkStart w:id="20" w:name="_Toc13098"/>
      <w:bookmarkStart w:id="21" w:name="_Toc26715"/>
      <w:r>
        <w:rPr>
          <w:rFonts w:eastAsia="宋体"/>
          <w:color w:val="auto"/>
          <w:kern w:val="0"/>
          <w:szCs w:val="28"/>
        </w:rPr>
        <w:t>1</w:t>
      </w:r>
      <w:r>
        <w:rPr>
          <w:rFonts w:hint="eastAsia" w:eastAsia="宋体"/>
          <w:color w:val="auto"/>
          <w:kern w:val="0"/>
          <w:szCs w:val="28"/>
        </w:rPr>
        <w:t>.</w:t>
      </w:r>
      <w:bookmarkEnd w:id="20"/>
      <w:r>
        <w:rPr>
          <w:rFonts w:hint="eastAsia" w:eastAsia="宋体"/>
          <w:color w:val="auto"/>
          <w:kern w:val="0"/>
          <w:szCs w:val="28"/>
          <w:lang w:val="en-US" w:eastAsia="zh-CN"/>
        </w:rPr>
        <w:t>3评价因子</w:t>
      </w:r>
      <w:bookmarkEnd w:id="21"/>
    </w:p>
    <w:p w14:paraId="4310D500">
      <w:pPr>
        <w:autoSpaceDE w:val="0"/>
        <w:autoSpaceDN w:val="0"/>
        <w:adjustRightInd w:val="0"/>
        <w:spacing w:line="460" w:lineRule="exact"/>
        <w:ind w:firstLine="480" w:firstLineChars="200"/>
        <w:jc w:val="left"/>
        <w:rPr>
          <w:rFonts w:hint="eastAsia"/>
          <w:color w:val="FF0000"/>
          <w:kern w:val="0"/>
          <w:sz w:val="24"/>
          <w:szCs w:val="24"/>
        </w:rPr>
      </w:pPr>
      <w:r>
        <w:rPr>
          <w:rFonts w:hint="eastAsia"/>
          <w:color w:val="FF0000"/>
          <w:kern w:val="0"/>
          <w:sz w:val="24"/>
          <w:szCs w:val="24"/>
        </w:rPr>
        <w:t>（1）环境影响因素识别</w:t>
      </w:r>
    </w:p>
    <w:p w14:paraId="24BED615">
      <w:pPr>
        <w:autoSpaceDE w:val="0"/>
        <w:autoSpaceDN w:val="0"/>
        <w:adjustRightInd w:val="0"/>
        <w:spacing w:line="460" w:lineRule="exact"/>
        <w:ind w:firstLine="480" w:firstLineChars="200"/>
        <w:jc w:val="left"/>
        <w:rPr>
          <w:rFonts w:hint="eastAsia"/>
          <w:color w:val="FF0000"/>
          <w:kern w:val="0"/>
          <w:sz w:val="24"/>
          <w:szCs w:val="24"/>
        </w:rPr>
      </w:pPr>
      <w:r>
        <w:rPr>
          <w:rFonts w:hint="eastAsia"/>
          <w:color w:val="FF0000"/>
          <w:kern w:val="0"/>
          <w:sz w:val="24"/>
          <w:szCs w:val="24"/>
        </w:rPr>
        <w:t>本工程施工期、运行期和服务期满后均会对周围环境产生影响，根据工程特点，本项目环境影响矩阵识别表见表</w:t>
      </w:r>
      <w:r>
        <w:rPr>
          <w:rFonts w:hint="eastAsia"/>
          <w:color w:val="FF0000"/>
          <w:kern w:val="0"/>
          <w:sz w:val="24"/>
          <w:szCs w:val="24"/>
          <w:lang w:val="en-US" w:eastAsia="zh-CN"/>
        </w:rPr>
        <w:t>1</w:t>
      </w:r>
      <w:r>
        <w:rPr>
          <w:rFonts w:hint="eastAsia"/>
          <w:color w:val="FF0000"/>
          <w:kern w:val="0"/>
          <w:sz w:val="24"/>
          <w:szCs w:val="24"/>
        </w:rPr>
        <w:t>-1。</w:t>
      </w:r>
    </w:p>
    <w:p w14:paraId="014A22AE">
      <w:pPr>
        <w:pStyle w:val="156"/>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表</w:t>
      </w:r>
      <w:r>
        <w:rPr>
          <w:rFonts w:hint="default"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rPr>
        <w:t xml:space="preserve">-1  </w:t>
      </w:r>
      <w:r>
        <w:rPr>
          <w:rFonts w:hint="eastAsia" w:ascii="Times New Roman" w:hAnsi="Times New Roman" w:eastAsia="宋体" w:cs="Times New Roman"/>
          <w:color w:val="FF0000"/>
          <w:sz w:val="24"/>
          <w:szCs w:val="24"/>
          <w:lang w:val="en-US" w:eastAsia="zh-CN"/>
        </w:rPr>
        <w:t>主要环境要素影响</w:t>
      </w:r>
      <w:r>
        <w:rPr>
          <w:rFonts w:hint="eastAsia"/>
          <w:color w:val="FF0000"/>
          <w:kern w:val="0"/>
          <w:sz w:val="24"/>
          <w:szCs w:val="24"/>
        </w:rPr>
        <w:t>识别矩阵</w:t>
      </w:r>
    </w:p>
    <w:tbl>
      <w:tblPr>
        <w:tblStyle w:val="37"/>
        <w:tblW w:w="4997" w:type="pct"/>
        <w:jc w:val="center"/>
        <w:tblLayout w:type="autofit"/>
        <w:tblCellMar>
          <w:top w:w="0" w:type="dxa"/>
          <w:left w:w="108" w:type="dxa"/>
          <w:bottom w:w="0" w:type="dxa"/>
          <w:right w:w="108" w:type="dxa"/>
        </w:tblCellMar>
      </w:tblPr>
      <w:tblGrid>
        <w:gridCol w:w="786"/>
        <w:gridCol w:w="1586"/>
        <w:gridCol w:w="606"/>
        <w:gridCol w:w="681"/>
        <w:gridCol w:w="772"/>
        <w:gridCol w:w="515"/>
        <w:gridCol w:w="648"/>
        <w:gridCol w:w="515"/>
        <w:gridCol w:w="515"/>
        <w:gridCol w:w="515"/>
        <w:gridCol w:w="1163"/>
      </w:tblGrid>
      <w:tr w14:paraId="027EF5FE">
        <w:tblPrEx>
          <w:tblCellMar>
            <w:top w:w="0" w:type="dxa"/>
            <w:left w:w="108" w:type="dxa"/>
            <w:bottom w:w="0" w:type="dxa"/>
            <w:right w:w="108" w:type="dxa"/>
          </w:tblCellMar>
        </w:tblPrEx>
        <w:trPr>
          <w:cantSplit/>
          <w:trHeight w:val="340" w:hRule="atLeast"/>
          <w:tblHeader/>
          <w:jc w:val="center"/>
        </w:trPr>
        <w:tc>
          <w:tcPr>
            <w:tcW w:w="1428" w:type="pct"/>
            <w:gridSpan w:val="2"/>
            <w:vMerge w:val="restart"/>
            <w:tcBorders>
              <w:top w:val="single" w:color="000000" w:sz="12" w:space="0"/>
              <w:left w:val="nil"/>
              <w:bottom w:val="single" w:color="000000" w:sz="8" w:space="0"/>
              <w:right w:val="single" w:color="000000" w:sz="4" w:space="0"/>
            </w:tcBorders>
            <w:tcMar>
              <w:top w:w="0" w:type="dxa"/>
              <w:left w:w="28" w:type="dxa"/>
              <w:bottom w:w="0" w:type="dxa"/>
              <w:right w:w="28" w:type="dxa"/>
            </w:tcMar>
            <w:vAlign w:val="center"/>
          </w:tcPr>
          <w:p w14:paraId="14212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影响因素</w:t>
            </w:r>
          </w:p>
        </w:tc>
        <w:tc>
          <w:tcPr>
            <w:tcW w:w="1940" w:type="pct"/>
            <w:gridSpan w:val="5"/>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76B40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自然环境</w:t>
            </w:r>
          </w:p>
        </w:tc>
        <w:tc>
          <w:tcPr>
            <w:tcW w:w="1630" w:type="pct"/>
            <w:gridSpan w:val="4"/>
            <w:tcBorders>
              <w:top w:val="single" w:color="000000" w:sz="12" w:space="0"/>
              <w:left w:val="single" w:color="000000" w:sz="4" w:space="0"/>
              <w:bottom w:val="single" w:color="000000" w:sz="8" w:space="0"/>
            </w:tcBorders>
            <w:tcMar>
              <w:top w:w="0" w:type="dxa"/>
              <w:left w:w="28" w:type="dxa"/>
              <w:bottom w:w="0" w:type="dxa"/>
              <w:right w:w="28" w:type="dxa"/>
            </w:tcMar>
            <w:vAlign w:val="center"/>
          </w:tcPr>
          <w:p w14:paraId="4897C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生态环境</w:t>
            </w:r>
          </w:p>
        </w:tc>
      </w:tr>
      <w:tr w14:paraId="62D01D4E">
        <w:tblPrEx>
          <w:tblCellMar>
            <w:top w:w="0" w:type="dxa"/>
            <w:left w:w="108" w:type="dxa"/>
            <w:bottom w:w="0" w:type="dxa"/>
            <w:right w:w="108" w:type="dxa"/>
          </w:tblCellMar>
        </w:tblPrEx>
        <w:trPr>
          <w:cantSplit/>
          <w:trHeight w:val="340" w:hRule="atLeast"/>
          <w:tblHeader/>
          <w:jc w:val="center"/>
        </w:trPr>
        <w:tc>
          <w:tcPr>
            <w:tcW w:w="1428" w:type="pct"/>
            <w:gridSpan w:val="2"/>
            <w:vMerge w:val="continue"/>
            <w:tcBorders>
              <w:top w:val="single" w:color="000000" w:sz="8" w:space="0"/>
              <w:left w:val="nil"/>
              <w:bottom w:val="single" w:color="000000" w:sz="12" w:space="0"/>
              <w:right w:val="single" w:color="000000" w:sz="4" w:space="0"/>
            </w:tcBorders>
            <w:tcMar>
              <w:top w:w="0" w:type="dxa"/>
              <w:left w:w="28" w:type="dxa"/>
              <w:bottom w:w="0" w:type="dxa"/>
              <w:right w:w="28" w:type="dxa"/>
            </w:tcMar>
            <w:vAlign w:val="center"/>
          </w:tcPr>
          <w:p w14:paraId="5BAFC9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365"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01C843AB">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环境空气</w:t>
            </w:r>
          </w:p>
        </w:tc>
        <w:tc>
          <w:tcPr>
            <w:tcW w:w="4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7AD8B010">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地表水环境</w:t>
            </w:r>
          </w:p>
        </w:tc>
        <w:tc>
          <w:tcPr>
            <w:tcW w:w="465"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65E757D0">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地下水环境</w:t>
            </w: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7720BD05">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土壤环境</w:t>
            </w:r>
          </w:p>
        </w:tc>
        <w:tc>
          <w:tcPr>
            <w:tcW w:w="388"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3E006F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声环境</w:t>
            </w: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31C98A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陆域环境</w:t>
            </w: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1BE58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水生生物</w:t>
            </w: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4EE212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渔业资源</w:t>
            </w:r>
          </w:p>
        </w:tc>
        <w:tc>
          <w:tcPr>
            <w:tcW w:w="699" w:type="pct"/>
            <w:tcBorders>
              <w:top w:val="single" w:color="000000" w:sz="8" w:space="0"/>
              <w:left w:val="single" w:color="000000" w:sz="4" w:space="0"/>
              <w:bottom w:val="single" w:color="000000" w:sz="12" w:space="0"/>
            </w:tcBorders>
            <w:tcMar>
              <w:top w:w="0" w:type="dxa"/>
              <w:left w:w="28" w:type="dxa"/>
              <w:bottom w:w="0" w:type="dxa"/>
              <w:right w:w="28" w:type="dxa"/>
            </w:tcMar>
            <w:vAlign w:val="center"/>
          </w:tcPr>
          <w:p w14:paraId="51F5EE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主要生态保护区域</w:t>
            </w:r>
          </w:p>
        </w:tc>
      </w:tr>
      <w:tr w14:paraId="2DB2F4D6">
        <w:tblPrEx>
          <w:tblCellMar>
            <w:top w:w="0" w:type="dxa"/>
            <w:left w:w="108" w:type="dxa"/>
            <w:bottom w:w="0" w:type="dxa"/>
            <w:right w:w="108" w:type="dxa"/>
          </w:tblCellMar>
        </w:tblPrEx>
        <w:trPr>
          <w:cantSplit/>
          <w:trHeight w:val="340" w:hRule="atLeast"/>
          <w:jc w:val="center"/>
        </w:trPr>
        <w:tc>
          <w:tcPr>
            <w:tcW w:w="473" w:type="pct"/>
            <w:vMerge w:val="restart"/>
            <w:tcBorders>
              <w:top w:val="single" w:color="000000" w:sz="12" w:space="0"/>
              <w:left w:val="nil"/>
              <w:bottom w:val="single" w:color="000000" w:sz="8" w:space="0"/>
              <w:right w:val="single" w:color="000000" w:sz="4" w:space="0"/>
            </w:tcBorders>
            <w:tcMar>
              <w:top w:w="0" w:type="dxa"/>
              <w:left w:w="28" w:type="dxa"/>
              <w:bottom w:w="0" w:type="dxa"/>
              <w:right w:w="28" w:type="dxa"/>
            </w:tcMar>
            <w:vAlign w:val="center"/>
          </w:tcPr>
          <w:p w14:paraId="65012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施工期</w:t>
            </w:r>
          </w:p>
        </w:tc>
        <w:tc>
          <w:tcPr>
            <w:tcW w:w="955"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85473F8">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施工废水</w:t>
            </w:r>
          </w:p>
        </w:tc>
        <w:tc>
          <w:tcPr>
            <w:tcW w:w="365"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AF1EC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E0DAA6F">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FF0000"/>
                <w:sz w:val="21"/>
                <w:szCs w:val="21"/>
              </w:rPr>
            </w:pPr>
          </w:p>
        </w:tc>
        <w:tc>
          <w:tcPr>
            <w:tcW w:w="465"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D500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346954F">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5DAE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909B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3E20E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12"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263D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12" w:space="0"/>
              <w:left w:val="single" w:color="000000" w:sz="4" w:space="0"/>
              <w:bottom w:val="single" w:color="000000" w:sz="8" w:space="0"/>
            </w:tcBorders>
            <w:tcMar>
              <w:top w:w="0" w:type="dxa"/>
              <w:left w:w="28" w:type="dxa"/>
              <w:bottom w:w="0" w:type="dxa"/>
              <w:right w:w="28" w:type="dxa"/>
            </w:tcMar>
            <w:vAlign w:val="center"/>
          </w:tcPr>
          <w:p w14:paraId="5C5B17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2D616A4F">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45677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E97D459">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施工扬尘</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1BA2F27">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EAFB6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5F248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ADDA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3BE3C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4330F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5D39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135C7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47268F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284842A5">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0D382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E9BD974">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施工噪声</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BF21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06E1F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BC54B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AF95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A89AF13">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-1S</w:t>
            </w: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F0E3C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0460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A1A2F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49AA60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1524AADE">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77317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01C65BB">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施工废渣</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C777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F75EA92">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9B4B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609920D">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834B7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977D9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5D6E8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0B4D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34F0C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4506D17E">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3ABBC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0FB270C">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基坑开挖</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E15DE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8042C4F">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324AB91">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0D69D7D">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4648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F8E5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2C5CD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9576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1A5189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79C3D534">
        <w:tblPrEx>
          <w:tblCellMar>
            <w:top w:w="0" w:type="dxa"/>
            <w:left w:w="108" w:type="dxa"/>
            <w:bottom w:w="0" w:type="dxa"/>
            <w:right w:w="108" w:type="dxa"/>
          </w:tblCellMar>
        </w:tblPrEx>
        <w:trPr>
          <w:cantSplit/>
          <w:trHeight w:val="340" w:hRule="atLeast"/>
          <w:jc w:val="center"/>
        </w:trPr>
        <w:tc>
          <w:tcPr>
            <w:tcW w:w="473" w:type="pct"/>
            <w:vMerge w:val="restart"/>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319F9715">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运行期</w:t>
            </w: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273BEF8">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废水排放</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D720E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BABDF38">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-1L</w:t>
            </w: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B9F4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83B3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2036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83D6548">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6633A9F">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7CCB9D6">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2401F294">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63BFEEF1">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68D72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172EA17">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废气排放</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08B2EA6">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-1L</w:t>
            </w: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6897C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371B8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CB2E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7431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39009B0">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-1L</w:t>
            </w: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7D04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CB7A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4C3D38FC">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49E4EEA4">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553E73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7EBBC02">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噪声排放</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9986D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79E1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8365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868E1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AA4C425">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-1L</w:t>
            </w: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E056D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1363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8D402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0880A2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3FE8B1FB">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6EA3F3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2CAF55A">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固体废物</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F334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D3990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4786C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AE70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CDDCF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4691B6B">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-1L</w:t>
            </w: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F4DC2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53107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34FBE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3DA0EA08">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5D00B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0C6335B">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事故风险</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EACE5ED">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-3S</w:t>
            </w: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9FD93F5">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-3S</w:t>
            </w: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0220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-3S</w:t>
            </w: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3A67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-3S</w:t>
            </w: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4AAC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78FB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-2S</w:t>
            </w: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05C2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B4194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1DFAE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0CEA960A">
        <w:tblPrEx>
          <w:tblCellMar>
            <w:top w:w="0" w:type="dxa"/>
            <w:left w:w="108" w:type="dxa"/>
            <w:bottom w:w="0" w:type="dxa"/>
            <w:right w:w="108" w:type="dxa"/>
          </w:tblCellMar>
        </w:tblPrEx>
        <w:trPr>
          <w:cantSplit/>
          <w:trHeight w:val="340" w:hRule="atLeast"/>
          <w:jc w:val="center"/>
        </w:trPr>
        <w:tc>
          <w:tcPr>
            <w:tcW w:w="473" w:type="pct"/>
            <w:vMerge w:val="restart"/>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613F1ACF">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服务期满后</w:t>
            </w: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CF4523D">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废水排放</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403B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E592DFA">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E45A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0B2F3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C3E8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50514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EF7B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05A8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0C329E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4AF3DF35">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1E8AB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4B7C9C8A">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废气排放</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68E38B2">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-1S</w:t>
            </w: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921C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EF53F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619184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68AE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A9565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068B5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BFFD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40C119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63CDBF76">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8" w:space="0"/>
              <w:right w:val="single" w:color="000000" w:sz="4" w:space="0"/>
            </w:tcBorders>
            <w:tcMar>
              <w:top w:w="0" w:type="dxa"/>
              <w:left w:w="28" w:type="dxa"/>
              <w:bottom w:w="0" w:type="dxa"/>
              <w:right w:w="28" w:type="dxa"/>
            </w:tcMar>
            <w:vAlign w:val="center"/>
          </w:tcPr>
          <w:p w14:paraId="08C6DE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04D0454">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固体废物</w:t>
            </w:r>
          </w:p>
        </w:tc>
        <w:tc>
          <w:tcPr>
            <w:tcW w:w="3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35ABD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C89F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4E4C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07C117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15BF8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7024F18E">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-1S</w:t>
            </w: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5453D5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8" w:space="0"/>
              <w:right w:val="single" w:color="000000" w:sz="4" w:space="0"/>
            </w:tcBorders>
            <w:tcMar>
              <w:top w:w="0" w:type="dxa"/>
              <w:left w:w="28" w:type="dxa"/>
              <w:bottom w:w="0" w:type="dxa"/>
              <w:right w:w="28" w:type="dxa"/>
            </w:tcMar>
            <w:vAlign w:val="center"/>
          </w:tcPr>
          <w:p w14:paraId="2F33D9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8" w:space="0"/>
            </w:tcBorders>
            <w:tcMar>
              <w:top w:w="0" w:type="dxa"/>
              <w:left w:w="28" w:type="dxa"/>
              <w:bottom w:w="0" w:type="dxa"/>
              <w:right w:w="28" w:type="dxa"/>
            </w:tcMar>
            <w:vAlign w:val="center"/>
          </w:tcPr>
          <w:p w14:paraId="7338C4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r w14:paraId="0304ED48">
        <w:tblPrEx>
          <w:tblCellMar>
            <w:top w:w="0" w:type="dxa"/>
            <w:left w:w="108" w:type="dxa"/>
            <w:bottom w:w="0" w:type="dxa"/>
            <w:right w:w="108" w:type="dxa"/>
          </w:tblCellMar>
        </w:tblPrEx>
        <w:trPr>
          <w:cantSplit/>
          <w:trHeight w:val="340" w:hRule="atLeast"/>
          <w:jc w:val="center"/>
        </w:trPr>
        <w:tc>
          <w:tcPr>
            <w:tcW w:w="473" w:type="pct"/>
            <w:vMerge w:val="continue"/>
            <w:tcBorders>
              <w:top w:val="single" w:color="000000" w:sz="8" w:space="0"/>
              <w:left w:val="nil"/>
              <w:bottom w:val="single" w:color="000000" w:sz="12" w:space="0"/>
              <w:right w:val="single" w:color="000000" w:sz="4" w:space="0"/>
            </w:tcBorders>
            <w:tcMar>
              <w:top w:w="0" w:type="dxa"/>
              <w:left w:w="28" w:type="dxa"/>
              <w:bottom w:w="0" w:type="dxa"/>
              <w:right w:w="28" w:type="dxa"/>
            </w:tcMar>
            <w:vAlign w:val="center"/>
          </w:tcPr>
          <w:p w14:paraId="673707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1"/>
                <w:szCs w:val="21"/>
              </w:rPr>
            </w:pPr>
          </w:p>
        </w:tc>
        <w:tc>
          <w:tcPr>
            <w:tcW w:w="955"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452AA051">
            <w:pPr>
              <w:keepNext w:val="0"/>
              <w:keepLines w:val="0"/>
              <w:pageBreakBefore w:val="0"/>
              <w:widowControl w:val="0"/>
              <w:tabs>
                <w:tab w:val="left" w:pos="57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事故风险</w:t>
            </w:r>
          </w:p>
        </w:tc>
        <w:tc>
          <w:tcPr>
            <w:tcW w:w="365"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0F551E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4F78C9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465"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67D985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1EEC50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88"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6AE356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2E75A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7260A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310" w:type="pct"/>
            <w:tcBorders>
              <w:top w:val="single" w:color="000000" w:sz="8" w:space="0"/>
              <w:left w:val="single" w:color="000000" w:sz="4" w:space="0"/>
              <w:bottom w:val="single" w:color="000000" w:sz="12" w:space="0"/>
              <w:right w:val="single" w:color="000000" w:sz="4" w:space="0"/>
            </w:tcBorders>
            <w:tcMar>
              <w:top w:w="0" w:type="dxa"/>
              <w:left w:w="28" w:type="dxa"/>
              <w:bottom w:w="0" w:type="dxa"/>
              <w:right w:w="28" w:type="dxa"/>
            </w:tcMar>
            <w:vAlign w:val="center"/>
          </w:tcPr>
          <w:p w14:paraId="00CF04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c>
          <w:tcPr>
            <w:tcW w:w="699" w:type="pct"/>
            <w:tcBorders>
              <w:top w:val="single" w:color="000000" w:sz="8" w:space="0"/>
              <w:left w:val="single" w:color="000000" w:sz="4" w:space="0"/>
              <w:bottom w:val="single" w:color="000000" w:sz="12" w:space="0"/>
            </w:tcBorders>
            <w:tcMar>
              <w:top w:w="0" w:type="dxa"/>
              <w:left w:w="28" w:type="dxa"/>
              <w:bottom w:w="0" w:type="dxa"/>
              <w:right w:w="28" w:type="dxa"/>
            </w:tcMar>
            <w:vAlign w:val="center"/>
          </w:tcPr>
          <w:p w14:paraId="20FC1D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bl>
    <w:p w14:paraId="2845F585">
      <w:pPr>
        <w:pStyle w:val="147"/>
        <w:keepNext w:val="0"/>
        <w:keepLines w:val="0"/>
        <w:pageBreakBefore w:val="0"/>
        <w:widowControl w:val="0"/>
        <w:kinsoku/>
        <w:wordWrap/>
        <w:overflowPunct/>
        <w:topLinePunct w:val="0"/>
        <w:autoSpaceDE/>
        <w:autoSpaceDN/>
        <w:bidi w:val="0"/>
        <w:adjustRightInd w:val="0"/>
        <w:snapToGrid w:val="0"/>
        <w:spacing w:line="240" w:lineRule="auto"/>
        <w:ind w:firstLine="361" w:firstLineChars="200"/>
        <w:jc w:val="left"/>
        <w:textAlignment w:val="auto"/>
        <w:rPr>
          <w:rFonts w:hint="eastAsia"/>
          <w:color w:val="FF0000"/>
          <w:kern w:val="0"/>
          <w:sz w:val="24"/>
          <w:szCs w:val="24"/>
        </w:rPr>
      </w:pPr>
      <w:r>
        <w:rPr>
          <w:rFonts w:hint="default" w:ascii="Times New Roman" w:hAnsi="Times New Roman" w:eastAsia="宋体" w:cs="Times New Roman"/>
          <w:b/>
          <w:bCs/>
          <w:color w:val="FF0000"/>
          <w:sz w:val="18"/>
          <w:szCs w:val="18"/>
        </w:rPr>
        <w:t>注：“+”、“-”分别表示有利、不利影响；“L”、“S”分别表示长期、短期影响；“0”、“”1、“2”、“3”数值分别表示无影响、轻微影响、中等影响和重大影响；用“D”、“I”表示直接、间接影响。</w:t>
      </w:r>
    </w:p>
    <w:p w14:paraId="1401AC8E">
      <w:pPr>
        <w:autoSpaceDE w:val="0"/>
        <w:autoSpaceDN w:val="0"/>
        <w:adjustRightInd w:val="0"/>
        <w:spacing w:line="460" w:lineRule="exact"/>
        <w:ind w:firstLine="480" w:firstLineChars="200"/>
        <w:jc w:val="left"/>
        <w:rPr>
          <w:rFonts w:hint="eastAsia"/>
          <w:color w:val="FF0000"/>
          <w:kern w:val="0"/>
          <w:sz w:val="24"/>
          <w:szCs w:val="24"/>
        </w:rPr>
      </w:pPr>
      <w:r>
        <w:rPr>
          <w:rFonts w:hint="eastAsia"/>
          <w:color w:val="FF0000"/>
          <w:kern w:val="0"/>
          <w:sz w:val="24"/>
          <w:szCs w:val="24"/>
        </w:rPr>
        <w:t>（2）评价因子筛选</w:t>
      </w:r>
    </w:p>
    <w:p w14:paraId="039B5610">
      <w:pPr>
        <w:autoSpaceDE w:val="0"/>
        <w:autoSpaceDN w:val="0"/>
        <w:adjustRightInd w:val="0"/>
        <w:spacing w:line="460" w:lineRule="exact"/>
        <w:ind w:firstLine="480" w:firstLineChars="200"/>
        <w:jc w:val="left"/>
        <w:rPr>
          <w:color w:val="FF0000"/>
          <w:kern w:val="0"/>
          <w:sz w:val="24"/>
          <w:szCs w:val="24"/>
        </w:rPr>
      </w:pPr>
      <w:r>
        <w:rPr>
          <w:rFonts w:hint="eastAsia"/>
          <w:color w:val="FF0000"/>
          <w:kern w:val="0"/>
          <w:sz w:val="24"/>
          <w:szCs w:val="24"/>
        </w:rPr>
        <w:t>根据环境影响因素识别，结合工程排污特征和当地环境质量现状，工程运行期评价因子筛选和确定详见表</w:t>
      </w:r>
      <w:r>
        <w:rPr>
          <w:rFonts w:hint="eastAsia"/>
          <w:color w:val="FF0000"/>
          <w:kern w:val="0"/>
          <w:sz w:val="24"/>
          <w:szCs w:val="24"/>
          <w:lang w:val="en-US" w:eastAsia="zh-CN"/>
        </w:rPr>
        <w:t>1</w:t>
      </w:r>
      <w:r>
        <w:rPr>
          <w:rFonts w:hint="eastAsia"/>
          <w:color w:val="FF0000"/>
          <w:kern w:val="0"/>
          <w:sz w:val="24"/>
          <w:szCs w:val="24"/>
        </w:rPr>
        <w:t>-2。</w:t>
      </w:r>
    </w:p>
    <w:p w14:paraId="62A0C4CF">
      <w:pPr>
        <w:autoSpaceDE w:val="0"/>
        <w:autoSpaceDN w:val="0"/>
        <w:spacing w:line="460" w:lineRule="exact"/>
        <w:jc w:val="center"/>
        <w:rPr>
          <w:b/>
          <w:bCs/>
          <w:color w:val="FF0000"/>
          <w:sz w:val="24"/>
          <w:szCs w:val="24"/>
        </w:rPr>
      </w:pPr>
      <w:r>
        <w:rPr>
          <w:rFonts w:ascii="宋体" w:hAnsi="宋体"/>
          <w:b/>
          <w:bCs/>
          <w:color w:val="FF0000"/>
          <w:sz w:val="24"/>
          <w:szCs w:val="24"/>
        </w:rPr>
        <w:t>表</w:t>
      </w:r>
      <w:r>
        <w:rPr>
          <w:rFonts w:hint="eastAsia"/>
          <w:b/>
          <w:bCs/>
          <w:color w:val="FF0000"/>
          <w:sz w:val="24"/>
          <w:szCs w:val="24"/>
        </w:rPr>
        <w:t>1</w:t>
      </w:r>
      <w:r>
        <w:rPr>
          <w:b/>
          <w:bCs/>
          <w:color w:val="FF0000"/>
          <w:sz w:val="24"/>
          <w:szCs w:val="24"/>
        </w:rPr>
        <w:t>-</w:t>
      </w:r>
      <w:r>
        <w:rPr>
          <w:rFonts w:hint="eastAsia"/>
          <w:b/>
          <w:bCs/>
          <w:color w:val="FF0000"/>
          <w:sz w:val="24"/>
          <w:szCs w:val="24"/>
          <w:lang w:val="en-US" w:eastAsia="zh-CN"/>
        </w:rPr>
        <w:t>2</w:t>
      </w:r>
      <w:r>
        <w:rPr>
          <w:b/>
          <w:bCs/>
          <w:color w:val="FF0000"/>
          <w:sz w:val="24"/>
          <w:szCs w:val="24"/>
        </w:rPr>
        <w:t xml:space="preserve">  </w:t>
      </w:r>
      <w:r>
        <w:rPr>
          <w:rFonts w:ascii="宋体" w:hAnsi="宋体"/>
          <w:b/>
          <w:bCs/>
          <w:color w:val="FF0000"/>
          <w:sz w:val="24"/>
          <w:szCs w:val="24"/>
        </w:rPr>
        <w:t>评价因子一览表</w:t>
      </w:r>
    </w:p>
    <w:tbl>
      <w:tblPr>
        <w:tblStyle w:val="3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3009"/>
        <w:gridCol w:w="2786"/>
        <w:gridCol w:w="1382"/>
      </w:tblGrid>
      <w:tr w14:paraId="1970E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Align w:val="center"/>
          </w:tcPr>
          <w:p w14:paraId="47FD156E">
            <w:pPr>
              <w:autoSpaceDE w:val="0"/>
              <w:autoSpaceDN w:val="0"/>
              <w:adjustRightInd w:val="0"/>
              <w:snapToGrid w:val="0"/>
              <w:jc w:val="center"/>
              <w:rPr>
                <w:b/>
                <w:bCs/>
                <w:color w:val="FF0000"/>
                <w:szCs w:val="21"/>
              </w:rPr>
            </w:pPr>
            <w:r>
              <w:rPr>
                <w:b/>
                <w:bCs/>
                <w:color w:val="FF0000"/>
                <w:szCs w:val="21"/>
              </w:rPr>
              <w:t>要素</w:t>
            </w:r>
          </w:p>
        </w:tc>
        <w:tc>
          <w:tcPr>
            <w:tcW w:w="1812" w:type="pct"/>
            <w:vAlign w:val="center"/>
          </w:tcPr>
          <w:p w14:paraId="76CF891F">
            <w:pPr>
              <w:autoSpaceDE w:val="0"/>
              <w:autoSpaceDN w:val="0"/>
              <w:adjustRightInd w:val="0"/>
              <w:snapToGrid w:val="0"/>
              <w:jc w:val="center"/>
              <w:rPr>
                <w:b/>
                <w:bCs/>
                <w:color w:val="FF0000"/>
                <w:szCs w:val="21"/>
              </w:rPr>
            </w:pPr>
            <w:r>
              <w:rPr>
                <w:b/>
                <w:bCs/>
                <w:color w:val="FF0000"/>
                <w:szCs w:val="21"/>
                <w:highlight w:val="none"/>
              </w:rPr>
              <w:t>现状评价因子</w:t>
            </w:r>
          </w:p>
        </w:tc>
        <w:tc>
          <w:tcPr>
            <w:tcW w:w="1678" w:type="pct"/>
            <w:vAlign w:val="center"/>
          </w:tcPr>
          <w:p w14:paraId="66871B0A">
            <w:pPr>
              <w:autoSpaceDE w:val="0"/>
              <w:autoSpaceDN w:val="0"/>
              <w:adjustRightInd w:val="0"/>
              <w:snapToGrid w:val="0"/>
              <w:jc w:val="center"/>
              <w:rPr>
                <w:b/>
                <w:bCs/>
                <w:color w:val="FF0000"/>
                <w:szCs w:val="21"/>
              </w:rPr>
            </w:pPr>
            <w:r>
              <w:rPr>
                <w:b/>
                <w:bCs/>
                <w:color w:val="FF0000"/>
                <w:szCs w:val="21"/>
              </w:rPr>
              <w:t>影响评价因子</w:t>
            </w:r>
          </w:p>
        </w:tc>
        <w:tc>
          <w:tcPr>
            <w:tcW w:w="832" w:type="pct"/>
            <w:vAlign w:val="center"/>
          </w:tcPr>
          <w:p w14:paraId="16F02A83">
            <w:pPr>
              <w:autoSpaceDE w:val="0"/>
              <w:autoSpaceDN w:val="0"/>
              <w:adjustRightInd w:val="0"/>
              <w:snapToGrid w:val="0"/>
              <w:jc w:val="center"/>
              <w:rPr>
                <w:b/>
                <w:bCs/>
                <w:color w:val="FF0000"/>
                <w:szCs w:val="21"/>
              </w:rPr>
            </w:pPr>
            <w:r>
              <w:rPr>
                <w:b/>
                <w:bCs/>
                <w:color w:val="FF0000"/>
                <w:szCs w:val="21"/>
              </w:rPr>
              <w:t>总量控制因子</w:t>
            </w:r>
          </w:p>
        </w:tc>
      </w:tr>
      <w:tr w14:paraId="4A468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Align w:val="center"/>
          </w:tcPr>
          <w:p w14:paraId="539AD890">
            <w:pPr>
              <w:autoSpaceDE w:val="0"/>
              <w:autoSpaceDN w:val="0"/>
              <w:adjustRightInd w:val="0"/>
              <w:snapToGrid w:val="0"/>
              <w:jc w:val="center"/>
              <w:rPr>
                <w:color w:val="FF0000"/>
                <w:szCs w:val="21"/>
              </w:rPr>
            </w:pPr>
            <w:r>
              <w:rPr>
                <w:color w:val="FF0000"/>
                <w:szCs w:val="21"/>
              </w:rPr>
              <w:t>大气</w:t>
            </w:r>
          </w:p>
        </w:tc>
        <w:tc>
          <w:tcPr>
            <w:tcW w:w="1812" w:type="pct"/>
            <w:vAlign w:val="center"/>
          </w:tcPr>
          <w:p w14:paraId="0339D504">
            <w:pPr>
              <w:autoSpaceDE w:val="0"/>
              <w:autoSpaceDN w:val="0"/>
              <w:adjustRightInd w:val="0"/>
              <w:snapToGrid w:val="0"/>
              <w:jc w:val="center"/>
              <w:rPr>
                <w:rFonts w:hint="eastAsia" w:eastAsia="宋体"/>
                <w:color w:val="FF0000"/>
                <w:szCs w:val="21"/>
                <w:lang w:eastAsia="zh-CN"/>
              </w:rPr>
            </w:pPr>
            <w:r>
              <w:rPr>
                <w:color w:val="FF0000"/>
                <w:szCs w:val="21"/>
              </w:rPr>
              <w:t>PM</w:t>
            </w:r>
            <w:r>
              <w:rPr>
                <w:color w:val="FF0000"/>
                <w:szCs w:val="21"/>
                <w:vertAlign w:val="subscript"/>
              </w:rPr>
              <w:t>10</w:t>
            </w:r>
            <w:r>
              <w:rPr>
                <w:color w:val="FF0000"/>
                <w:szCs w:val="21"/>
              </w:rPr>
              <w:t>、PM</w:t>
            </w:r>
            <w:r>
              <w:rPr>
                <w:color w:val="FF0000"/>
                <w:szCs w:val="21"/>
                <w:vertAlign w:val="subscript"/>
              </w:rPr>
              <w:t>2.5</w:t>
            </w:r>
            <w:r>
              <w:rPr>
                <w:color w:val="FF0000"/>
                <w:szCs w:val="21"/>
              </w:rPr>
              <w:t>、SO</w:t>
            </w:r>
            <w:r>
              <w:rPr>
                <w:color w:val="FF0000"/>
                <w:szCs w:val="21"/>
                <w:vertAlign w:val="subscript"/>
              </w:rPr>
              <w:t>2</w:t>
            </w:r>
            <w:r>
              <w:rPr>
                <w:color w:val="FF0000"/>
                <w:szCs w:val="21"/>
              </w:rPr>
              <w:t>、NO</w:t>
            </w:r>
            <w:r>
              <w:rPr>
                <w:color w:val="FF0000"/>
                <w:szCs w:val="21"/>
                <w:vertAlign w:val="subscript"/>
              </w:rPr>
              <w:t>2</w:t>
            </w:r>
            <w:r>
              <w:rPr>
                <w:color w:val="FF0000"/>
                <w:szCs w:val="21"/>
              </w:rPr>
              <w:t>、CO</w:t>
            </w:r>
            <w:r>
              <w:rPr>
                <w:rFonts w:ascii="宋体" w:hAnsi="宋体"/>
                <w:color w:val="FF0000"/>
                <w:szCs w:val="21"/>
              </w:rPr>
              <w:t>、</w:t>
            </w:r>
            <w:r>
              <w:rPr>
                <w:color w:val="FF0000"/>
                <w:szCs w:val="21"/>
              </w:rPr>
              <w:t>O</w:t>
            </w:r>
            <w:r>
              <w:rPr>
                <w:color w:val="FF0000"/>
                <w:szCs w:val="21"/>
                <w:vertAlign w:val="subscript"/>
              </w:rPr>
              <w:t>3</w:t>
            </w:r>
            <w:r>
              <w:rPr>
                <w:rFonts w:hint="eastAsia"/>
                <w:color w:val="FF0000"/>
                <w:szCs w:val="21"/>
              </w:rPr>
              <w:t>、</w:t>
            </w:r>
            <w:r>
              <w:rPr>
                <w:rFonts w:hint="eastAsia"/>
                <w:color w:val="FF0000"/>
                <w:szCs w:val="21"/>
                <w:lang w:val="en-US" w:eastAsia="zh-CN"/>
              </w:rPr>
              <w:t>颗粒物</w:t>
            </w:r>
            <w:r>
              <w:rPr>
                <w:rFonts w:hint="eastAsia"/>
                <w:color w:val="FF0000"/>
                <w:szCs w:val="21"/>
              </w:rPr>
              <w:t>、非甲烷总烃</w:t>
            </w:r>
            <w:r>
              <w:rPr>
                <w:rFonts w:hint="eastAsia"/>
                <w:color w:val="FF0000"/>
                <w:szCs w:val="21"/>
                <w:lang w:eastAsia="zh-CN"/>
              </w:rPr>
              <w:t>、</w:t>
            </w:r>
            <w:r>
              <w:rPr>
                <w:rFonts w:hint="eastAsia"/>
                <w:color w:val="FF0000"/>
                <w:szCs w:val="21"/>
                <w:lang w:val="en-US" w:eastAsia="zh-CN"/>
              </w:rPr>
              <w:t>汞及其化合物、氨</w:t>
            </w:r>
          </w:p>
        </w:tc>
        <w:tc>
          <w:tcPr>
            <w:tcW w:w="1678" w:type="pct"/>
            <w:vAlign w:val="center"/>
          </w:tcPr>
          <w:p w14:paraId="0389FFD6">
            <w:pPr>
              <w:autoSpaceDE w:val="0"/>
              <w:autoSpaceDN w:val="0"/>
              <w:adjustRightInd w:val="0"/>
              <w:snapToGrid w:val="0"/>
              <w:jc w:val="center"/>
              <w:rPr>
                <w:rFonts w:hint="default" w:eastAsia="宋体"/>
                <w:color w:val="FF0000"/>
                <w:szCs w:val="21"/>
                <w:lang w:val="en-US" w:eastAsia="zh-CN"/>
              </w:rPr>
            </w:pPr>
            <w:r>
              <w:rPr>
                <w:rFonts w:hint="eastAsia"/>
                <w:color w:val="FF0000"/>
                <w:szCs w:val="21"/>
                <w:lang w:val="en-US" w:eastAsia="zh-CN"/>
              </w:rPr>
              <w:t>颗粒物、非甲烷总烃、SO</w:t>
            </w:r>
            <w:r>
              <w:rPr>
                <w:rFonts w:hint="eastAsia"/>
                <w:color w:val="FF0000"/>
                <w:szCs w:val="21"/>
                <w:vertAlign w:val="subscript"/>
                <w:lang w:val="en-US" w:eastAsia="zh-CN"/>
              </w:rPr>
              <w:t>2</w:t>
            </w:r>
            <w:r>
              <w:rPr>
                <w:rFonts w:hint="eastAsia"/>
                <w:color w:val="FF0000"/>
                <w:szCs w:val="21"/>
                <w:lang w:val="en-US" w:eastAsia="zh-CN"/>
              </w:rPr>
              <w:t>、NO</w:t>
            </w:r>
            <w:r>
              <w:rPr>
                <w:rFonts w:hint="eastAsia"/>
                <w:color w:val="FF0000"/>
                <w:szCs w:val="21"/>
                <w:vertAlign w:val="subscript"/>
                <w:lang w:val="en-US" w:eastAsia="zh-CN"/>
              </w:rPr>
              <w:t>x</w:t>
            </w:r>
            <w:r>
              <w:rPr>
                <w:rFonts w:hint="eastAsia"/>
                <w:color w:val="FF0000"/>
                <w:szCs w:val="21"/>
                <w:lang w:val="en-US" w:eastAsia="zh-CN"/>
              </w:rPr>
              <w:t>、汞及其化合物、氨</w:t>
            </w:r>
          </w:p>
        </w:tc>
        <w:tc>
          <w:tcPr>
            <w:tcW w:w="832" w:type="pct"/>
            <w:vAlign w:val="center"/>
          </w:tcPr>
          <w:p w14:paraId="0DBF3975">
            <w:pPr>
              <w:autoSpaceDE w:val="0"/>
              <w:autoSpaceDN w:val="0"/>
              <w:adjustRightInd w:val="0"/>
              <w:snapToGrid w:val="0"/>
              <w:jc w:val="center"/>
              <w:rPr>
                <w:color w:val="FF0000"/>
                <w:szCs w:val="21"/>
              </w:rPr>
            </w:pPr>
            <w:r>
              <w:rPr>
                <w:rFonts w:hint="eastAsia"/>
                <w:color w:val="FF0000"/>
                <w:szCs w:val="21"/>
                <w:lang w:val="en-US" w:eastAsia="zh-CN"/>
              </w:rPr>
              <w:t>颗粒物、</w:t>
            </w:r>
            <w:r>
              <w:rPr>
                <w:rFonts w:hint="eastAsia"/>
                <w:color w:val="FF0000"/>
                <w:szCs w:val="21"/>
              </w:rPr>
              <w:t>VOCs</w:t>
            </w:r>
          </w:p>
        </w:tc>
      </w:tr>
    </w:tbl>
    <w:p w14:paraId="38B4E060">
      <w:pPr>
        <w:pStyle w:val="3"/>
        <w:spacing w:before="0" w:after="0" w:line="460" w:lineRule="exact"/>
        <w:rPr>
          <w:rFonts w:eastAsia="宋体"/>
          <w:color w:val="auto"/>
          <w:kern w:val="0"/>
          <w:szCs w:val="28"/>
        </w:rPr>
      </w:pPr>
      <w:bookmarkStart w:id="22" w:name="_Toc16893"/>
      <w:bookmarkStart w:id="23" w:name="_Toc2008"/>
      <w:r>
        <w:rPr>
          <w:rFonts w:hint="eastAsia" w:eastAsia="宋体"/>
          <w:color w:val="auto"/>
          <w:kern w:val="0"/>
          <w:szCs w:val="28"/>
        </w:rPr>
        <w:t>1.</w:t>
      </w:r>
      <w:r>
        <w:rPr>
          <w:rFonts w:hint="eastAsia" w:eastAsia="宋体"/>
          <w:color w:val="auto"/>
          <w:kern w:val="0"/>
          <w:szCs w:val="28"/>
          <w:lang w:val="en-US" w:eastAsia="zh-CN"/>
        </w:rPr>
        <w:t>4</w:t>
      </w:r>
      <w:r>
        <w:rPr>
          <w:rFonts w:hint="eastAsia" w:eastAsia="宋体"/>
          <w:color w:val="auto"/>
          <w:kern w:val="0"/>
          <w:szCs w:val="28"/>
        </w:rPr>
        <w:t>评价标准</w:t>
      </w:r>
      <w:bookmarkEnd w:id="22"/>
      <w:bookmarkEnd w:id="23"/>
    </w:p>
    <w:p w14:paraId="40EC8A19">
      <w:pPr>
        <w:pStyle w:val="4"/>
        <w:spacing w:before="0" w:after="0" w:line="460" w:lineRule="exact"/>
        <w:rPr>
          <w:color w:val="auto"/>
          <w:kern w:val="0"/>
          <w:sz w:val="24"/>
          <w:szCs w:val="24"/>
        </w:rPr>
      </w:pPr>
      <w:bookmarkStart w:id="24" w:name="_Toc4498"/>
      <w:r>
        <w:rPr>
          <w:rFonts w:hint="eastAsia"/>
          <w:color w:val="auto"/>
          <w:kern w:val="0"/>
          <w:sz w:val="24"/>
          <w:szCs w:val="24"/>
        </w:rPr>
        <w:t>1.</w:t>
      </w:r>
      <w:r>
        <w:rPr>
          <w:rFonts w:hint="eastAsia"/>
          <w:color w:val="auto"/>
          <w:kern w:val="0"/>
          <w:sz w:val="24"/>
          <w:szCs w:val="24"/>
          <w:lang w:val="en-US" w:eastAsia="zh-CN"/>
        </w:rPr>
        <w:t>4</w:t>
      </w:r>
      <w:r>
        <w:rPr>
          <w:color w:val="auto"/>
          <w:kern w:val="0"/>
          <w:sz w:val="24"/>
          <w:szCs w:val="24"/>
        </w:rPr>
        <w:t>.</w:t>
      </w:r>
      <w:r>
        <w:rPr>
          <w:rFonts w:hint="eastAsia"/>
          <w:color w:val="auto"/>
          <w:kern w:val="0"/>
          <w:sz w:val="24"/>
          <w:szCs w:val="24"/>
        </w:rPr>
        <w:t>1环境空气质量标准</w:t>
      </w:r>
      <w:bookmarkEnd w:id="24"/>
    </w:p>
    <w:p w14:paraId="31243DED">
      <w:pPr>
        <w:spacing w:line="460" w:lineRule="exact"/>
        <w:ind w:firstLine="480" w:firstLineChars="200"/>
        <w:rPr>
          <w:color w:val="auto"/>
          <w:sz w:val="24"/>
          <w:szCs w:val="24"/>
        </w:rPr>
      </w:pPr>
      <w:r>
        <w:rPr>
          <w:rFonts w:hint="default" w:ascii="Times New Roman" w:hAnsi="Times New Roman" w:eastAsia="宋体" w:cs="Times New Roman"/>
          <w:color w:val="auto"/>
          <w:sz w:val="24"/>
          <w:szCs w:val="24"/>
          <w:lang w:eastAsia="zh-CN"/>
        </w:rPr>
        <w:t>根据《江苏省环境空气质量功能区划分》，本项目所在区域为环境空气质量功能二类区，SO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、NO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、PM</w:t>
      </w:r>
      <w:r>
        <w:rPr>
          <w:rFonts w:hint="default" w:ascii="Times New Roman" w:hAnsi="Times New Roman" w:eastAsia="宋体" w:cs="Times New Roman"/>
          <w:color w:val="auto"/>
          <w:sz w:val="24"/>
          <w:szCs w:val="24"/>
          <w:vertAlign w:val="subscript"/>
          <w:lang w:eastAsia="zh-CN"/>
        </w:rPr>
        <w:t>10</w:t>
      </w:r>
      <w:r>
        <w:rPr>
          <w:rFonts w:hint="default" w:ascii="Times New Roman" w:hAnsi="Times New Roman" w:eastAsia="宋体" w:cs="Times New Roman"/>
          <w:color w:val="auto"/>
          <w:sz w:val="24"/>
          <w:szCs w:val="24"/>
          <w:lang w:eastAsia="zh-CN"/>
        </w:rPr>
        <w:t>、PM</w:t>
      </w:r>
      <w:r>
        <w:rPr>
          <w:rFonts w:hint="default" w:ascii="Times New Roman" w:hAnsi="Times New Roman" w:eastAsia="宋体" w:cs="Times New Roman"/>
          <w:color w:val="auto"/>
          <w:sz w:val="24"/>
          <w:szCs w:val="24"/>
          <w:vertAlign w:val="subscript"/>
          <w:lang w:eastAsia="zh-CN"/>
        </w:rPr>
        <w:t>2.5</w:t>
      </w:r>
      <w:r>
        <w:rPr>
          <w:rFonts w:hint="default" w:ascii="Times New Roman" w:hAnsi="Times New Roman" w:eastAsia="宋体" w:cs="Times New Roman"/>
          <w:color w:val="auto"/>
          <w:sz w:val="24"/>
          <w:szCs w:val="24"/>
          <w:lang w:eastAsia="zh-CN"/>
        </w:rPr>
        <w:t>、CO、O</w:t>
      </w:r>
      <w:r>
        <w:rPr>
          <w:rFonts w:hint="default" w:ascii="Times New Roman" w:hAnsi="Times New Roman" w:eastAsia="宋体" w:cs="Times New Roman"/>
          <w:color w:val="auto"/>
          <w:sz w:val="24"/>
          <w:szCs w:val="24"/>
          <w:vertAlign w:val="subscript"/>
          <w:lang w:eastAsia="zh-CN"/>
        </w:rPr>
        <w:t>3</w:t>
      </w:r>
      <w:r>
        <w:rPr>
          <w:rFonts w:hint="default" w:ascii="Times New Roman" w:hAnsi="Times New Roman" w:eastAsia="宋体" w:cs="Times New Roman"/>
          <w:color w:val="auto"/>
          <w:sz w:val="24"/>
          <w:szCs w:val="24"/>
          <w:lang w:eastAsia="zh-CN"/>
        </w:rPr>
        <w:t>执行《环境空气质量标准》（GB3095-20</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eastAsia="zh-CN"/>
        </w:rPr>
        <w:t>）表1过渡阶段浓度限值中二级标准；</w:t>
      </w:r>
      <w:r>
        <w:rPr>
          <w:rFonts w:hint="eastAsia"/>
          <w:color w:val="auto"/>
          <w:sz w:val="24"/>
          <w:szCs w:val="24"/>
        </w:rPr>
        <w:t>非甲烷总烃参照《大气污染物综合排放标准详解》；</w:t>
      </w:r>
      <w:r>
        <w:rPr>
          <w:rFonts w:hint="default" w:ascii="Times New Roman" w:hAnsi="Times New Roman" w:eastAsia="宋体" w:cs="Times New Roman"/>
          <w:color w:val="auto"/>
          <w:sz w:val="24"/>
          <w:szCs w:val="24"/>
          <w:lang w:val="en-US" w:eastAsia="zh-CN"/>
        </w:rPr>
        <w:t>氨</w:t>
      </w:r>
      <w:r>
        <w:rPr>
          <w:rFonts w:hint="default" w:ascii="Times New Roman" w:hAnsi="Times New Roman" w:eastAsia="宋体" w:cs="Times New Roman"/>
          <w:color w:val="auto"/>
          <w:sz w:val="24"/>
          <w:szCs w:val="24"/>
          <w:lang w:eastAsia="zh-CN"/>
        </w:rPr>
        <w:t>浓度限值参考《环境影响评价技术导则 大气环境》（HJ2.2-2018）附录D中标准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汞参照</w:t>
      </w:r>
      <w:r>
        <w:rPr>
          <w:rFonts w:hint="default" w:ascii="Times New Roman" w:hAnsi="Times New Roman" w:eastAsia="宋体" w:cs="Times New Roman"/>
          <w:color w:val="auto"/>
          <w:sz w:val="24"/>
          <w:szCs w:val="24"/>
          <w:lang w:eastAsia="zh-CN"/>
        </w:rPr>
        <w:t>《环境空气质量标准》（GB3095-20</w:t>
      </w:r>
      <w:r>
        <w:rPr>
          <w:rFonts w:hint="default"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eastAsia="zh-CN"/>
        </w:rPr>
        <w:t>）附录</w:t>
      </w:r>
      <w:r>
        <w:rPr>
          <w:rFonts w:hint="eastAsia"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eastAsia="zh-CN"/>
        </w:rPr>
        <w:t>中标准</w:t>
      </w:r>
      <w:r>
        <w:rPr>
          <w:rFonts w:hint="eastAsia" w:eastAsia="宋体"/>
          <w:color w:val="auto"/>
          <w:sz w:val="24"/>
          <w:szCs w:val="24"/>
          <w:lang w:eastAsia="zh-CN"/>
        </w:rPr>
        <w:t>，</w:t>
      </w:r>
      <w:r>
        <w:rPr>
          <w:color w:val="auto"/>
          <w:sz w:val="24"/>
          <w:szCs w:val="24"/>
        </w:rPr>
        <w:t>具体指标见表</w:t>
      </w:r>
      <w:r>
        <w:rPr>
          <w:rFonts w:hint="eastAsia"/>
          <w:color w:val="auto"/>
          <w:sz w:val="24"/>
          <w:szCs w:val="24"/>
        </w:rPr>
        <w:t>1-2</w:t>
      </w:r>
      <w:r>
        <w:rPr>
          <w:color w:val="auto"/>
          <w:sz w:val="24"/>
          <w:szCs w:val="24"/>
        </w:rPr>
        <w:t>。</w:t>
      </w:r>
    </w:p>
    <w:p w14:paraId="407B94E7">
      <w:pPr>
        <w:spacing w:line="460" w:lineRule="exact"/>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 xml:space="preserve">1-2 </w:t>
      </w:r>
      <w:r>
        <w:rPr>
          <w:rFonts w:ascii="Times New Roman" w:hAnsi="Times New Roman" w:eastAsia="宋体" w:cs="Times New Roman"/>
          <w:b/>
          <w:bCs/>
          <w:color w:val="auto"/>
          <w:sz w:val="24"/>
          <w:szCs w:val="24"/>
        </w:rPr>
        <w:t xml:space="preserve"> 环境空气质量标准</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54"/>
        <w:gridCol w:w="1344"/>
        <w:gridCol w:w="942"/>
        <w:gridCol w:w="1060"/>
        <w:gridCol w:w="3407"/>
      </w:tblGrid>
      <w:tr w14:paraId="4A8E08E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tcBorders>
              <w:tl2br w:val="nil"/>
              <w:tr2bl w:val="nil"/>
            </w:tcBorders>
            <w:vAlign w:val="center"/>
          </w:tcPr>
          <w:p w14:paraId="33AF9755">
            <w:pPr>
              <w:pStyle w:val="128"/>
              <w:rPr>
                <w:b/>
                <w:bCs/>
                <w:color w:val="auto"/>
                <w:kern w:val="2"/>
              </w:rPr>
            </w:pPr>
            <w:r>
              <w:rPr>
                <w:b/>
                <w:bCs/>
                <w:color w:val="auto"/>
                <w:kern w:val="2"/>
              </w:rPr>
              <w:t>评价因子</w:t>
            </w:r>
          </w:p>
        </w:tc>
        <w:tc>
          <w:tcPr>
            <w:tcW w:w="1495" w:type="dxa"/>
            <w:tcBorders>
              <w:tl2br w:val="nil"/>
              <w:tr2bl w:val="nil"/>
            </w:tcBorders>
            <w:vAlign w:val="center"/>
          </w:tcPr>
          <w:p w14:paraId="2FE7DCA9">
            <w:pPr>
              <w:pStyle w:val="128"/>
              <w:rPr>
                <w:b/>
                <w:bCs/>
                <w:color w:val="auto"/>
                <w:kern w:val="2"/>
              </w:rPr>
            </w:pPr>
            <w:r>
              <w:rPr>
                <w:b/>
                <w:bCs/>
                <w:color w:val="auto"/>
                <w:kern w:val="2"/>
              </w:rPr>
              <w:t>取值时间</w:t>
            </w:r>
          </w:p>
        </w:tc>
        <w:tc>
          <w:tcPr>
            <w:tcW w:w="1047" w:type="dxa"/>
            <w:tcBorders>
              <w:tl2br w:val="nil"/>
              <w:tr2bl w:val="nil"/>
            </w:tcBorders>
            <w:vAlign w:val="center"/>
          </w:tcPr>
          <w:p w14:paraId="48C47B6E">
            <w:pPr>
              <w:pStyle w:val="128"/>
              <w:rPr>
                <w:b/>
                <w:bCs/>
                <w:color w:val="auto"/>
                <w:kern w:val="2"/>
              </w:rPr>
            </w:pPr>
            <w:r>
              <w:rPr>
                <w:b/>
                <w:bCs/>
                <w:color w:val="auto"/>
                <w:kern w:val="2"/>
              </w:rPr>
              <w:t>单位</w:t>
            </w:r>
          </w:p>
        </w:tc>
        <w:tc>
          <w:tcPr>
            <w:tcW w:w="1180" w:type="dxa"/>
            <w:tcBorders>
              <w:tl2br w:val="nil"/>
              <w:tr2bl w:val="nil"/>
            </w:tcBorders>
            <w:vAlign w:val="center"/>
          </w:tcPr>
          <w:p w14:paraId="00272CB7">
            <w:pPr>
              <w:pStyle w:val="128"/>
              <w:rPr>
                <w:b/>
                <w:bCs/>
                <w:color w:val="auto"/>
                <w:kern w:val="2"/>
              </w:rPr>
            </w:pPr>
            <w:r>
              <w:rPr>
                <w:b/>
                <w:bCs/>
                <w:color w:val="auto"/>
                <w:kern w:val="2"/>
              </w:rPr>
              <w:t>标准限值</w:t>
            </w:r>
          </w:p>
        </w:tc>
        <w:tc>
          <w:tcPr>
            <w:tcW w:w="3791" w:type="dxa"/>
            <w:tcBorders>
              <w:tl2br w:val="nil"/>
              <w:tr2bl w:val="nil"/>
            </w:tcBorders>
            <w:vAlign w:val="center"/>
          </w:tcPr>
          <w:p w14:paraId="0491C13B">
            <w:pPr>
              <w:pStyle w:val="128"/>
              <w:rPr>
                <w:b/>
                <w:bCs/>
                <w:color w:val="auto"/>
                <w:kern w:val="2"/>
              </w:rPr>
            </w:pPr>
            <w:r>
              <w:rPr>
                <w:b/>
                <w:bCs/>
                <w:color w:val="auto"/>
                <w:kern w:val="2"/>
              </w:rPr>
              <w:t>执行标准</w:t>
            </w:r>
          </w:p>
        </w:tc>
      </w:tr>
      <w:tr w14:paraId="540FEC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6832EAF7">
            <w:pPr>
              <w:pStyle w:val="128"/>
              <w:rPr>
                <w:color w:val="auto"/>
                <w:kern w:val="2"/>
              </w:rPr>
            </w:pPr>
            <w:r>
              <w:rPr>
                <w:color w:val="auto"/>
                <w:kern w:val="2"/>
              </w:rPr>
              <w:t>SO</w:t>
            </w:r>
            <w:r>
              <w:rPr>
                <w:color w:val="auto"/>
                <w:kern w:val="2"/>
                <w:vertAlign w:val="subscript"/>
              </w:rPr>
              <w:t>2</w:t>
            </w:r>
          </w:p>
        </w:tc>
        <w:tc>
          <w:tcPr>
            <w:tcW w:w="1495" w:type="dxa"/>
            <w:tcBorders>
              <w:tl2br w:val="nil"/>
              <w:tr2bl w:val="nil"/>
            </w:tcBorders>
            <w:vAlign w:val="center"/>
          </w:tcPr>
          <w:p w14:paraId="43902EA9">
            <w:pPr>
              <w:pStyle w:val="128"/>
              <w:rPr>
                <w:color w:val="auto"/>
                <w:kern w:val="2"/>
              </w:rPr>
            </w:pPr>
            <w:r>
              <w:rPr>
                <w:color w:val="auto"/>
                <w:kern w:val="2"/>
              </w:rPr>
              <w:t>年平均</w:t>
            </w:r>
          </w:p>
        </w:tc>
        <w:tc>
          <w:tcPr>
            <w:tcW w:w="1047" w:type="dxa"/>
            <w:tcBorders>
              <w:tl2br w:val="nil"/>
              <w:tr2bl w:val="nil"/>
            </w:tcBorders>
            <w:vAlign w:val="center"/>
          </w:tcPr>
          <w:p w14:paraId="6670C6CA">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7F093266">
            <w:pPr>
              <w:pStyle w:val="128"/>
              <w:rPr>
                <w:color w:val="auto"/>
                <w:kern w:val="2"/>
              </w:rPr>
            </w:pPr>
            <w:r>
              <w:rPr>
                <w:color w:val="auto"/>
                <w:kern w:val="2"/>
              </w:rPr>
              <w:t>60</w:t>
            </w:r>
          </w:p>
        </w:tc>
        <w:tc>
          <w:tcPr>
            <w:tcW w:w="3791" w:type="dxa"/>
            <w:vMerge w:val="restart"/>
            <w:tcBorders>
              <w:tl2br w:val="nil"/>
              <w:tr2bl w:val="nil"/>
            </w:tcBorders>
            <w:vAlign w:val="center"/>
          </w:tcPr>
          <w:p w14:paraId="0B38187A">
            <w:pPr>
              <w:pStyle w:val="128"/>
              <w:rPr>
                <w:color w:val="FF0000"/>
                <w:kern w:val="2"/>
              </w:rPr>
            </w:pPr>
            <w:r>
              <w:rPr>
                <w:color w:val="FF0000"/>
                <w:kern w:val="2"/>
              </w:rPr>
              <w:t>《环境空气质量标准》</w:t>
            </w:r>
          </w:p>
          <w:p w14:paraId="37759DCA">
            <w:pPr>
              <w:pStyle w:val="128"/>
              <w:rPr>
                <w:color w:val="auto"/>
                <w:kern w:val="2"/>
              </w:rPr>
            </w:pPr>
            <w:r>
              <w:rPr>
                <w:color w:val="FF0000"/>
                <w:kern w:val="2"/>
              </w:rPr>
              <w:t>（GB3095-</w:t>
            </w:r>
            <w:r>
              <w:rPr>
                <w:rFonts w:hint="eastAsia"/>
                <w:color w:val="FF0000"/>
                <w:kern w:val="2"/>
                <w:lang w:val="en-US" w:eastAsia="zh-CN"/>
              </w:rPr>
              <w:t>2026</w:t>
            </w:r>
            <w:r>
              <w:rPr>
                <w:color w:val="FF0000"/>
                <w:kern w:val="2"/>
              </w:rPr>
              <w:t>）</w:t>
            </w:r>
            <w:r>
              <w:rPr>
                <w:rFonts w:hint="eastAsia"/>
                <w:color w:val="FF0000"/>
                <w:lang w:val="en-US" w:eastAsia="zh-CN"/>
              </w:rPr>
              <w:t>过渡阶段浓度限制</w:t>
            </w:r>
            <w:r>
              <w:rPr>
                <w:color w:val="FF0000"/>
                <w:kern w:val="2"/>
              </w:rPr>
              <w:t>二级标准</w:t>
            </w:r>
          </w:p>
        </w:tc>
      </w:tr>
      <w:tr w14:paraId="63575E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59CB0926">
            <w:pPr>
              <w:widowControl/>
              <w:jc w:val="center"/>
              <w:rPr>
                <w:color w:val="auto"/>
                <w:szCs w:val="21"/>
              </w:rPr>
            </w:pPr>
          </w:p>
        </w:tc>
        <w:tc>
          <w:tcPr>
            <w:tcW w:w="1495" w:type="dxa"/>
            <w:tcBorders>
              <w:tl2br w:val="nil"/>
              <w:tr2bl w:val="nil"/>
            </w:tcBorders>
            <w:vAlign w:val="center"/>
          </w:tcPr>
          <w:p w14:paraId="470FE608">
            <w:pPr>
              <w:pStyle w:val="128"/>
              <w:rPr>
                <w:color w:val="auto"/>
                <w:kern w:val="2"/>
              </w:rPr>
            </w:pPr>
            <w:r>
              <w:rPr>
                <w:color w:val="auto"/>
                <w:kern w:val="2"/>
              </w:rPr>
              <w:t>日平均</w:t>
            </w:r>
          </w:p>
        </w:tc>
        <w:tc>
          <w:tcPr>
            <w:tcW w:w="1047" w:type="dxa"/>
            <w:tcBorders>
              <w:tl2br w:val="nil"/>
              <w:tr2bl w:val="nil"/>
            </w:tcBorders>
            <w:vAlign w:val="center"/>
          </w:tcPr>
          <w:p w14:paraId="143872A4">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689365ED">
            <w:pPr>
              <w:pStyle w:val="128"/>
              <w:rPr>
                <w:color w:val="auto"/>
                <w:kern w:val="2"/>
              </w:rPr>
            </w:pPr>
            <w:r>
              <w:rPr>
                <w:color w:val="auto"/>
                <w:kern w:val="2"/>
              </w:rPr>
              <w:t>150</w:t>
            </w:r>
          </w:p>
        </w:tc>
        <w:tc>
          <w:tcPr>
            <w:tcW w:w="3791" w:type="dxa"/>
            <w:vMerge w:val="continue"/>
            <w:tcBorders>
              <w:tl2br w:val="nil"/>
              <w:tr2bl w:val="nil"/>
            </w:tcBorders>
            <w:vAlign w:val="center"/>
          </w:tcPr>
          <w:p w14:paraId="18243D5D">
            <w:pPr>
              <w:widowControl/>
              <w:jc w:val="center"/>
              <w:rPr>
                <w:color w:val="auto"/>
                <w:szCs w:val="21"/>
              </w:rPr>
            </w:pPr>
          </w:p>
        </w:tc>
      </w:tr>
      <w:tr w14:paraId="484479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025089AC">
            <w:pPr>
              <w:widowControl/>
              <w:jc w:val="center"/>
              <w:rPr>
                <w:color w:val="auto"/>
                <w:szCs w:val="21"/>
              </w:rPr>
            </w:pPr>
          </w:p>
        </w:tc>
        <w:tc>
          <w:tcPr>
            <w:tcW w:w="1495" w:type="dxa"/>
            <w:tcBorders>
              <w:tl2br w:val="nil"/>
              <w:tr2bl w:val="nil"/>
            </w:tcBorders>
            <w:vAlign w:val="center"/>
          </w:tcPr>
          <w:p w14:paraId="3240862B">
            <w:pPr>
              <w:pStyle w:val="128"/>
              <w:rPr>
                <w:color w:val="auto"/>
                <w:kern w:val="2"/>
              </w:rPr>
            </w:pPr>
            <w:r>
              <w:rPr>
                <w:color w:val="auto"/>
                <w:kern w:val="2"/>
              </w:rPr>
              <w:t>1h平均</w:t>
            </w:r>
          </w:p>
        </w:tc>
        <w:tc>
          <w:tcPr>
            <w:tcW w:w="1047" w:type="dxa"/>
            <w:tcBorders>
              <w:tl2br w:val="nil"/>
              <w:tr2bl w:val="nil"/>
            </w:tcBorders>
            <w:vAlign w:val="center"/>
          </w:tcPr>
          <w:p w14:paraId="73264683">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796D408B">
            <w:pPr>
              <w:pStyle w:val="128"/>
              <w:rPr>
                <w:color w:val="auto"/>
                <w:kern w:val="2"/>
              </w:rPr>
            </w:pPr>
            <w:r>
              <w:rPr>
                <w:color w:val="auto"/>
                <w:kern w:val="2"/>
              </w:rPr>
              <w:t>500</w:t>
            </w:r>
          </w:p>
        </w:tc>
        <w:tc>
          <w:tcPr>
            <w:tcW w:w="3791" w:type="dxa"/>
            <w:vMerge w:val="continue"/>
            <w:tcBorders>
              <w:tl2br w:val="nil"/>
              <w:tr2bl w:val="nil"/>
            </w:tcBorders>
            <w:vAlign w:val="center"/>
          </w:tcPr>
          <w:p w14:paraId="722C79C2">
            <w:pPr>
              <w:widowControl/>
              <w:jc w:val="center"/>
              <w:rPr>
                <w:color w:val="auto"/>
                <w:szCs w:val="21"/>
              </w:rPr>
            </w:pPr>
          </w:p>
        </w:tc>
      </w:tr>
      <w:tr w14:paraId="4946AA8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66DFC154">
            <w:pPr>
              <w:pStyle w:val="128"/>
              <w:rPr>
                <w:color w:val="auto"/>
                <w:kern w:val="2"/>
              </w:rPr>
            </w:pPr>
            <w:r>
              <w:rPr>
                <w:color w:val="auto"/>
                <w:kern w:val="2"/>
              </w:rPr>
              <w:t>NO</w:t>
            </w:r>
            <w:r>
              <w:rPr>
                <w:color w:val="auto"/>
                <w:kern w:val="2"/>
                <w:vertAlign w:val="subscript"/>
              </w:rPr>
              <w:t>2</w:t>
            </w:r>
          </w:p>
        </w:tc>
        <w:tc>
          <w:tcPr>
            <w:tcW w:w="1495" w:type="dxa"/>
            <w:tcBorders>
              <w:tl2br w:val="nil"/>
              <w:tr2bl w:val="nil"/>
            </w:tcBorders>
            <w:vAlign w:val="center"/>
          </w:tcPr>
          <w:p w14:paraId="3110F1AC">
            <w:pPr>
              <w:pStyle w:val="128"/>
              <w:rPr>
                <w:color w:val="auto"/>
                <w:kern w:val="2"/>
              </w:rPr>
            </w:pPr>
            <w:r>
              <w:rPr>
                <w:color w:val="auto"/>
                <w:kern w:val="2"/>
              </w:rPr>
              <w:t>年平均</w:t>
            </w:r>
          </w:p>
        </w:tc>
        <w:tc>
          <w:tcPr>
            <w:tcW w:w="1047" w:type="dxa"/>
            <w:tcBorders>
              <w:tl2br w:val="nil"/>
              <w:tr2bl w:val="nil"/>
            </w:tcBorders>
            <w:vAlign w:val="center"/>
          </w:tcPr>
          <w:p w14:paraId="47B366C3">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41673BD4">
            <w:pPr>
              <w:pStyle w:val="128"/>
              <w:rPr>
                <w:color w:val="auto"/>
                <w:kern w:val="2"/>
              </w:rPr>
            </w:pPr>
            <w:r>
              <w:rPr>
                <w:color w:val="auto"/>
                <w:kern w:val="2"/>
              </w:rPr>
              <w:t>40</w:t>
            </w:r>
          </w:p>
        </w:tc>
        <w:tc>
          <w:tcPr>
            <w:tcW w:w="3791" w:type="dxa"/>
            <w:vMerge w:val="continue"/>
            <w:tcBorders>
              <w:tl2br w:val="nil"/>
              <w:tr2bl w:val="nil"/>
            </w:tcBorders>
            <w:vAlign w:val="center"/>
          </w:tcPr>
          <w:p w14:paraId="35B83AE9">
            <w:pPr>
              <w:widowControl/>
              <w:jc w:val="center"/>
              <w:rPr>
                <w:color w:val="auto"/>
                <w:szCs w:val="21"/>
              </w:rPr>
            </w:pPr>
          </w:p>
        </w:tc>
      </w:tr>
      <w:tr w14:paraId="07BA7E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6DC4F897">
            <w:pPr>
              <w:widowControl/>
              <w:jc w:val="center"/>
              <w:rPr>
                <w:color w:val="auto"/>
                <w:szCs w:val="21"/>
              </w:rPr>
            </w:pPr>
          </w:p>
        </w:tc>
        <w:tc>
          <w:tcPr>
            <w:tcW w:w="1495" w:type="dxa"/>
            <w:tcBorders>
              <w:tl2br w:val="nil"/>
              <w:tr2bl w:val="nil"/>
            </w:tcBorders>
            <w:vAlign w:val="center"/>
          </w:tcPr>
          <w:p w14:paraId="03BAD77F">
            <w:pPr>
              <w:pStyle w:val="128"/>
              <w:rPr>
                <w:color w:val="auto"/>
                <w:kern w:val="2"/>
              </w:rPr>
            </w:pPr>
            <w:r>
              <w:rPr>
                <w:color w:val="auto"/>
                <w:kern w:val="2"/>
              </w:rPr>
              <w:t>日平均</w:t>
            </w:r>
          </w:p>
        </w:tc>
        <w:tc>
          <w:tcPr>
            <w:tcW w:w="1047" w:type="dxa"/>
            <w:tcBorders>
              <w:tl2br w:val="nil"/>
              <w:tr2bl w:val="nil"/>
            </w:tcBorders>
            <w:vAlign w:val="center"/>
          </w:tcPr>
          <w:p w14:paraId="0D066DD1">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542E4EC5">
            <w:pPr>
              <w:pStyle w:val="128"/>
              <w:rPr>
                <w:color w:val="auto"/>
                <w:kern w:val="2"/>
              </w:rPr>
            </w:pPr>
            <w:r>
              <w:rPr>
                <w:color w:val="auto"/>
                <w:kern w:val="2"/>
              </w:rPr>
              <w:t>80</w:t>
            </w:r>
          </w:p>
        </w:tc>
        <w:tc>
          <w:tcPr>
            <w:tcW w:w="3791" w:type="dxa"/>
            <w:vMerge w:val="continue"/>
            <w:tcBorders>
              <w:tl2br w:val="nil"/>
              <w:tr2bl w:val="nil"/>
            </w:tcBorders>
            <w:vAlign w:val="center"/>
          </w:tcPr>
          <w:p w14:paraId="1758945E">
            <w:pPr>
              <w:widowControl/>
              <w:jc w:val="center"/>
              <w:rPr>
                <w:color w:val="auto"/>
                <w:szCs w:val="21"/>
              </w:rPr>
            </w:pPr>
          </w:p>
        </w:tc>
      </w:tr>
      <w:tr w14:paraId="11DFA4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5C56DDB9">
            <w:pPr>
              <w:widowControl/>
              <w:jc w:val="center"/>
              <w:rPr>
                <w:color w:val="auto"/>
                <w:szCs w:val="21"/>
              </w:rPr>
            </w:pPr>
          </w:p>
        </w:tc>
        <w:tc>
          <w:tcPr>
            <w:tcW w:w="1495" w:type="dxa"/>
            <w:tcBorders>
              <w:tl2br w:val="nil"/>
              <w:tr2bl w:val="nil"/>
            </w:tcBorders>
            <w:vAlign w:val="center"/>
          </w:tcPr>
          <w:p w14:paraId="6D975DCD">
            <w:pPr>
              <w:pStyle w:val="128"/>
              <w:rPr>
                <w:color w:val="auto"/>
                <w:kern w:val="2"/>
              </w:rPr>
            </w:pPr>
            <w:r>
              <w:rPr>
                <w:color w:val="auto"/>
                <w:kern w:val="2"/>
              </w:rPr>
              <w:t>1h平均</w:t>
            </w:r>
          </w:p>
        </w:tc>
        <w:tc>
          <w:tcPr>
            <w:tcW w:w="1047" w:type="dxa"/>
            <w:tcBorders>
              <w:tl2br w:val="nil"/>
              <w:tr2bl w:val="nil"/>
            </w:tcBorders>
            <w:vAlign w:val="center"/>
          </w:tcPr>
          <w:p w14:paraId="1DEA505E">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6234236B">
            <w:pPr>
              <w:pStyle w:val="128"/>
              <w:rPr>
                <w:color w:val="auto"/>
                <w:kern w:val="2"/>
              </w:rPr>
            </w:pPr>
            <w:r>
              <w:rPr>
                <w:color w:val="auto"/>
                <w:kern w:val="2"/>
              </w:rPr>
              <w:t>200</w:t>
            </w:r>
          </w:p>
        </w:tc>
        <w:tc>
          <w:tcPr>
            <w:tcW w:w="3791" w:type="dxa"/>
            <w:vMerge w:val="continue"/>
            <w:tcBorders>
              <w:tl2br w:val="nil"/>
              <w:tr2bl w:val="nil"/>
            </w:tcBorders>
            <w:vAlign w:val="center"/>
          </w:tcPr>
          <w:p w14:paraId="6315E301">
            <w:pPr>
              <w:widowControl/>
              <w:jc w:val="center"/>
              <w:rPr>
                <w:color w:val="auto"/>
                <w:szCs w:val="21"/>
              </w:rPr>
            </w:pPr>
          </w:p>
        </w:tc>
      </w:tr>
      <w:tr w14:paraId="1F2222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2F9900CA">
            <w:pPr>
              <w:pStyle w:val="128"/>
              <w:rPr>
                <w:color w:val="auto"/>
                <w:kern w:val="2"/>
              </w:rPr>
            </w:pPr>
            <w:r>
              <w:rPr>
                <w:color w:val="auto"/>
                <w:kern w:val="2"/>
              </w:rPr>
              <w:t>NOx</w:t>
            </w:r>
          </w:p>
        </w:tc>
        <w:tc>
          <w:tcPr>
            <w:tcW w:w="1495" w:type="dxa"/>
            <w:tcBorders>
              <w:tl2br w:val="nil"/>
              <w:tr2bl w:val="nil"/>
            </w:tcBorders>
            <w:vAlign w:val="center"/>
          </w:tcPr>
          <w:p w14:paraId="328CBBCC">
            <w:pPr>
              <w:pStyle w:val="128"/>
              <w:rPr>
                <w:color w:val="auto"/>
                <w:kern w:val="2"/>
              </w:rPr>
            </w:pPr>
            <w:r>
              <w:rPr>
                <w:color w:val="auto"/>
                <w:kern w:val="2"/>
              </w:rPr>
              <w:t>年平均</w:t>
            </w:r>
          </w:p>
        </w:tc>
        <w:tc>
          <w:tcPr>
            <w:tcW w:w="1047" w:type="dxa"/>
            <w:tcBorders>
              <w:tl2br w:val="nil"/>
              <w:tr2bl w:val="nil"/>
            </w:tcBorders>
            <w:vAlign w:val="center"/>
          </w:tcPr>
          <w:p w14:paraId="74B5593C">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7E6D3AEB">
            <w:pPr>
              <w:pStyle w:val="128"/>
              <w:rPr>
                <w:rFonts w:hint="default" w:eastAsia="宋体"/>
                <w:color w:val="auto"/>
                <w:kern w:val="2"/>
                <w:lang w:val="en-US" w:eastAsia="zh-CN"/>
              </w:rPr>
            </w:pPr>
            <w:r>
              <w:rPr>
                <w:rFonts w:hint="eastAsia"/>
                <w:color w:val="auto"/>
                <w:kern w:val="2"/>
                <w:lang w:val="en-US" w:eastAsia="zh-CN"/>
              </w:rPr>
              <w:t>40</w:t>
            </w:r>
          </w:p>
        </w:tc>
        <w:tc>
          <w:tcPr>
            <w:tcW w:w="3791" w:type="dxa"/>
            <w:vMerge w:val="continue"/>
            <w:tcBorders>
              <w:tl2br w:val="nil"/>
              <w:tr2bl w:val="nil"/>
            </w:tcBorders>
            <w:vAlign w:val="center"/>
          </w:tcPr>
          <w:p w14:paraId="5A646960">
            <w:pPr>
              <w:widowControl/>
              <w:jc w:val="center"/>
              <w:rPr>
                <w:color w:val="auto"/>
                <w:szCs w:val="21"/>
              </w:rPr>
            </w:pPr>
          </w:p>
        </w:tc>
      </w:tr>
      <w:tr w14:paraId="2F9278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42D9AB06">
            <w:pPr>
              <w:widowControl/>
              <w:jc w:val="center"/>
              <w:rPr>
                <w:color w:val="auto"/>
                <w:szCs w:val="21"/>
              </w:rPr>
            </w:pPr>
          </w:p>
        </w:tc>
        <w:tc>
          <w:tcPr>
            <w:tcW w:w="1495" w:type="dxa"/>
            <w:tcBorders>
              <w:tl2br w:val="nil"/>
              <w:tr2bl w:val="nil"/>
            </w:tcBorders>
            <w:vAlign w:val="center"/>
          </w:tcPr>
          <w:p w14:paraId="40ECD867">
            <w:pPr>
              <w:pStyle w:val="128"/>
              <w:rPr>
                <w:color w:val="auto"/>
                <w:kern w:val="2"/>
              </w:rPr>
            </w:pPr>
            <w:r>
              <w:rPr>
                <w:color w:val="auto"/>
                <w:kern w:val="2"/>
              </w:rPr>
              <w:t>日平均</w:t>
            </w:r>
          </w:p>
        </w:tc>
        <w:tc>
          <w:tcPr>
            <w:tcW w:w="1047" w:type="dxa"/>
            <w:tcBorders>
              <w:tl2br w:val="nil"/>
              <w:tr2bl w:val="nil"/>
            </w:tcBorders>
            <w:vAlign w:val="center"/>
          </w:tcPr>
          <w:p w14:paraId="56DBF2CA">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0A7D7842">
            <w:pPr>
              <w:pStyle w:val="128"/>
              <w:rPr>
                <w:color w:val="auto"/>
                <w:kern w:val="2"/>
              </w:rPr>
            </w:pPr>
            <w:r>
              <w:rPr>
                <w:rFonts w:hint="eastAsia"/>
                <w:color w:val="auto"/>
                <w:kern w:val="2"/>
                <w:lang w:val="en-US" w:eastAsia="zh-CN"/>
              </w:rPr>
              <w:t>7</w:t>
            </w:r>
            <w:r>
              <w:rPr>
                <w:color w:val="auto"/>
                <w:kern w:val="2"/>
              </w:rPr>
              <w:t>0</w:t>
            </w:r>
          </w:p>
        </w:tc>
        <w:tc>
          <w:tcPr>
            <w:tcW w:w="3791" w:type="dxa"/>
            <w:vMerge w:val="continue"/>
            <w:tcBorders>
              <w:tl2br w:val="nil"/>
              <w:tr2bl w:val="nil"/>
            </w:tcBorders>
            <w:vAlign w:val="center"/>
          </w:tcPr>
          <w:p w14:paraId="1075884F">
            <w:pPr>
              <w:widowControl/>
              <w:jc w:val="center"/>
              <w:rPr>
                <w:color w:val="auto"/>
                <w:szCs w:val="21"/>
              </w:rPr>
            </w:pPr>
          </w:p>
        </w:tc>
      </w:tr>
      <w:tr w14:paraId="75858F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7F8B916A">
            <w:pPr>
              <w:widowControl/>
              <w:jc w:val="center"/>
              <w:rPr>
                <w:color w:val="auto"/>
                <w:szCs w:val="21"/>
              </w:rPr>
            </w:pPr>
          </w:p>
        </w:tc>
        <w:tc>
          <w:tcPr>
            <w:tcW w:w="1495" w:type="dxa"/>
            <w:tcBorders>
              <w:tl2br w:val="nil"/>
              <w:tr2bl w:val="nil"/>
            </w:tcBorders>
            <w:vAlign w:val="center"/>
          </w:tcPr>
          <w:p w14:paraId="2389E95E">
            <w:pPr>
              <w:pStyle w:val="128"/>
              <w:rPr>
                <w:color w:val="auto"/>
                <w:kern w:val="2"/>
              </w:rPr>
            </w:pPr>
            <w:r>
              <w:rPr>
                <w:color w:val="auto"/>
                <w:kern w:val="2"/>
              </w:rPr>
              <w:t>1h平均</w:t>
            </w:r>
          </w:p>
        </w:tc>
        <w:tc>
          <w:tcPr>
            <w:tcW w:w="1047" w:type="dxa"/>
            <w:tcBorders>
              <w:tl2br w:val="nil"/>
              <w:tr2bl w:val="nil"/>
            </w:tcBorders>
            <w:vAlign w:val="center"/>
          </w:tcPr>
          <w:p w14:paraId="726A571A">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6D398C99">
            <w:pPr>
              <w:pStyle w:val="128"/>
              <w:rPr>
                <w:color w:val="auto"/>
                <w:kern w:val="2"/>
              </w:rPr>
            </w:pPr>
            <w:r>
              <w:rPr>
                <w:color w:val="auto"/>
                <w:kern w:val="2"/>
              </w:rPr>
              <w:t>250</w:t>
            </w:r>
          </w:p>
        </w:tc>
        <w:tc>
          <w:tcPr>
            <w:tcW w:w="3791" w:type="dxa"/>
            <w:vMerge w:val="continue"/>
            <w:tcBorders>
              <w:tl2br w:val="nil"/>
              <w:tr2bl w:val="nil"/>
            </w:tcBorders>
            <w:vAlign w:val="center"/>
          </w:tcPr>
          <w:p w14:paraId="2808BC1B">
            <w:pPr>
              <w:widowControl/>
              <w:jc w:val="center"/>
              <w:rPr>
                <w:color w:val="auto"/>
                <w:szCs w:val="21"/>
              </w:rPr>
            </w:pPr>
          </w:p>
        </w:tc>
      </w:tr>
      <w:tr w14:paraId="787CF0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437C11C0">
            <w:pPr>
              <w:pStyle w:val="128"/>
              <w:rPr>
                <w:color w:val="auto"/>
                <w:kern w:val="2"/>
              </w:rPr>
            </w:pPr>
            <w:r>
              <w:rPr>
                <w:color w:val="auto"/>
                <w:kern w:val="2"/>
              </w:rPr>
              <w:t>TSP</w:t>
            </w:r>
          </w:p>
        </w:tc>
        <w:tc>
          <w:tcPr>
            <w:tcW w:w="1495" w:type="dxa"/>
            <w:tcBorders>
              <w:tl2br w:val="nil"/>
              <w:tr2bl w:val="nil"/>
            </w:tcBorders>
            <w:vAlign w:val="center"/>
          </w:tcPr>
          <w:p w14:paraId="0AF7487B">
            <w:pPr>
              <w:pStyle w:val="128"/>
              <w:rPr>
                <w:color w:val="auto"/>
                <w:kern w:val="2"/>
              </w:rPr>
            </w:pPr>
            <w:r>
              <w:rPr>
                <w:color w:val="auto"/>
                <w:kern w:val="2"/>
              </w:rPr>
              <w:t>年平均</w:t>
            </w:r>
          </w:p>
        </w:tc>
        <w:tc>
          <w:tcPr>
            <w:tcW w:w="1047" w:type="dxa"/>
            <w:tcBorders>
              <w:tl2br w:val="nil"/>
              <w:tr2bl w:val="nil"/>
            </w:tcBorders>
            <w:vAlign w:val="center"/>
          </w:tcPr>
          <w:p w14:paraId="7721E4E8">
            <w:pPr>
              <w:pStyle w:val="128"/>
              <w:rPr>
                <w:color w:val="auto"/>
                <w:kern w:val="2"/>
              </w:rPr>
            </w:pPr>
            <w:r>
              <w:rPr>
                <w:color w:val="auto"/>
                <w:kern w:val="2"/>
              </w:rPr>
              <w:t>mg/m</w:t>
            </w:r>
            <w:r>
              <w:rPr>
                <w:color w:val="auto"/>
                <w:kern w:val="2"/>
                <w:vertAlign w:val="superscript"/>
              </w:rPr>
              <w:t>3</w:t>
            </w:r>
          </w:p>
        </w:tc>
        <w:tc>
          <w:tcPr>
            <w:tcW w:w="1180" w:type="dxa"/>
            <w:tcBorders>
              <w:tl2br w:val="nil"/>
              <w:tr2bl w:val="nil"/>
            </w:tcBorders>
            <w:vAlign w:val="center"/>
          </w:tcPr>
          <w:p w14:paraId="5093938B">
            <w:pPr>
              <w:pStyle w:val="128"/>
              <w:rPr>
                <w:color w:val="auto"/>
                <w:kern w:val="2"/>
              </w:rPr>
            </w:pPr>
            <w:r>
              <w:rPr>
                <w:color w:val="auto"/>
                <w:kern w:val="2"/>
              </w:rPr>
              <w:t>0.2</w:t>
            </w:r>
          </w:p>
        </w:tc>
        <w:tc>
          <w:tcPr>
            <w:tcW w:w="3791" w:type="dxa"/>
            <w:vMerge w:val="continue"/>
            <w:tcBorders>
              <w:tl2br w:val="nil"/>
              <w:tr2bl w:val="nil"/>
            </w:tcBorders>
            <w:vAlign w:val="center"/>
          </w:tcPr>
          <w:p w14:paraId="287C03D2">
            <w:pPr>
              <w:widowControl/>
              <w:jc w:val="center"/>
              <w:rPr>
                <w:color w:val="auto"/>
                <w:szCs w:val="21"/>
              </w:rPr>
            </w:pPr>
          </w:p>
        </w:tc>
      </w:tr>
      <w:tr w14:paraId="0561BA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2ADD148D">
            <w:pPr>
              <w:widowControl/>
              <w:jc w:val="center"/>
              <w:rPr>
                <w:color w:val="auto"/>
                <w:szCs w:val="21"/>
              </w:rPr>
            </w:pPr>
          </w:p>
        </w:tc>
        <w:tc>
          <w:tcPr>
            <w:tcW w:w="1495" w:type="dxa"/>
            <w:tcBorders>
              <w:tl2br w:val="nil"/>
              <w:tr2bl w:val="nil"/>
            </w:tcBorders>
            <w:vAlign w:val="center"/>
          </w:tcPr>
          <w:p w14:paraId="102CE0D7">
            <w:pPr>
              <w:pStyle w:val="128"/>
              <w:rPr>
                <w:color w:val="auto"/>
                <w:kern w:val="2"/>
              </w:rPr>
            </w:pPr>
            <w:r>
              <w:rPr>
                <w:color w:val="auto"/>
                <w:kern w:val="2"/>
              </w:rPr>
              <w:t>日平均</w:t>
            </w:r>
          </w:p>
        </w:tc>
        <w:tc>
          <w:tcPr>
            <w:tcW w:w="1047" w:type="dxa"/>
            <w:tcBorders>
              <w:tl2br w:val="nil"/>
              <w:tr2bl w:val="nil"/>
            </w:tcBorders>
            <w:vAlign w:val="center"/>
          </w:tcPr>
          <w:p w14:paraId="449CC55A">
            <w:pPr>
              <w:pStyle w:val="128"/>
              <w:rPr>
                <w:color w:val="auto"/>
                <w:kern w:val="2"/>
              </w:rPr>
            </w:pPr>
            <w:r>
              <w:rPr>
                <w:color w:val="auto"/>
                <w:kern w:val="2"/>
              </w:rPr>
              <w:t>mg/m</w:t>
            </w:r>
            <w:r>
              <w:rPr>
                <w:color w:val="auto"/>
                <w:kern w:val="2"/>
                <w:vertAlign w:val="superscript"/>
              </w:rPr>
              <w:t>3</w:t>
            </w:r>
          </w:p>
        </w:tc>
        <w:tc>
          <w:tcPr>
            <w:tcW w:w="1180" w:type="dxa"/>
            <w:tcBorders>
              <w:tl2br w:val="nil"/>
              <w:tr2bl w:val="nil"/>
            </w:tcBorders>
            <w:vAlign w:val="center"/>
          </w:tcPr>
          <w:p w14:paraId="02BDE8D1">
            <w:pPr>
              <w:pStyle w:val="128"/>
              <w:rPr>
                <w:color w:val="auto"/>
                <w:kern w:val="2"/>
              </w:rPr>
            </w:pPr>
            <w:r>
              <w:rPr>
                <w:color w:val="auto"/>
                <w:kern w:val="2"/>
              </w:rPr>
              <w:t>0.3</w:t>
            </w:r>
          </w:p>
        </w:tc>
        <w:tc>
          <w:tcPr>
            <w:tcW w:w="3791" w:type="dxa"/>
            <w:vMerge w:val="continue"/>
            <w:tcBorders>
              <w:tl2br w:val="nil"/>
              <w:tr2bl w:val="nil"/>
            </w:tcBorders>
            <w:vAlign w:val="center"/>
          </w:tcPr>
          <w:p w14:paraId="3F1C3F2B">
            <w:pPr>
              <w:widowControl/>
              <w:jc w:val="center"/>
              <w:rPr>
                <w:color w:val="auto"/>
                <w:szCs w:val="21"/>
              </w:rPr>
            </w:pPr>
          </w:p>
        </w:tc>
      </w:tr>
      <w:tr w14:paraId="1EF1B74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4C6E8CFF">
            <w:pPr>
              <w:pStyle w:val="128"/>
              <w:rPr>
                <w:color w:val="auto"/>
                <w:kern w:val="2"/>
              </w:rPr>
            </w:pPr>
            <w:r>
              <w:rPr>
                <w:color w:val="auto"/>
                <w:kern w:val="2"/>
              </w:rPr>
              <w:t>PM</w:t>
            </w:r>
            <w:r>
              <w:rPr>
                <w:color w:val="auto"/>
                <w:kern w:val="2"/>
                <w:vertAlign w:val="subscript"/>
              </w:rPr>
              <w:t>10</w:t>
            </w:r>
          </w:p>
        </w:tc>
        <w:tc>
          <w:tcPr>
            <w:tcW w:w="1495" w:type="dxa"/>
            <w:tcBorders>
              <w:tl2br w:val="nil"/>
              <w:tr2bl w:val="nil"/>
            </w:tcBorders>
            <w:vAlign w:val="center"/>
          </w:tcPr>
          <w:p w14:paraId="34FE230F">
            <w:pPr>
              <w:pStyle w:val="128"/>
              <w:rPr>
                <w:color w:val="auto"/>
                <w:kern w:val="2"/>
              </w:rPr>
            </w:pPr>
            <w:r>
              <w:rPr>
                <w:color w:val="auto"/>
                <w:kern w:val="2"/>
              </w:rPr>
              <w:t>年平均</w:t>
            </w:r>
          </w:p>
        </w:tc>
        <w:tc>
          <w:tcPr>
            <w:tcW w:w="1047" w:type="dxa"/>
            <w:tcBorders>
              <w:tl2br w:val="nil"/>
              <w:tr2bl w:val="nil"/>
            </w:tcBorders>
            <w:vAlign w:val="center"/>
          </w:tcPr>
          <w:p w14:paraId="4263758D">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61C75C18">
            <w:pPr>
              <w:pStyle w:val="128"/>
              <w:rPr>
                <w:rFonts w:hint="default" w:eastAsia="宋体"/>
                <w:color w:val="auto"/>
                <w:kern w:val="2"/>
                <w:lang w:val="en-US" w:eastAsia="zh-CN"/>
              </w:rPr>
            </w:pPr>
            <w:r>
              <w:rPr>
                <w:rFonts w:hint="eastAsia"/>
                <w:color w:val="auto"/>
                <w:kern w:val="2"/>
                <w:lang w:val="en-US" w:eastAsia="zh-CN"/>
              </w:rPr>
              <w:t>60</w:t>
            </w:r>
          </w:p>
        </w:tc>
        <w:tc>
          <w:tcPr>
            <w:tcW w:w="3791" w:type="dxa"/>
            <w:vMerge w:val="continue"/>
            <w:tcBorders>
              <w:tl2br w:val="nil"/>
              <w:tr2bl w:val="nil"/>
            </w:tcBorders>
            <w:vAlign w:val="center"/>
          </w:tcPr>
          <w:p w14:paraId="0794DC34">
            <w:pPr>
              <w:widowControl/>
              <w:jc w:val="center"/>
              <w:rPr>
                <w:color w:val="auto"/>
                <w:szCs w:val="21"/>
              </w:rPr>
            </w:pPr>
          </w:p>
        </w:tc>
      </w:tr>
      <w:tr w14:paraId="58343C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4F0FBDDF">
            <w:pPr>
              <w:widowControl/>
              <w:jc w:val="center"/>
              <w:rPr>
                <w:color w:val="auto"/>
                <w:szCs w:val="21"/>
              </w:rPr>
            </w:pPr>
          </w:p>
        </w:tc>
        <w:tc>
          <w:tcPr>
            <w:tcW w:w="1495" w:type="dxa"/>
            <w:tcBorders>
              <w:tl2br w:val="nil"/>
              <w:tr2bl w:val="nil"/>
            </w:tcBorders>
            <w:vAlign w:val="center"/>
          </w:tcPr>
          <w:p w14:paraId="4CFCF546">
            <w:pPr>
              <w:pStyle w:val="128"/>
              <w:rPr>
                <w:color w:val="auto"/>
                <w:kern w:val="2"/>
              </w:rPr>
            </w:pPr>
            <w:r>
              <w:rPr>
                <w:color w:val="auto"/>
                <w:kern w:val="2"/>
              </w:rPr>
              <w:t>日平均</w:t>
            </w:r>
          </w:p>
        </w:tc>
        <w:tc>
          <w:tcPr>
            <w:tcW w:w="1047" w:type="dxa"/>
            <w:tcBorders>
              <w:tl2br w:val="nil"/>
              <w:tr2bl w:val="nil"/>
            </w:tcBorders>
            <w:vAlign w:val="center"/>
          </w:tcPr>
          <w:p w14:paraId="4F025175">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60977B78">
            <w:pPr>
              <w:pStyle w:val="128"/>
              <w:rPr>
                <w:rFonts w:hint="default" w:eastAsia="宋体"/>
                <w:color w:val="auto"/>
                <w:kern w:val="2"/>
                <w:lang w:val="en-US" w:eastAsia="zh-CN"/>
              </w:rPr>
            </w:pPr>
            <w:r>
              <w:rPr>
                <w:rFonts w:hint="eastAsia"/>
                <w:color w:val="auto"/>
                <w:kern w:val="2"/>
                <w:lang w:val="en-US" w:eastAsia="zh-CN"/>
              </w:rPr>
              <w:t>120</w:t>
            </w:r>
          </w:p>
        </w:tc>
        <w:tc>
          <w:tcPr>
            <w:tcW w:w="3791" w:type="dxa"/>
            <w:vMerge w:val="continue"/>
            <w:tcBorders>
              <w:tl2br w:val="nil"/>
              <w:tr2bl w:val="nil"/>
            </w:tcBorders>
            <w:vAlign w:val="center"/>
          </w:tcPr>
          <w:p w14:paraId="515B335C">
            <w:pPr>
              <w:widowControl/>
              <w:jc w:val="center"/>
              <w:rPr>
                <w:color w:val="auto"/>
                <w:szCs w:val="21"/>
              </w:rPr>
            </w:pPr>
          </w:p>
        </w:tc>
      </w:tr>
      <w:tr w14:paraId="134E7E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0F84334C">
            <w:pPr>
              <w:pStyle w:val="128"/>
              <w:rPr>
                <w:color w:val="auto"/>
                <w:kern w:val="2"/>
              </w:rPr>
            </w:pPr>
            <w:r>
              <w:rPr>
                <w:color w:val="auto"/>
                <w:kern w:val="2"/>
              </w:rPr>
              <w:t>O</w:t>
            </w:r>
            <w:r>
              <w:rPr>
                <w:color w:val="auto"/>
                <w:kern w:val="2"/>
                <w:vertAlign w:val="subscript"/>
              </w:rPr>
              <w:t>3</w:t>
            </w:r>
          </w:p>
        </w:tc>
        <w:tc>
          <w:tcPr>
            <w:tcW w:w="1495" w:type="dxa"/>
            <w:tcBorders>
              <w:tl2br w:val="nil"/>
              <w:tr2bl w:val="nil"/>
            </w:tcBorders>
            <w:vAlign w:val="center"/>
          </w:tcPr>
          <w:p w14:paraId="66C4CBC1">
            <w:pPr>
              <w:pStyle w:val="128"/>
              <w:rPr>
                <w:color w:val="auto"/>
                <w:kern w:val="2"/>
              </w:rPr>
            </w:pPr>
            <w:r>
              <w:rPr>
                <w:color w:val="auto"/>
                <w:kern w:val="2"/>
              </w:rPr>
              <w:t>8小时平均</w:t>
            </w:r>
          </w:p>
        </w:tc>
        <w:tc>
          <w:tcPr>
            <w:tcW w:w="1047" w:type="dxa"/>
            <w:tcBorders>
              <w:tl2br w:val="nil"/>
              <w:tr2bl w:val="nil"/>
            </w:tcBorders>
            <w:vAlign w:val="center"/>
          </w:tcPr>
          <w:p w14:paraId="6C29598C">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2EC207C5">
            <w:pPr>
              <w:pStyle w:val="128"/>
              <w:rPr>
                <w:color w:val="auto"/>
                <w:kern w:val="2"/>
              </w:rPr>
            </w:pPr>
            <w:r>
              <w:rPr>
                <w:color w:val="auto"/>
                <w:kern w:val="2"/>
              </w:rPr>
              <w:t>160</w:t>
            </w:r>
          </w:p>
        </w:tc>
        <w:tc>
          <w:tcPr>
            <w:tcW w:w="3791" w:type="dxa"/>
            <w:vMerge w:val="continue"/>
            <w:tcBorders>
              <w:tl2br w:val="nil"/>
              <w:tr2bl w:val="nil"/>
            </w:tcBorders>
            <w:vAlign w:val="center"/>
          </w:tcPr>
          <w:p w14:paraId="63636BE6">
            <w:pPr>
              <w:widowControl/>
              <w:jc w:val="center"/>
              <w:rPr>
                <w:color w:val="auto"/>
                <w:szCs w:val="21"/>
              </w:rPr>
            </w:pPr>
          </w:p>
        </w:tc>
      </w:tr>
      <w:tr w14:paraId="7D5C93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032165BE">
            <w:pPr>
              <w:widowControl/>
              <w:jc w:val="center"/>
              <w:rPr>
                <w:color w:val="auto"/>
                <w:szCs w:val="21"/>
              </w:rPr>
            </w:pPr>
          </w:p>
        </w:tc>
        <w:tc>
          <w:tcPr>
            <w:tcW w:w="1495" w:type="dxa"/>
            <w:tcBorders>
              <w:tl2br w:val="nil"/>
              <w:tr2bl w:val="nil"/>
            </w:tcBorders>
            <w:vAlign w:val="center"/>
          </w:tcPr>
          <w:p w14:paraId="18298536">
            <w:pPr>
              <w:pStyle w:val="128"/>
              <w:rPr>
                <w:color w:val="auto"/>
                <w:kern w:val="2"/>
              </w:rPr>
            </w:pPr>
            <w:r>
              <w:rPr>
                <w:color w:val="auto"/>
                <w:kern w:val="2"/>
              </w:rPr>
              <w:t>1小时平均</w:t>
            </w:r>
          </w:p>
        </w:tc>
        <w:tc>
          <w:tcPr>
            <w:tcW w:w="1047" w:type="dxa"/>
            <w:tcBorders>
              <w:tl2br w:val="nil"/>
              <w:tr2bl w:val="nil"/>
            </w:tcBorders>
            <w:vAlign w:val="center"/>
          </w:tcPr>
          <w:p w14:paraId="53CF0C7D">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323FD95E">
            <w:pPr>
              <w:pStyle w:val="128"/>
              <w:rPr>
                <w:color w:val="auto"/>
                <w:kern w:val="2"/>
              </w:rPr>
            </w:pPr>
            <w:r>
              <w:rPr>
                <w:color w:val="auto"/>
                <w:kern w:val="2"/>
              </w:rPr>
              <w:t>200</w:t>
            </w:r>
          </w:p>
        </w:tc>
        <w:tc>
          <w:tcPr>
            <w:tcW w:w="3791" w:type="dxa"/>
            <w:vMerge w:val="continue"/>
            <w:tcBorders>
              <w:tl2br w:val="nil"/>
              <w:tr2bl w:val="nil"/>
            </w:tcBorders>
            <w:vAlign w:val="center"/>
          </w:tcPr>
          <w:p w14:paraId="3003EAAC">
            <w:pPr>
              <w:widowControl/>
              <w:jc w:val="center"/>
              <w:rPr>
                <w:color w:val="auto"/>
                <w:szCs w:val="21"/>
              </w:rPr>
            </w:pPr>
          </w:p>
        </w:tc>
      </w:tr>
      <w:tr w14:paraId="6102A3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02F58E2B">
            <w:pPr>
              <w:pStyle w:val="128"/>
              <w:rPr>
                <w:color w:val="auto"/>
                <w:kern w:val="2"/>
              </w:rPr>
            </w:pPr>
            <w:r>
              <w:rPr>
                <w:color w:val="auto"/>
                <w:kern w:val="2"/>
              </w:rPr>
              <w:t>CO</w:t>
            </w:r>
          </w:p>
        </w:tc>
        <w:tc>
          <w:tcPr>
            <w:tcW w:w="1495" w:type="dxa"/>
            <w:tcBorders>
              <w:tl2br w:val="nil"/>
              <w:tr2bl w:val="nil"/>
            </w:tcBorders>
            <w:vAlign w:val="center"/>
          </w:tcPr>
          <w:p w14:paraId="78D15903">
            <w:pPr>
              <w:pStyle w:val="128"/>
              <w:rPr>
                <w:color w:val="auto"/>
                <w:kern w:val="2"/>
              </w:rPr>
            </w:pPr>
            <w:r>
              <w:rPr>
                <w:color w:val="auto"/>
                <w:kern w:val="2"/>
              </w:rPr>
              <w:t>24小时平均</w:t>
            </w:r>
          </w:p>
        </w:tc>
        <w:tc>
          <w:tcPr>
            <w:tcW w:w="1047" w:type="dxa"/>
            <w:tcBorders>
              <w:tl2br w:val="nil"/>
              <w:tr2bl w:val="nil"/>
            </w:tcBorders>
            <w:vAlign w:val="center"/>
          </w:tcPr>
          <w:p w14:paraId="5B5688F4">
            <w:pPr>
              <w:pStyle w:val="128"/>
              <w:rPr>
                <w:color w:val="auto"/>
                <w:kern w:val="2"/>
              </w:rPr>
            </w:pPr>
            <w:r>
              <w:rPr>
                <w:color w:val="auto"/>
                <w:kern w:val="2"/>
              </w:rPr>
              <w:t>mg/m</w:t>
            </w:r>
            <w:r>
              <w:rPr>
                <w:color w:val="auto"/>
                <w:kern w:val="2"/>
                <w:vertAlign w:val="superscript"/>
              </w:rPr>
              <w:t>3</w:t>
            </w:r>
          </w:p>
        </w:tc>
        <w:tc>
          <w:tcPr>
            <w:tcW w:w="1180" w:type="dxa"/>
            <w:tcBorders>
              <w:tl2br w:val="nil"/>
              <w:tr2bl w:val="nil"/>
            </w:tcBorders>
            <w:vAlign w:val="center"/>
          </w:tcPr>
          <w:p w14:paraId="086F671B">
            <w:pPr>
              <w:pStyle w:val="128"/>
              <w:rPr>
                <w:color w:val="auto"/>
                <w:kern w:val="2"/>
              </w:rPr>
            </w:pPr>
            <w:r>
              <w:rPr>
                <w:color w:val="auto"/>
                <w:kern w:val="2"/>
              </w:rPr>
              <w:t>4</w:t>
            </w:r>
          </w:p>
        </w:tc>
        <w:tc>
          <w:tcPr>
            <w:tcW w:w="3791" w:type="dxa"/>
            <w:vMerge w:val="continue"/>
            <w:tcBorders>
              <w:tl2br w:val="nil"/>
              <w:tr2bl w:val="nil"/>
            </w:tcBorders>
            <w:vAlign w:val="center"/>
          </w:tcPr>
          <w:p w14:paraId="3A2F47D6">
            <w:pPr>
              <w:widowControl/>
              <w:jc w:val="center"/>
              <w:rPr>
                <w:color w:val="auto"/>
                <w:szCs w:val="21"/>
              </w:rPr>
            </w:pPr>
          </w:p>
        </w:tc>
      </w:tr>
      <w:tr w14:paraId="74A3DD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19647576">
            <w:pPr>
              <w:widowControl/>
              <w:jc w:val="center"/>
              <w:rPr>
                <w:color w:val="auto"/>
                <w:szCs w:val="21"/>
              </w:rPr>
            </w:pPr>
          </w:p>
        </w:tc>
        <w:tc>
          <w:tcPr>
            <w:tcW w:w="1495" w:type="dxa"/>
            <w:tcBorders>
              <w:tl2br w:val="nil"/>
              <w:tr2bl w:val="nil"/>
            </w:tcBorders>
            <w:vAlign w:val="center"/>
          </w:tcPr>
          <w:p w14:paraId="1301AAD5">
            <w:pPr>
              <w:pStyle w:val="128"/>
              <w:rPr>
                <w:color w:val="auto"/>
                <w:kern w:val="2"/>
              </w:rPr>
            </w:pPr>
            <w:r>
              <w:rPr>
                <w:color w:val="auto"/>
                <w:kern w:val="2"/>
              </w:rPr>
              <w:t>1小时平均</w:t>
            </w:r>
          </w:p>
        </w:tc>
        <w:tc>
          <w:tcPr>
            <w:tcW w:w="1047" w:type="dxa"/>
            <w:tcBorders>
              <w:tl2br w:val="nil"/>
              <w:tr2bl w:val="nil"/>
            </w:tcBorders>
            <w:vAlign w:val="center"/>
          </w:tcPr>
          <w:p w14:paraId="7D36C88A">
            <w:pPr>
              <w:widowControl/>
              <w:jc w:val="center"/>
              <w:rPr>
                <w:color w:val="auto"/>
                <w:szCs w:val="21"/>
              </w:rPr>
            </w:pPr>
            <w:r>
              <w:rPr>
                <w:color w:val="auto"/>
                <w:szCs w:val="21"/>
              </w:rPr>
              <w:t>mg/m</w:t>
            </w:r>
            <w:r>
              <w:rPr>
                <w:color w:val="auto"/>
                <w:szCs w:val="21"/>
                <w:vertAlign w:val="superscript"/>
              </w:rPr>
              <w:t>3</w:t>
            </w:r>
          </w:p>
        </w:tc>
        <w:tc>
          <w:tcPr>
            <w:tcW w:w="1180" w:type="dxa"/>
            <w:tcBorders>
              <w:tl2br w:val="nil"/>
              <w:tr2bl w:val="nil"/>
            </w:tcBorders>
            <w:vAlign w:val="center"/>
          </w:tcPr>
          <w:p w14:paraId="23B3CAC2">
            <w:pPr>
              <w:pStyle w:val="128"/>
              <w:rPr>
                <w:color w:val="auto"/>
                <w:kern w:val="2"/>
              </w:rPr>
            </w:pPr>
            <w:r>
              <w:rPr>
                <w:color w:val="auto"/>
                <w:kern w:val="2"/>
              </w:rPr>
              <w:t>10</w:t>
            </w:r>
          </w:p>
        </w:tc>
        <w:tc>
          <w:tcPr>
            <w:tcW w:w="3791" w:type="dxa"/>
            <w:vMerge w:val="continue"/>
            <w:tcBorders>
              <w:tl2br w:val="nil"/>
              <w:tr2bl w:val="nil"/>
            </w:tcBorders>
            <w:vAlign w:val="center"/>
          </w:tcPr>
          <w:p w14:paraId="44E0C19F">
            <w:pPr>
              <w:widowControl/>
              <w:jc w:val="center"/>
              <w:rPr>
                <w:color w:val="auto"/>
                <w:szCs w:val="21"/>
              </w:rPr>
            </w:pPr>
          </w:p>
        </w:tc>
      </w:tr>
      <w:tr w14:paraId="2CA639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restart"/>
            <w:tcBorders>
              <w:tl2br w:val="nil"/>
              <w:tr2bl w:val="nil"/>
            </w:tcBorders>
            <w:vAlign w:val="center"/>
          </w:tcPr>
          <w:p w14:paraId="184CF9F6">
            <w:pPr>
              <w:pStyle w:val="128"/>
              <w:rPr>
                <w:color w:val="auto"/>
                <w:kern w:val="2"/>
              </w:rPr>
            </w:pPr>
            <w:r>
              <w:rPr>
                <w:color w:val="auto"/>
                <w:kern w:val="2"/>
              </w:rPr>
              <w:t>PM</w:t>
            </w:r>
            <w:r>
              <w:rPr>
                <w:color w:val="auto"/>
                <w:kern w:val="2"/>
                <w:vertAlign w:val="subscript"/>
              </w:rPr>
              <w:t>2.5</w:t>
            </w:r>
          </w:p>
        </w:tc>
        <w:tc>
          <w:tcPr>
            <w:tcW w:w="1495" w:type="dxa"/>
            <w:tcBorders>
              <w:tl2br w:val="nil"/>
              <w:tr2bl w:val="nil"/>
            </w:tcBorders>
            <w:vAlign w:val="center"/>
          </w:tcPr>
          <w:p w14:paraId="5B5779DE">
            <w:pPr>
              <w:pStyle w:val="128"/>
              <w:rPr>
                <w:color w:val="auto"/>
                <w:kern w:val="2"/>
              </w:rPr>
            </w:pPr>
            <w:r>
              <w:rPr>
                <w:color w:val="auto"/>
                <w:kern w:val="2"/>
              </w:rPr>
              <w:t>年平均</w:t>
            </w:r>
          </w:p>
        </w:tc>
        <w:tc>
          <w:tcPr>
            <w:tcW w:w="1047" w:type="dxa"/>
            <w:tcBorders>
              <w:tl2br w:val="nil"/>
              <w:tr2bl w:val="nil"/>
            </w:tcBorders>
            <w:vAlign w:val="center"/>
          </w:tcPr>
          <w:p w14:paraId="23904FED">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66C341D8">
            <w:pPr>
              <w:pStyle w:val="128"/>
              <w:rPr>
                <w:rFonts w:hint="eastAsia" w:eastAsia="宋体"/>
                <w:color w:val="auto"/>
                <w:kern w:val="2"/>
                <w:lang w:eastAsia="zh-CN"/>
              </w:rPr>
            </w:pPr>
            <w:r>
              <w:rPr>
                <w:color w:val="auto"/>
                <w:kern w:val="2"/>
              </w:rPr>
              <w:t>3</w:t>
            </w:r>
            <w:r>
              <w:rPr>
                <w:rFonts w:hint="eastAsia"/>
                <w:color w:val="auto"/>
                <w:kern w:val="2"/>
                <w:lang w:val="en-US" w:eastAsia="zh-CN"/>
              </w:rPr>
              <w:t>0</w:t>
            </w:r>
          </w:p>
        </w:tc>
        <w:tc>
          <w:tcPr>
            <w:tcW w:w="3791" w:type="dxa"/>
            <w:vMerge w:val="continue"/>
            <w:tcBorders>
              <w:tl2br w:val="nil"/>
              <w:tr2bl w:val="nil"/>
            </w:tcBorders>
            <w:vAlign w:val="center"/>
          </w:tcPr>
          <w:p w14:paraId="0B982FAD">
            <w:pPr>
              <w:widowControl/>
              <w:jc w:val="center"/>
              <w:rPr>
                <w:color w:val="auto"/>
                <w:szCs w:val="21"/>
              </w:rPr>
            </w:pPr>
          </w:p>
        </w:tc>
      </w:tr>
      <w:tr w14:paraId="78E665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vMerge w:val="continue"/>
            <w:tcBorders>
              <w:tl2br w:val="nil"/>
              <w:tr2bl w:val="nil"/>
            </w:tcBorders>
            <w:vAlign w:val="center"/>
          </w:tcPr>
          <w:p w14:paraId="3A770BE6">
            <w:pPr>
              <w:widowControl/>
              <w:jc w:val="center"/>
              <w:rPr>
                <w:color w:val="auto"/>
                <w:szCs w:val="21"/>
              </w:rPr>
            </w:pPr>
          </w:p>
        </w:tc>
        <w:tc>
          <w:tcPr>
            <w:tcW w:w="1495" w:type="dxa"/>
            <w:tcBorders>
              <w:tl2br w:val="nil"/>
              <w:tr2bl w:val="nil"/>
            </w:tcBorders>
            <w:vAlign w:val="center"/>
          </w:tcPr>
          <w:p w14:paraId="4DD85DCB">
            <w:pPr>
              <w:pStyle w:val="128"/>
              <w:rPr>
                <w:color w:val="auto"/>
                <w:kern w:val="2"/>
              </w:rPr>
            </w:pPr>
            <w:r>
              <w:rPr>
                <w:color w:val="auto"/>
                <w:kern w:val="2"/>
              </w:rPr>
              <w:t>日平均</w:t>
            </w:r>
          </w:p>
        </w:tc>
        <w:tc>
          <w:tcPr>
            <w:tcW w:w="1047" w:type="dxa"/>
            <w:tcBorders>
              <w:tl2br w:val="nil"/>
              <w:tr2bl w:val="nil"/>
            </w:tcBorders>
            <w:vAlign w:val="center"/>
          </w:tcPr>
          <w:p w14:paraId="215FB43E">
            <w:pPr>
              <w:pStyle w:val="128"/>
              <w:rPr>
                <w:color w:val="auto"/>
                <w:kern w:val="2"/>
              </w:rPr>
            </w:pPr>
            <w:r>
              <w:rPr>
                <w:color w:val="auto"/>
                <w:kern w:val="2"/>
              </w:rPr>
              <w:t>μg/ m</w:t>
            </w:r>
            <w:r>
              <w:rPr>
                <w:color w:val="auto"/>
                <w:kern w:val="2"/>
                <w:vertAlign w:val="superscript"/>
              </w:rPr>
              <w:t>3</w:t>
            </w:r>
          </w:p>
        </w:tc>
        <w:tc>
          <w:tcPr>
            <w:tcW w:w="1180" w:type="dxa"/>
            <w:tcBorders>
              <w:tl2br w:val="nil"/>
              <w:tr2bl w:val="nil"/>
            </w:tcBorders>
            <w:vAlign w:val="center"/>
          </w:tcPr>
          <w:p w14:paraId="32684AB0">
            <w:pPr>
              <w:pStyle w:val="128"/>
              <w:rPr>
                <w:rFonts w:hint="default" w:eastAsia="宋体"/>
                <w:color w:val="auto"/>
                <w:kern w:val="2"/>
                <w:lang w:val="en-US" w:eastAsia="zh-CN"/>
              </w:rPr>
            </w:pPr>
            <w:r>
              <w:rPr>
                <w:rFonts w:hint="eastAsia"/>
                <w:color w:val="auto"/>
                <w:kern w:val="2"/>
                <w:lang w:val="en-US" w:eastAsia="zh-CN"/>
              </w:rPr>
              <w:t>60</w:t>
            </w:r>
          </w:p>
        </w:tc>
        <w:tc>
          <w:tcPr>
            <w:tcW w:w="3791" w:type="dxa"/>
            <w:vMerge w:val="continue"/>
            <w:tcBorders>
              <w:tl2br w:val="nil"/>
              <w:tr2bl w:val="nil"/>
            </w:tcBorders>
            <w:vAlign w:val="center"/>
          </w:tcPr>
          <w:p w14:paraId="4D5F7322">
            <w:pPr>
              <w:widowControl/>
              <w:jc w:val="center"/>
              <w:rPr>
                <w:color w:val="auto"/>
                <w:szCs w:val="21"/>
              </w:rPr>
            </w:pPr>
          </w:p>
        </w:tc>
      </w:tr>
      <w:tr w14:paraId="1D3202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729" w:type="dxa"/>
            <w:tcBorders>
              <w:tl2br w:val="nil"/>
              <w:tr2bl w:val="nil"/>
            </w:tcBorders>
            <w:vAlign w:val="center"/>
          </w:tcPr>
          <w:p w14:paraId="7D1377DF">
            <w:pPr>
              <w:jc w:val="center"/>
              <w:rPr>
                <w:color w:val="auto"/>
                <w:szCs w:val="21"/>
              </w:rPr>
            </w:pPr>
            <w:r>
              <w:rPr>
                <w:color w:val="auto"/>
                <w:szCs w:val="21"/>
              </w:rPr>
              <w:t>非甲烷总烃</w:t>
            </w:r>
          </w:p>
        </w:tc>
        <w:tc>
          <w:tcPr>
            <w:tcW w:w="1495" w:type="dxa"/>
            <w:tcBorders>
              <w:tl2br w:val="nil"/>
              <w:tr2bl w:val="nil"/>
            </w:tcBorders>
            <w:vAlign w:val="center"/>
          </w:tcPr>
          <w:p w14:paraId="612FA4C9">
            <w:pPr>
              <w:jc w:val="center"/>
              <w:rPr>
                <w:color w:val="auto"/>
                <w:szCs w:val="21"/>
              </w:rPr>
            </w:pPr>
            <w:r>
              <w:rPr>
                <w:color w:val="auto"/>
                <w:szCs w:val="21"/>
              </w:rPr>
              <w:t>1h值</w:t>
            </w:r>
          </w:p>
        </w:tc>
        <w:tc>
          <w:tcPr>
            <w:tcW w:w="1047" w:type="dxa"/>
            <w:tcBorders>
              <w:tl2br w:val="nil"/>
              <w:tr2bl w:val="nil"/>
            </w:tcBorders>
            <w:vAlign w:val="center"/>
          </w:tcPr>
          <w:p w14:paraId="44834869">
            <w:pPr>
              <w:jc w:val="center"/>
              <w:rPr>
                <w:color w:val="auto"/>
                <w:szCs w:val="21"/>
              </w:rPr>
            </w:pPr>
            <w:r>
              <w:rPr>
                <w:rFonts w:hint="eastAsia"/>
                <w:color w:val="auto"/>
                <w:szCs w:val="21"/>
              </w:rPr>
              <w:t>m</w:t>
            </w:r>
            <w:r>
              <w:rPr>
                <w:color w:val="auto"/>
                <w:szCs w:val="21"/>
              </w:rPr>
              <w:t>g/ m</w:t>
            </w:r>
            <w:r>
              <w:rPr>
                <w:color w:val="auto"/>
                <w:szCs w:val="21"/>
                <w:vertAlign w:val="superscript"/>
              </w:rPr>
              <w:t>3</w:t>
            </w:r>
          </w:p>
        </w:tc>
        <w:tc>
          <w:tcPr>
            <w:tcW w:w="1180" w:type="dxa"/>
            <w:tcBorders>
              <w:tl2br w:val="nil"/>
              <w:tr2bl w:val="nil"/>
            </w:tcBorders>
            <w:vAlign w:val="center"/>
          </w:tcPr>
          <w:p w14:paraId="61397C18">
            <w:pPr>
              <w:jc w:val="center"/>
              <w:rPr>
                <w:color w:val="auto"/>
                <w:szCs w:val="21"/>
              </w:rPr>
            </w:pPr>
            <w:r>
              <w:rPr>
                <w:color w:val="auto"/>
                <w:szCs w:val="21"/>
              </w:rPr>
              <w:t>2</w:t>
            </w:r>
            <w:r>
              <w:rPr>
                <w:rFonts w:hint="eastAsia"/>
                <w:color w:val="auto"/>
                <w:szCs w:val="21"/>
              </w:rPr>
              <w:t>.0</w:t>
            </w:r>
          </w:p>
        </w:tc>
        <w:tc>
          <w:tcPr>
            <w:tcW w:w="3791" w:type="dxa"/>
            <w:tcBorders>
              <w:tl2br w:val="nil"/>
              <w:tr2bl w:val="nil"/>
            </w:tcBorders>
            <w:vAlign w:val="center"/>
          </w:tcPr>
          <w:p w14:paraId="0123E570">
            <w:pPr>
              <w:pStyle w:val="128"/>
              <w:rPr>
                <w:color w:val="auto"/>
              </w:rPr>
            </w:pPr>
            <w:r>
              <w:rPr>
                <w:color w:val="auto"/>
                <w:kern w:val="2"/>
              </w:rPr>
              <w:t>《大气污染物综合排放标准详解》</w:t>
            </w:r>
          </w:p>
        </w:tc>
      </w:tr>
      <w:tr w14:paraId="239EA4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tcBorders>
              <w:tl2br w:val="nil"/>
              <w:tr2bl w:val="nil"/>
            </w:tcBorders>
            <w:shd w:val="clear" w:color="auto" w:fill="auto"/>
            <w:vAlign w:val="center"/>
          </w:tcPr>
          <w:p w14:paraId="6B4BB6F3">
            <w:pPr>
              <w:pStyle w:val="14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kern w:val="2"/>
                <w:sz w:val="21"/>
                <w:szCs w:val="21"/>
                <w:lang w:val="en-US" w:eastAsia="zh-CN" w:bidi="ar-SA"/>
              </w:rPr>
            </w:pPr>
            <w:bookmarkStart w:id="25" w:name="_Toc82"/>
            <w:r>
              <w:rPr>
                <w:rFonts w:hint="default" w:ascii="Times New Roman" w:hAnsi="Times New Roman" w:eastAsia="宋体" w:cs="Times New Roman"/>
                <w:lang w:val="en-US" w:eastAsia="zh-CN"/>
              </w:rPr>
              <w:t>NH</w:t>
            </w:r>
            <w:r>
              <w:rPr>
                <w:rFonts w:hint="default" w:ascii="Times New Roman" w:hAnsi="Times New Roman" w:eastAsia="宋体" w:cs="Times New Roman"/>
                <w:vertAlign w:val="subscript"/>
                <w:lang w:val="en-US" w:eastAsia="zh-CN"/>
              </w:rPr>
              <w:t>3</w:t>
            </w:r>
          </w:p>
        </w:tc>
        <w:tc>
          <w:tcPr>
            <w:tcW w:w="1495" w:type="dxa"/>
            <w:tcBorders>
              <w:tl2br w:val="nil"/>
              <w:tr2bl w:val="nil"/>
            </w:tcBorders>
            <w:shd w:val="clear" w:color="auto" w:fill="auto"/>
            <w:vAlign w:val="center"/>
          </w:tcPr>
          <w:p w14:paraId="6DCA2E3B">
            <w:pPr>
              <w:pStyle w:val="14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rPr>
              <w:t>-</w:t>
            </w:r>
          </w:p>
        </w:tc>
        <w:tc>
          <w:tcPr>
            <w:tcW w:w="1047" w:type="dxa"/>
            <w:tcBorders>
              <w:tl2br w:val="nil"/>
              <w:tr2bl w:val="nil"/>
            </w:tcBorders>
            <w:shd w:val="clear" w:color="auto" w:fill="auto"/>
            <w:vAlign w:val="center"/>
          </w:tcPr>
          <w:p w14:paraId="794B493A">
            <w:pPr>
              <w:pStyle w:val="146"/>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w:t>
            </w:r>
          </w:p>
        </w:tc>
        <w:tc>
          <w:tcPr>
            <w:tcW w:w="1180" w:type="dxa"/>
            <w:tcBorders>
              <w:tl2br w:val="nil"/>
              <w:tr2bl w:val="nil"/>
            </w:tcBorders>
            <w:shd w:val="clear" w:color="auto" w:fill="auto"/>
            <w:vAlign w:val="center"/>
          </w:tcPr>
          <w:p w14:paraId="5A8B9B92">
            <w:pPr>
              <w:pStyle w:val="14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0.2</w:t>
            </w:r>
          </w:p>
        </w:tc>
        <w:tc>
          <w:tcPr>
            <w:tcW w:w="3791" w:type="dxa"/>
            <w:tcBorders>
              <w:tl2br w:val="nil"/>
              <w:tr2bl w:val="nil"/>
            </w:tcBorders>
            <w:vAlign w:val="center"/>
          </w:tcPr>
          <w:p w14:paraId="3E2EE127">
            <w:pPr>
              <w:pStyle w:val="128"/>
              <w:rPr>
                <w:color w:val="auto"/>
                <w:kern w:val="2"/>
              </w:rPr>
            </w:pPr>
            <w:r>
              <w:rPr>
                <w:rFonts w:hint="default" w:ascii="Times New Roman" w:hAnsi="Times New Roman" w:eastAsia="宋体" w:cs="Times New Roman"/>
              </w:rPr>
              <w:t>《环境影响评价技术导则 大气环境》（HJ2.2-2018）附录D</w:t>
            </w:r>
          </w:p>
        </w:tc>
      </w:tr>
      <w:tr w14:paraId="570480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729" w:type="dxa"/>
            <w:tcBorders>
              <w:tl2br w:val="nil"/>
              <w:tr2bl w:val="nil"/>
            </w:tcBorders>
            <w:shd w:val="clear" w:color="auto" w:fill="auto"/>
            <w:vAlign w:val="center"/>
          </w:tcPr>
          <w:p w14:paraId="7DD7AF8A">
            <w:pPr>
              <w:pStyle w:val="14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汞</w:t>
            </w:r>
          </w:p>
        </w:tc>
        <w:tc>
          <w:tcPr>
            <w:tcW w:w="1495" w:type="dxa"/>
            <w:tcBorders>
              <w:tl2br w:val="nil"/>
              <w:tr2bl w:val="nil"/>
            </w:tcBorders>
            <w:shd w:val="clear" w:color="auto" w:fill="auto"/>
            <w:vAlign w:val="center"/>
          </w:tcPr>
          <w:p w14:paraId="54AD0360">
            <w:pPr>
              <w:pStyle w:val="128"/>
              <w:rPr>
                <w:rFonts w:hint="default" w:ascii="Times New Roman" w:hAnsi="Times New Roman" w:eastAsia="宋体" w:cs="Times New Roman"/>
                <w:color w:val="auto"/>
                <w:kern w:val="2"/>
                <w:sz w:val="21"/>
                <w:szCs w:val="21"/>
                <w:lang w:val="en-US" w:eastAsia="zh-CN" w:bidi="ar-SA"/>
              </w:rPr>
            </w:pPr>
            <w:r>
              <w:rPr>
                <w:color w:val="auto"/>
                <w:kern w:val="2"/>
              </w:rPr>
              <w:t>年平均</w:t>
            </w:r>
          </w:p>
        </w:tc>
        <w:tc>
          <w:tcPr>
            <w:tcW w:w="1047" w:type="dxa"/>
            <w:tcBorders>
              <w:tl2br w:val="nil"/>
              <w:tr2bl w:val="nil"/>
            </w:tcBorders>
            <w:shd w:val="clear" w:color="auto" w:fill="auto"/>
            <w:vAlign w:val="center"/>
          </w:tcPr>
          <w:p w14:paraId="7E8256CD">
            <w:pPr>
              <w:pStyle w:val="128"/>
              <w:rPr>
                <w:rFonts w:hint="default" w:ascii="Times New Roman" w:hAnsi="Times New Roman" w:eastAsia="宋体" w:cs="Times New Roman"/>
                <w:color w:val="auto"/>
                <w:kern w:val="2"/>
                <w:sz w:val="21"/>
                <w:szCs w:val="21"/>
                <w:lang w:val="en-US" w:eastAsia="zh-CN" w:bidi="ar-SA"/>
              </w:rPr>
            </w:pPr>
            <w:r>
              <w:rPr>
                <w:color w:val="auto"/>
                <w:kern w:val="2"/>
              </w:rPr>
              <w:t>μg/ m</w:t>
            </w:r>
            <w:r>
              <w:rPr>
                <w:color w:val="auto"/>
                <w:kern w:val="2"/>
                <w:vertAlign w:val="superscript"/>
              </w:rPr>
              <w:t>3</w:t>
            </w:r>
          </w:p>
        </w:tc>
        <w:tc>
          <w:tcPr>
            <w:tcW w:w="1180" w:type="dxa"/>
            <w:tcBorders>
              <w:tl2br w:val="nil"/>
              <w:tr2bl w:val="nil"/>
            </w:tcBorders>
            <w:shd w:val="clear" w:color="auto" w:fill="auto"/>
            <w:vAlign w:val="center"/>
          </w:tcPr>
          <w:p w14:paraId="62DB03CF">
            <w:pPr>
              <w:pStyle w:val="14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0.05</w:t>
            </w:r>
          </w:p>
        </w:tc>
        <w:tc>
          <w:tcPr>
            <w:tcW w:w="3791" w:type="dxa"/>
            <w:tcBorders>
              <w:tl2br w:val="nil"/>
              <w:tr2bl w:val="nil"/>
            </w:tcBorders>
            <w:vAlign w:val="center"/>
          </w:tcPr>
          <w:p w14:paraId="25F8E5EB">
            <w:pPr>
              <w:pStyle w:val="128"/>
              <w:rPr>
                <w:rFonts w:hint="default" w:ascii="Times New Roman" w:hAnsi="Times New Roman" w:eastAsia="宋体" w:cs="Times New Roman"/>
                <w:lang w:val="en-US"/>
              </w:rPr>
            </w:pPr>
            <w:r>
              <w:rPr>
                <w:rFonts w:hint="default" w:ascii="Times New Roman" w:hAnsi="Times New Roman" w:eastAsia="宋体" w:cs="Times New Roman"/>
                <w:lang w:eastAsia="zh-CN"/>
              </w:rPr>
              <w:t>《环境空气质量标准》（GB3095-20</w:t>
            </w:r>
            <w:r>
              <w:rPr>
                <w:rFonts w:hint="default" w:ascii="Times New Roman" w:hAnsi="Times New Roman" w:eastAsia="宋体" w:cs="Times New Roman"/>
                <w:lang w:val="en-US" w:eastAsia="zh-CN"/>
              </w:rPr>
              <w:t>26</w:t>
            </w:r>
            <w:r>
              <w:rPr>
                <w:rFonts w:hint="default" w:ascii="Times New Roman" w:hAnsi="Times New Roman" w:eastAsia="宋体" w:cs="Times New Roman"/>
                <w:lang w:eastAsia="zh-CN"/>
              </w:rPr>
              <w:t>）</w:t>
            </w:r>
            <w:r>
              <w:rPr>
                <w:rFonts w:hint="eastAsia" w:ascii="Times New Roman" w:hAnsi="Times New Roman" w:eastAsia="宋体" w:cs="Times New Roman"/>
                <w:lang w:val="en-US" w:eastAsia="zh-CN"/>
              </w:rPr>
              <w:t>附录A</w:t>
            </w:r>
          </w:p>
        </w:tc>
      </w:tr>
    </w:tbl>
    <w:p w14:paraId="68BA5AC1">
      <w:pPr>
        <w:pStyle w:val="4"/>
        <w:spacing w:before="120" w:beforeLines="50" w:after="0" w:line="360" w:lineRule="auto"/>
        <w:rPr>
          <w:color w:val="auto"/>
          <w:kern w:val="0"/>
          <w:sz w:val="24"/>
          <w:szCs w:val="24"/>
        </w:rPr>
      </w:pPr>
      <w:r>
        <w:rPr>
          <w:rFonts w:hint="eastAsia"/>
          <w:color w:val="auto"/>
          <w:kern w:val="0"/>
          <w:sz w:val="24"/>
          <w:szCs w:val="24"/>
        </w:rPr>
        <w:t>1.</w:t>
      </w:r>
      <w:r>
        <w:rPr>
          <w:rFonts w:hint="eastAsia"/>
          <w:color w:val="auto"/>
          <w:kern w:val="0"/>
          <w:sz w:val="24"/>
          <w:szCs w:val="24"/>
          <w:lang w:val="en-US" w:eastAsia="zh-CN"/>
        </w:rPr>
        <w:t>4</w:t>
      </w:r>
      <w:r>
        <w:rPr>
          <w:rFonts w:hint="eastAsia"/>
          <w:color w:val="auto"/>
          <w:kern w:val="0"/>
          <w:sz w:val="24"/>
          <w:szCs w:val="24"/>
        </w:rPr>
        <w:t>.2大气污染物排放标准</w:t>
      </w:r>
      <w:bookmarkEnd w:id="25"/>
    </w:p>
    <w:p w14:paraId="48C105BA">
      <w:pPr>
        <w:spacing w:line="360" w:lineRule="auto"/>
        <w:ind w:firstLine="480" w:firstLineChars="200"/>
        <w:rPr>
          <w:rFonts w:ascii="宋体" w:hAnsi="宋体" w:cs="宋体"/>
          <w:kern w:val="24"/>
          <w:sz w:val="24"/>
          <w:szCs w:val="24"/>
        </w:rPr>
      </w:pPr>
      <w:bookmarkStart w:id="26" w:name="_Toc1826"/>
      <w:r>
        <w:rPr>
          <w:rFonts w:hint="eastAsia" w:ascii="宋体" w:hAnsi="宋体" w:cs="宋体"/>
          <w:kern w:val="24"/>
          <w:sz w:val="24"/>
          <w:szCs w:val="24"/>
        </w:rPr>
        <w:t>①有组织废气排放标准</w:t>
      </w:r>
    </w:p>
    <w:p w14:paraId="3FF41BC8">
      <w:pPr>
        <w:spacing w:line="360" w:lineRule="auto"/>
        <w:ind w:firstLine="480" w:firstLineChars="200"/>
        <w:rPr>
          <w:rFonts w:hint="eastAsia"/>
          <w:snapToGrid w:val="0"/>
          <w:kern w:val="0"/>
          <w:sz w:val="24"/>
          <w:szCs w:val="24"/>
        </w:rPr>
      </w:pPr>
      <w:r>
        <w:rPr>
          <w:rFonts w:hint="eastAsia" w:ascii="宋体" w:hAnsi="宋体" w:cs="宋体"/>
          <w:kern w:val="24"/>
          <w:sz w:val="24"/>
          <w:szCs w:val="24"/>
        </w:rPr>
        <w:t>本项目</w:t>
      </w:r>
      <w:r>
        <w:rPr>
          <w:rFonts w:hint="eastAsia" w:ascii="宋体" w:hAnsi="宋体" w:cs="宋体"/>
          <w:kern w:val="24"/>
          <w:sz w:val="24"/>
          <w:szCs w:val="24"/>
          <w:lang w:val="en-US" w:eastAsia="zh-CN"/>
        </w:rPr>
        <w:t>拉毛、定型、刷呢、剪毛、烫光、摇粒、蒸呢</w:t>
      </w:r>
      <w:r>
        <w:rPr>
          <w:rFonts w:hint="eastAsia" w:ascii="宋体" w:hAnsi="宋体" w:cs="宋体"/>
          <w:kern w:val="24"/>
          <w:sz w:val="24"/>
          <w:szCs w:val="24"/>
        </w:rPr>
        <w:t>排放的</w:t>
      </w:r>
      <w:r>
        <w:rPr>
          <w:rFonts w:hint="eastAsia" w:ascii="宋体" w:hAnsi="宋体" w:cs="宋体"/>
          <w:kern w:val="24"/>
          <w:sz w:val="24"/>
          <w:szCs w:val="24"/>
          <w:lang w:val="en-US" w:eastAsia="zh-CN"/>
        </w:rPr>
        <w:t>有组织颗粒物和</w:t>
      </w:r>
      <w:r>
        <w:rPr>
          <w:rFonts w:hint="eastAsia" w:ascii="宋体" w:hAnsi="宋体" w:cs="宋体"/>
          <w:kern w:val="24"/>
          <w:sz w:val="24"/>
          <w:szCs w:val="24"/>
        </w:rPr>
        <w:t>非甲烷总烃执行</w:t>
      </w:r>
      <w:r>
        <w:rPr>
          <w:rFonts w:hint="eastAsia"/>
          <w:kern w:val="24"/>
          <w:sz w:val="24"/>
          <w:szCs w:val="24"/>
        </w:rPr>
        <w:t>《大气污染物综合排放标准》（DB32/4041-2021）表1中排放限值，具体见表</w:t>
      </w:r>
      <w:r>
        <w:rPr>
          <w:rFonts w:hint="eastAsia"/>
          <w:kern w:val="24"/>
          <w:sz w:val="24"/>
          <w:szCs w:val="24"/>
          <w:lang w:val="en-US" w:eastAsia="zh-CN"/>
        </w:rPr>
        <w:t>1-3</w:t>
      </w:r>
      <w:r>
        <w:rPr>
          <w:rFonts w:hint="eastAsia" w:ascii="宋体" w:hAnsi="宋体" w:cs="宋体"/>
          <w:kern w:val="24"/>
          <w:sz w:val="24"/>
          <w:szCs w:val="24"/>
        </w:rPr>
        <w:t>。</w:t>
      </w:r>
    </w:p>
    <w:p w14:paraId="73B374BC">
      <w:pPr>
        <w:jc w:val="center"/>
        <w:rPr>
          <w:b/>
          <w:snapToGrid w:val="0"/>
          <w:kern w:val="0"/>
          <w:sz w:val="24"/>
          <w:szCs w:val="24"/>
        </w:rPr>
      </w:pPr>
      <w:r>
        <w:rPr>
          <w:b/>
          <w:snapToGrid w:val="0"/>
          <w:kern w:val="0"/>
          <w:sz w:val="24"/>
          <w:szCs w:val="24"/>
        </w:rPr>
        <w:t>表</w:t>
      </w:r>
      <w:r>
        <w:rPr>
          <w:rFonts w:hint="eastAsia"/>
          <w:b/>
          <w:snapToGrid w:val="0"/>
          <w:kern w:val="0"/>
          <w:sz w:val="24"/>
          <w:szCs w:val="24"/>
          <w:lang w:val="en-US" w:eastAsia="zh-CN"/>
        </w:rPr>
        <w:t>1-3</w:t>
      </w:r>
      <w:r>
        <w:rPr>
          <w:b/>
          <w:snapToGrid w:val="0"/>
          <w:kern w:val="0"/>
          <w:sz w:val="24"/>
          <w:szCs w:val="24"/>
        </w:rPr>
        <w:t xml:space="preserve">  </w:t>
      </w:r>
      <w:r>
        <w:rPr>
          <w:rFonts w:hint="eastAsia"/>
          <w:b/>
          <w:snapToGrid w:val="0"/>
          <w:kern w:val="0"/>
          <w:sz w:val="24"/>
          <w:szCs w:val="24"/>
        </w:rPr>
        <w:t>有组织</w:t>
      </w:r>
      <w:r>
        <w:rPr>
          <w:b/>
          <w:snapToGrid w:val="0"/>
          <w:kern w:val="0"/>
          <w:sz w:val="24"/>
          <w:szCs w:val="24"/>
        </w:rPr>
        <w:t>大气污染物排放标准</w:t>
      </w:r>
    </w:p>
    <w:tbl>
      <w:tblPr>
        <w:tblStyle w:val="3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955"/>
        <w:gridCol w:w="1088"/>
        <w:gridCol w:w="1592"/>
        <w:gridCol w:w="1220"/>
        <w:gridCol w:w="1220"/>
        <w:gridCol w:w="2222"/>
      </w:tblGrid>
      <w:tr w14:paraId="36B6976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575" w:type="pct"/>
            <w:noWrap w:val="0"/>
            <w:vAlign w:val="center"/>
          </w:tcPr>
          <w:p w14:paraId="52080C0E">
            <w:pPr>
              <w:snapToGrid w:val="0"/>
              <w:jc w:val="center"/>
              <w:rPr>
                <w:b/>
                <w:sz w:val="21"/>
                <w:szCs w:val="21"/>
              </w:rPr>
            </w:pPr>
            <w:r>
              <w:rPr>
                <w:rFonts w:hint="eastAsia"/>
                <w:b/>
                <w:sz w:val="21"/>
                <w:szCs w:val="21"/>
              </w:rPr>
              <w:t>排气筒编号</w:t>
            </w:r>
          </w:p>
        </w:tc>
        <w:tc>
          <w:tcPr>
            <w:tcW w:w="655" w:type="pct"/>
            <w:noWrap w:val="0"/>
            <w:vAlign w:val="center"/>
          </w:tcPr>
          <w:p w14:paraId="39829A3C">
            <w:pPr>
              <w:snapToGrid w:val="0"/>
              <w:jc w:val="center"/>
              <w:rPr>
                <w:rFonts w:hint="eastAsia"/>
                <w:b/>
                <w:sz w:val="21"/>
                <w:szCs w:val="21"/>
              </w:rPr>
            </w:pPr>
            <w:r>
              <w:rPr>
                <w:rFonts w:hint="eastAsia"/>
                <w:b/>
                <w:sz w:val="21"/>
                <w:szCs w:val="21"/>
              </w:rPr>
              <w:t>污染物</w:t>
            </w:r>
          </w:p>
        </w:tc>
        <w:tc>
          <w:tcPr>
            <w:tcW w:w="959" w:type="pct"/>
            <w:noWrap w:val="0"/>
            <w:vAlign w:val="center"/>
          </w:tcPr>
          <w:p w14:paraId="1A5921ED">
            <w:pPr>
              <w:snapToGrid w:val="0"/>
              <w:jc w:val="center"/>
              <w:rPr>
                <w:rFonts w:hint="eastAsia"/>
                <w:b/>
                <w:sz w:val="21"/>
                <w:szCs w:val="21"/>
              </w:rPr>
            </w:pPr>
            <w:r>
              <w:rPr>
                <w:rFonts w:hint="eastAsia"/>
                <w:b/>
                <w:sz w:val="21"/>
                <w:szCs w:val="21"/>
              </w:rPr>
              <w:t>监控点</w:t>
            </w:r>
          </w:p>
        </w:tc>
        <w:tc>
          <w:tcPr>
            <w:tcW w:w="735" w:type="pct"/>
            <w:noWrap w:val="0"/>
            <w:vAlign w:val="center"/>
          </w:tcPr>
          <w:p w14:paraId="1CA15C45">
            <w:pPr>
              <w:snapToGrid w:val="0"/>
              <w:jc w:val="center"/>
              <w:rPr>
                <w:rFonts w:hint="eastAsia"/>
                <w:b/>
                <w:sz w:val="21"/>
                <w:szCs w:val="21"/>
              </w:rPr>
            </w:pPr>
            <w:bookmarkStart w:id="27" w:name="_Hlk74297920"/>
            <w:r>
              <w:rPr>
                <w:rFonts w:hint="eastAsia"/>
                <w:b/>
                <w:sz w:val="21"/>
                <w:szCs w:val="21"/>
              </w:rPr>
              <w:t>最高允许排放浓度mg/m</w:t>
            </w:r>
            <w:bookmarkEnd w:id="27"/>
            <w:r>
              <w:rPr>
                <w:rFonts w:hint="eastAsia"/>
                <w:b/>
                <w:sz w:val="21"/>
                <w:szCs w:val="21"/>
                <w:vertAlign w:val="superscript"/>
              </w:rPr>
              <w:t>3</w:t>
            </w:r>
          </w:p>
        </w:tc>
        <w:tc>
          <w:tcPr>
            <w:tcW w:w="735" w:type="pct"/>
            <w:noWrap w:val="0"/>
            <w:vAlign w:val="center"/>
          </w:tcPr>
          <w:p w14:paraId="76E8C55A">
            <w:pPr>
              <w:snapToGrid w:val="0"/>
              <w:jc w:val="center"/>
              <w:rPr>
                <w:rFonts w:hint="eastAsia"/>
                <w:b/>
                <w:sz w:val="21"/>
                <w:szCs w:val="21"/>
              </w:rPr>
            </w:pPr>
            <w:r>
              <w:rPr>
                <w:rFonts w:hint="eastAsia"/>
                <w:b/>
                <w:sz w:val="21"/>
                <w:szCs w:val="21"/>
              </w:rPr>
              <w:t>最高允许排放速率kg/h</w:t>
            </w:r>
          </w:p>
        </w:tc>
        <w:tc>
          <w:tcPr>
            <w:tcW w:w="1338" w:type="pct"/>
            <w:noWrap w:val="0"/>
            <w:vAlign w:val="center"/>
          </w:tcPr>
          <w:p w14:paraId="5CB48124">
            <w:pPr>
              <w:snapToGrid w:val="0"/>
              <w:jc w:val="center"/>
              <w:rPr>
                <w:rFonts w:hint="eastAsia"/>
                <w:b/>
                <w:sz w:val="21"/>
                <w:szCs w:val="21"/>
              </w:rPr>
            </w:pPr>
            <w:r>
              <w:rPr>
                <w:rFonts w:hint="eastAsia"/>
                <w:b/>
                <w:sz w:val="21"/>
                <w:szCs w:val="21"/>
              </w:rPr>
              <w:t>标准来源</w:t>
            </w:r>
          </w:p>
        </w:tc>
      </w:tr>
      <w:tr w14:paraId="1BF97D9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575" w:type="pct"/>
            <w:vMerge w:val="restart"/>
            <w:noWrap w:val="0"/>
            <w:vAlign w:val="center"/>
          </w:tcPr>
          <w:p w14:paraId="61D93B38">
            <w:pPr>
              <w:snapToGrid w:val="0"/>
              <w:jc w:val="center"/>
              <w:rPr>
                <w:rFonts w:hint="default" w:eastAsia="宋体"/>
                <w:bCs/>
                <w:sz w:val="21"/>
                <w:szCs w:val="21"/>
                <w:lang w:val="en-US" w:eastAsia="zh-CN"/>
              </w:rPr>
            </w:pPr>
            <w:r>
              <w:rPr>
                <w:rFonts w:hint="eastAsia"/>
                <w:bCs/>
                <w:sz w:val="21"/>
                <w:szCs w:val="21"/>
                <w:lang w:val="en-US" w:eastAsia="zh-CN"/>
              </w:rPr>
              <w:t>DA001</w:t>
            </w:r>
          </w:p>
        </w:tc>
        <w:tc>
          <w:tcPr>
            <w:tcW w:w="655" w:type="pct"/>
            <w:noWrap w:val="0"/>
            <w:vAlign w:val="center"/>
          </w:tcPr>
          <w:p w14:paraId="337614DE">
            <w:pPr>
              <w:snapToGrid w:val="0"/>
              <w:jc w:val="center"/>
              <w:rPr>
                <w:rFonts w:hint="eastAsia"/>
                <w:bCs/>
                <w:sz w:val="21"/>
                <w:szCs w:val="21"/>
              </w:rPr>
            </w:pPr>
            <w:r>
              <w:rPr>
                <w:rFonts w:hint="eastAsia"/>
                <w:bCs/>
                <w:sz w:val="21"/>
                <w:szCs w:val="21"/>
              </w:rPr>
              <w:t>颗粒物</w:t>
            </w:r>
          </w:p>
        </w:tc>
        <w:tc>
          <w:tcPr>
            <w:tcW w:w="959" w:type="pct"/>
            <w:noWrap w:val="0"/>
            <w:vAlign w:val="center"/>
          </w:tcPr>
          <w:p w14:paraId="7235356A">
            <w:pPr>
              <w:snapToGrid w:val="0"/>
              <w:jc w:val="center"/>
              <w:rPr>
                <w:rFonts w:hint="eastAsia"/>
                <w:bCs/>
                <w:sz w:val="21"/>
                <w:szCs w:val="21"/>
              </w:rPr>
            </w:pPr>
            <w:r>
              <w:rPr>
                <w:rFonts w:hint="eastAsia"/>
                <w:bCs/>
                <w:sz w:val="21"/>
                <w:szCs w:val="21"/>
              </w:rPr>
              <w:t>车间或生产设施排气筒</w:t>
            </w:r>
          </w:p>
        </w:tc>
        <w:tc>
          <w:tcPr>
            <w:tcW w:w="735" w:type="pct"/>
            <w:noWrap w:val="0"/>
            <w:vAlign w:val="center"/>
          </w:tcPr>
          <w:p w14:paraId="2C2F95A5">
            <w:pPr>
              <w:snapToGrid w:val="0"/>
              <w:jc w:val="center"/>
              <w:rPr>
                <w:rFonts w:hint="default" w:eastAsia="宋体"/>
                <w:bCs/>
                <w:sz w:val="21"/>
                <w:szCs w:val="21"/>
                <w:lang w:val="en-US" w:eastAsia="zh-CN"/>
              </w:rPr>
            </w:pPr>
            <w:r>
              <w:rPr>
                <w:rFonts w:hint="eastAsia"/>
                <w:bCs/>
                <w:sz w:val="21"/>
                <w:szCs w:val="21"/>
                <w:lang w:val="en-US" w:eastAsia="zh-CN"/>
              </w:rPr>
              <w:t>20</w:t>
            </w:r>
          </w:p>
        </w:tc>
        <w:tc>
          <w:tcPr>
            <w:tcW w:w="735" w:type="pct"/>
            <w:noWrap w:val="0"/>
            <w:vAlign w:val="center"/>
          </w:tcPr>
          <w:p w14:paraId="457A7E61">
            <w:pPr>
              <w:snapToGrid w:val="0"/>
              <w:jc w:val="center"/>
              <w:rPr>
                <w:rFonts w:hint="eastAsia" w:eastAsia="宋体"/>
                <w:bCs/>
                <w:sz w:val="21"/>
                <w:szCs w:val="21"/>
                <w:lang w:eastAsia="zh-CN"/>
              </w:rPr>
            </w:pPr>
            <w:r>
              <w:rPr>
                <w:rFonts w:hint="eastAsia"/>
                <w:bCs/>
                <w:sz w:val="21"/>
                <w:szCs w:val="21"/>
                <w:lang w:val="en-US" w:eastAsia="zh-CN"/>
              </w:rPr>
              <w:t>1</w:t>
            </w:r>
          </w:p>
        </w:tc>
        <w:tc>
          <w:tcPr>
            <w:tcW w:w="1338" w:type="pct"/>
            <w:vMerge w:val="restart"/>
            <w:noWrap w:val="0"/>
            <w:vAlign w:val="center"/>
          </w:tcPr>
          <w:p w14:paraId="73AEC96F">
            <w:pPr>
              <w:snapToGrid w:val="0"/>
              <w:jc w:val="center"/>
              <w:rPr>
                <w:rStyle w:val="48"/>
                <w:rFonts w:hint="eastAsia"/>
                <w:kern w:val="0"/>
                <w:sz w:val="21"/>
                <w:szCs w:val="21"/>
              </w:rPr>
            </w:pPr>
            <w:r>
              <w:rPr>
                <w:rFonts w:hint="eastAsia"/>
                <w:bCs/>
                <w:sz w:val="21"/>
                <w:szCs w:val="21"/>
              </w:rPr>
              <w:t>《大气污染物综合排放标准》（DB32/4041-2021）</w:t>
            </w:r>
          </w:p>
        </w:tc>
      </w:tr>
      <w:tr w14:paraId="6C814B0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575" w:type="pct"/>
            <w:vMerge w:val="continue"/>
            <w:noWrap w:val="0"/>
            <w:vAlign w:val="center"/>
          </w:tcPr>
          <w:p w14:paraId="1A6E205A">
            <w:pPr>
              <w:snapToGrid w:val="0"/>
              <w:jc w:val="center"/>
              <w:rPr>
                <w:rFonts w:hint="eastAsia"/>
                <w:bCs/>
                <w:sz w:val="21"/>
                <w:szCs w:val="21"/>
              </w:rPr>
            </w:pPr>
          </w:p>
        </w:tc>
        <w:tc>
          <w:tcPr>
            <w:tcW w:w="655" w:type="pct"/>
            <w:noWrap w:val="0"/>
            <w:vAlign w:val="center"/>
          </w:tcPr>
          <w:p w14:paraId="0A830FC8">
            <w:pPr>
              <w:snapToGrid w:val="0"/>
              <w:jc w:val="center"/>
              <w:rPr>
                <w:rFonts w:hint="eastAsia"/>
                <w:bCs/>
                <w:sz w:val="21"/>
                <w:szCs w:val="21"/>
              </w:rPr>
            </w:pPr>
            <w:r>
              <w:rPr>
                <w:rFonts w:hint="eastAsia"/>
                <w:bCs/>
                <w:sz w:val="21"/>
                <w:szCs w:val="21"/>
              </w:rPr>
              <w:t>非甲烷总烃</w:t>
            </w:r>
          </w:p>
        </w:tc>
        <w:tc>
          <w:tcPr>
            <w:tcW w:w="959" w:type="pct"/>
            <w:noWrap w:val="0"/>
            <w:vAlign w:val="center"/>
          </w:tcPr>
          <w:p w14:paraId="7A3C0CAD">
            <w:pPr>
              <w:snapToGrid w:val="0"/>
              <w:jc w:val="center"/>
              <w:rPr>
                <w:rFonts w:hint="eastAsia"/>
                <w:bCs/>
                <w:sz w:val="21"/>
                <w:szCs w:val="21"/>
              </w:rPr>
            </w:pPr>
            <w:r>
              <w:rPr>
                <w:rFonts w:hint="eastAsia"/>
                <w:bCs/>
                <w:sz w:val="21"/>
                <w:szCs w:val="21"/>
              </w:rPr>
              <w:t>车间排气筒出口或生产设施排气筒出口</w:t>
            </w:r>
          </w:p>
        </w:tc>
        <w:tc>
          <w:tcPr>
            <w:tcW w:w="735" w:type="pct"/>
            <w:noWrap w:val="0"/>
            <w:vAlign w:val="center"/>
          </w:tcPr>
          <w:p w14:paraId="42CB1036">
            <w:pPr>
              <w:snapToGrid w:val="0"/>
              <w:jc w:val="center"/>
              <w:rPr>
                <w:rFonts w:hint="eastAsia"/>
                <w:bCs/>
                <w:sz w:val="21"/>
                <w:szCs w:val="21"/>
              </w:rPr>
            </w:pPr>
            <w:r>
              <w:rPr>
                <w:rFonts w:hint="eastAsia"/>
                <w:bCs/>
                <w:sz w:val="21"/>
                <w:szCs w:val="21"/>
              </w:rPr>
              <w:t>60</w:t>
            </w:r>
          </w:p>
        </w:tc>
        <w:tc>
          <w:tcPr>
            <w:tcW w:w="735" w:type="pct"/>
            <w:noWrap w:val="0"/>
            <w:vAlign w:val="center"/>
          </w:tcPr>
          <w:p w14:paraId="351CA829">
            <w:pPr>
              <w:snapToGrid w:val="0"/>
              <w:jc w:val="center"/>
              <w:rPr>
                <w:rFonts w:hint="eastAsia"/>
                <w:bCs/>
                <w:sz w:val="21"/>
                <w:szCs w:val="21"/>
              </w:rPr>
            </w:pPr>
            <w:r>
              <w:rPr>
                <w:rFonts w:hint="eastAsia"/>
                <w:bCs/>
                <w:sz w:val="21"/>
                <w:szCs w:val="21"/>
              </w:rPr>
              <w:t>3</w:t>
            </w:r>
          </w:p>
        </w:tc>
        <w:tc>
          <w:tcPr>
            <w:tcW w:w="1338" w:type="pct"/>
            <w:vMerge w:val="continue"/>
            <w:noWrap w:val="0"/>
            <w:vAlign w:val="center"/>
          </w:tcPr>
          <w:p w14:paraId="3A597BA0">
            <w:pPr>
              <w:snapToGrid w:val="0"/>
              <w:jc w:val="center"/>
              <w:rPr>
                <w:rStyle w:val="48"/>
                <w:rFonts w:hint="eastAsia"/>
                <w:kern w:val="0"/>
                <w:sz w:val="21"/>
                <w:szCs w:val="21"/>
              </w:rPr>
            </w:pPr>
          </w:p>
        </w:tc>
      </w:tr>
    </w:tbl>
    <w:p w14:paraId="1358BF87">
      <w:pPr>
        <w:spacing w:line="360" w:lineRule="auto"/>
        <w:ind w:firstLine="480" w:firstLineChars="200"/>
        <w:rPr>
          <w:rFonts w:hint="eastAsia" w:ascii="Times New Roman Regular" w:hAnsi="Times New Roman Regular" w:cs="Times New Roman Regular"/>
          <w:color w:val="auto"/>
          <w:sz w:val="24"/>
          <w:szCs w:val="24"/>
        </w:rPr>
      </w:pPr>
      <w:r>
        <w:rPr>
          <w:rFonts w:hint="eastAsia" w:ascii="宋体" w:hAnsi="宋体" w:cs="宋体"/>
          <w:kern w:val="24"/>
          <w:sz w:val="24"/>
          <w:szCs w:val="24"/>
        </w:rPr>
        <w:t>生物质锅炉排放的颗粒物、二氧化硫、氮氧化物</w:t>
      </w:r>
      <w:r>
        <w:rPr>
          <w:rFonts w:hint="eastAsia" w:ascii="宋体" w:hAnsi="宋体" w:cs="宋体"/>
          <w:kern w:val="24"/>
          <w:sz w:val="24"/>
          <w:szCs w:val="24"/>
          <w:lang w:eastAsia="zh-CN"/>
        </w:rPr>
        <w:t>、</w:t>
      </w:r>
      <w:r>
        <w:rPr>
          <w:rFonts w:hint="eastAsia" w:ascii="宋体" w:hAnsi="宋体" w:cs="宋体"/>
          <w:kern w:val="24"/>
          <w:sz w:val="24"/>
          <w:szCs w:val="24"/>
          <w:lang w:val="en-US" w:eastAsia="zh-CN"/>
        </w:rPr>
        <w:t>汞及其化合物</w:t>
      </w:r>
      <w:r>
        <w:rPr>
          <w:rFonts w:hint="eastAsia" w:ascii="宋体" w:hAnsi="宋体" w:cs="宋体"/>
          <w:kern w:val="24"/>
          <w:sz w:val="24"/>
          <w:szCs w:val="24"/>
        </w:rPr>
        <w:t>执行</w:t>
      </w:r>
      <w:r>
        <w:rPr>
          <w:kern w:val="24"/>
          <w:sz w:val="24"/>
          <w:szCs w:val="24"/>
        </w:rPr>
        <w:t>《</w:t>
      </w:r>
      <w:r>
        <w:rPr>
          <w:rFonts w:hint="eastAsia"/>
          <w:kern w:val="24"/>
          <w:sz w:val="24"/>
          <w:szCs w:val="24"/>
        </w:rPr>
        <w:t>锅炉</w:t>
      </w:r>
      <w:r>
        <w:rPr>
          <w:kern w:val="24"/>
          <w:sz w:val="24"/>
          <w:szCs w:val="24"/>
        </w:rPr>
        <w:t>大气污染物排放标准》（DB3</w:t>
      </w:r>
      <w:r>
        <w:rPr>
          <w:rFonts w:hint="eastAsia"/>
          <w:kern w:val="24"/>
          <w:sz w:val="24"/>
          <w:szCs w:val="24"/>
        </w:rPr>
        <w:t>2/4385-2022</w:t>
      </w:r>
      <w:r>
        <w:rPr>
          <w:kern w:val="24"/>
          <w:sz w:val="24"/>
          <w:szCs w:val="24"/>
        </w:rPr>
        <w:t>）</w:t>
      </w:r>
      <w:r>
        <w:rPr>
          <w:rFonts w:hint="eastAsia"/>
          <w:kern w:val="24"/>
          <w:sz w:val="24"/>
          <w:szCs w:val="24"/>
        </w:rPr>
        <w:t>表1中城市建成区燃生物质锅炉排放浓度限值，具体见表</w:t>
      </w:r>
      <w:r>
        <w:rPr>
          <w:rFonts w:hint="eastAsia"/>
          <w:kern w:val="24"/>
          <w:sz w:val="24"/>
          <w:szCs w:val="24"/>
          <w:lang w:val="en-US" w:eastAsia="zh-CN"/>
        </w:rPr>
        <w:t>1-4</w:t>
      </w:r>
      <w:r>
        <w:rPr>
          <w:rFonts w:hint="eastAsia"/>
          <w:kern w:val="24"/>
          <w:sz w:val="24"/>
          <w:szCs w:val="24"/>
        </w:rPr>
        <w:t>。</w:t>
      </w:r>
    </w:p>
    <w:p w14:paraId="37DBAC33">
      <w:pPr>
        <w:jc w:val="center"/>
        <w:rPr>
          <w:b/>
          <w:snapToGrid w:val="0"/>
          <w:kern w:val="0"/>
          <w:sz w:val="24"/>
          <w:szCs w:val="24"/>
        </w:rPr>
      </w:pPr>
      <w:r>
        <w:rPr>
          <w:rFonts w:hint="eastAsia"/>
          <w:b/>
          <w:snapToGrid w:val="0"/>
          <w:kern w:val="0"/>
          <w:sz w:val="24"/>
          <w:szCs w:val="24"/>
        </w:rPr>
        <w:t>表</w:t>
      </w:r>
      <w:r>
        <w:rPr>
          <w:rFonts w:hint="eastAsia"/>
          <w:b/>
          <w:snapToGrid w:val="0"/>
          <w:kern w:val="0"/>
          <w:sz w:val="24"/>
          <w:szCs w:val="24"/>
          <w:lang w:val="en-US" w:eastAsia="zh-CN"/>
        </w:rPr>
        <w:t>1-4</w:t>
      </w:r>
      <w:r>
        <w:rPr>
          <w:rFonts w:hint="eastAsia"/>
          <w:b/>
          <w:snapToGrid w:val="0"/>
          <w:kern w:val="0"/>
          <w:sz w:val="24"/>
          <w:szCs w:val="24"/>
        </w:rPr>
        <w:t xml:space="preserve">  燃生物质锅炉废气污染物排放标准</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638"/>
        <w:gridCol w:w="1453"/>
        <w:gridCol w:w="1003"/>
        <w:gridCol w:w="3239"/>
      </w:tblGrid>
      <w:tr w14:paraId="440DA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FE015CE">
            <w:pPr>
              <w:adjustRightInd w:val="0"/>
              <w:snapToGrid w:val="0"/>
              <w:jc w:val="center"/>
              <w:rPr>
                <w:b/>
                <w:bCs/>
                <w:sz w:val="21"/>
                <w:szCs w:val="21"/>
              </w:rPr>
            </w:pPr>
            <w:r>
              <w:rPr>
                <w:rFonts w:hint="eastAsia"/>
                <w:b/>
                <w:bCs/>
                <w:sz w:val="21"/>
                <w:szCs w:val="21"/>
              </w:rPr>
              <w:t>污染物</w:t>
            </w:r>
          </w:p>
        </w:tc>
        <w:tc>
          <w:tcPr>
            <w:tcW w:w="0" w:type="auto"/>
            <w:noWrap w:val="0"/>
            <w:vAlign w:val="center"/>
          </w:tcPr>
          <w:p w14:paraId="65B2F8FC">
            <w:pPr>
              <w:adjustRightInd w:val="0"/>
              <w:snapToGrid w:val="0"/>
              <w:jc w:val="center"/>
              <w:rPr>
                <w:b/>
                <w:bCs/>
                <w:sz w:val="21"/>
                <w:szCs w:val="21"/>
              </w:rPr>
            </w:pPr>
            <w:r>
              <w:rPr>
                <w:rFonts w:hint="eastAsia"/>
                <w:b/>
                <w:bCs/>
                <w:sz w:val="21"/>
                <w:szCs w:val="21"/>
              </w:rPr>
              <w:t>最高允许排放浓度(mg/m</w:t>
            </w:r>
            <w:r>
              <w:rPr>
                <w:rFonts w:hint="eastAsia"/>
                <w:b/>
                <w:bCs/>
                <w:sz w:val="21"/>
                <w:szCs w:val="21"/>
                <w:vertAlign w:val="superscript"/>
              </w:rPr>
              <w:t>3</w:t>
            </w:r>
            <w:r>
              <w:rPr>
                <w:rFonts w:hint="eastAsia"/>
                <w:b/>
                <w:bCs/>
                <w:sz w:val="21"/>
                <w:szCs w:val="21"/>
              </w:rPr>
              <w:t>)</w:t>
            </w:r>
          </w:p>
        </w:tc>
        <w:tc>
          <w:tcPr>
            <w:tcW w:w="0" w:type="auto"/>
            <w:noWrap w:val="0"/>
            <w:vAlign w:val="center"/>
          </w:tcPr>
          <w:p w14:paraId="10E1FAA2">
            <w:pPr>
              <w:adjustRightInd w:val="0"/>
              <w:snapToGrid w:val="0"/>
              <w:jc w:val="center"/>
              <w:rPr>
                <w:b/>
                <w:bCs/>
                <w:sz w:val="21"/>
                <w:szCs w:val="21"/>
              </w:rPr>
            </w:pPr>
            <w:r>
              <w:rPr>
                <w:rFonts w:hint="eastAsia"/>
                <w:b/>
                <w:bCs/>
                <w:sz w:val="21"/>
                <w:szCs w:val="21"/>
              </w:rPr>
              <w:t>最高允许排放速率(kg/h)</w:t>
            </w:r>
          </w:p>
        </w:tc>
        <w:tc>
          <w:tcPr>
            <w:tcW w:w="0" w:type="auto"/>
            <w:noWrap w:val="0"/>
            <w:vAlign w:val="center"/>
          </w:tcPr>
          <w:p w14:paraId="3A00B70C">
            <w:pPr>
              <w:adjustRightInd w:val="0"/>
              <w:snapToGrid w:val="0"/>
              <w:jc w:val="center"/>
              <w:rPr>
                <w:b/>
                <w:bCs/>
                <w:sz w:val="21"/>
                <w:szCs w:val="21"/>
              </w:rPr>
            </w:pPr>
            <w:r>
              <w:rPr>
                <w:rFonts w:hint="eastAsia"/>
                <w:b/>
                <w:bCs/>
                <w:sz w:val="21"/>
                <w:szCs w:val="21"/>
              </w:rPr>
              <w:t>排气筒高度(m)</w:t>
            </w:r>
          </w:p>
        </w:tc>
        <w:tc>
          <w:tcPr>
            <w:tcW w:w="0" w:type="auto"/>
            <w:noWrap w:val="0"/>
            <w:vAlign w:val="center"/>
          </w:tcPr>
          <w:p w14:paraId="573CCCF0">
            <w:pPr>
              <w:adjustRightInd w:val="0"/>
              <w:snapToGrid w:val="0"/>
              <w:jc w:val="center"/>
              <w:rPr>
                <w:b/>
                <w:bCs/>
                <w:sz w:val="21"/>
                <w:szCs w:val="21"/>
              </w:rPr>
            </w:pPr>
            <w:r>
              <w:rPr>
                <w:rFonts w:hint="eastAsia"/>
                <w:b/>
                <w:bCs/>
                <w:sz w:val="21"/>
                <w:szCs w:val="21"/>
              </w:rPr>
              <w:t>标准来源</w:t>
            </w:r>
          </w:p>
        </w:tc>
      </w:tr>
      <w:tr w14:paraId="42846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74329B57">
            <w:pPr>
              <w:adjustRightInd w:val="0"/>
              <w:snapToGrid w:val="0"/>
              <w:jc w:val="center"/>
              <w:rPr>
                <w:sz w:val="21"/>
                <w:szCs w:val="21"/>
              </w:rPr>
            </w:pPr>
            <w:r>
              <w:rPr>
                <w:rFonts w:hint="eastAsia"/>
                <w:sz w:val="21"/>
                <w:szCs w:val="21"/>
              </w:rPr>
              <w:t>颗粒物</w:t>
            </w:r>
          </w:p>
        </w:tc>
        <w:tc>
          <w:tcPr>
            <w:tcW w:w="0" w:type="auto"/>
            <w:noWrap w:val="0"/>
            <w:vAlign w:val="center"/>
          </w:tcPr>
          <w:p w14:paraId="776AFF5A">
            <w:pPr>
              <w:adjustRightInd w:val="0"/>
              <w:snapToGrid w:val="0"/>
              <w:jc w:val="center"/>
              <w:rPr>
                <w:sz w:val="21"/>
                <w:szCs w:val="21"/>
              </w:rPr>
            </w:pPr>
            <w:r>
              <w:rPr>
                <w:rFonts w:hint="eastAsia"/>
                <w:sz w:val="21"/>
                <w:szCs w:val="21"/>
              </w:rPr>
              <w:t>1</w:t>
            </w:r>
            <w:r>
              <w:rPr>
                <w:sz w:val="21"/>
                <w:szCs w:val="21"/>
              </w:rPr>
              <w:t>0</w:t>
            </w:r>
          </w:p>
        </w:tc>
        <w:tc>
          <w:tcPr>
            <w:tcW w:w="0" w:type="auto"/>
            <w:noWrap w:val="0"/>
            <w:vAlign w:val="center"/>
          </w:tcPr>
          <w:p w14:paraId="723FF64F">
            <w:pPr>
              <w:adjustRightInd w:val="0"/>
              <w:snapToGrid w:val="0"/>
              <w:jc w:val="center"/>
              <w:rPr>
                <w:sz w:val="21"/>
                <w:szCs w:val="21"/>
              </w:rPr>
            </w:pPr>
            <w:r>
              <w:rPr>
                <w:rFonts w:hint="eastAsia"/>
                <w:sz w:val="21"/>
                <w:szCs w:val="21"/>
              </w:rPr>
              <w:t>/</w:t>
            </w:r>
          </w:p>
        </w:tc>
        <w:tc>
          <w:tcPr>
            <w:tcW w:w="0" w:type="auto"/>
            <w:vMerge w:val="restart"/>
            <w:noWrap w:val="0"/>
            <w:vAlign w:val="center"/>
          </w:tcPr>
          <w:p w14:paraId="3F222738">
            <w:pPr>
              <w:adjustRightInd w:val="0"/>
              <w:snapToGrid w:val="0"/>
              <w:jc w:val="center"/>
              <w:rPr>
                <w:sz w:val="21"/>
                <w:szCs w:val="21"/>
              </w:rPr>
            </w:pPr>
            <w:r>
              <w:rPr>
                <w:rFonts w:hint="eastAsia"/>
                <w:sz w:val="21"/>
                <w:szCs w:val="21"/>
                <w:lang w:val="en-US" w:eastAsia="zh-CN"/>
              </w:rPr>
              <w:t>35</w:t>
            </w:r>
            <w:r>
              <w:rPr>
                <w:rFonts w:hint="eastAsia"/>
                <w:sz w:val="21"/>
                <w:szCs w:val="21"/>
              </w:rPr>
              <w:t>m</w:t>
            </w:r>
          </w:p>
        </w:tc>
        <w:tc>
          <w:tcPr>
            <w:tcW w:w="0" w:type="auto"/>
            <w:vMerge w:val="restart"/>
            <w:noWrap w:val="0"/>
            <w:vAlign w:val="center"/>
          </w:tcPr>
          <w:p w14:paraId="0DBE6038">
            <w:pPr>
              <w:adjustRightInd w:val="0"/>
              <w:snapToGrid w:val="0"/>
              <w:jc w:val="center"/>
              <w:rPr>
                <w:sz w:val="21"/>
                <w:szCs w:val="21"/>
              </w:rPr>
            </w:pPr>
            <w:r>
              <w:rPr>
                <w:rFonts w:hint="eastAsia"/>
                <w:sz w:val="21"/>
                <w:szCs w:val="21"/>
              </w:rPr>
              <w:t>《锅炉大气污染物排放标准》（DB32/4385-2022）</w:t>
            </w:r>
          </w:p>
        </w:tc>
      </w:tr>
      <w:tr w14:paraId="6214C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2BDCFCB8">
            <w:pPr>
              <w:adjustRightInd w:val="0"/>
              <w:snapToGrid w:val="0"/>
              <w:jc w:val="center"/>
              <w:rPr>
                <w:sz w:val="21"/>
                <w:szCs w:val="21"/>
              </w:rPr>
            </w:pPr>
            <w:r>
              <w:rPr>
                <w:rFonts w:hint="eastAsia"/>
                <w:sz w:val="21"/>
                <w:szCs w:val="21"/>
              </w:rPr>
              <w:t>SO</w:t>
            </w:r>
            <w:r>
              <w:rPr>
                <w:rFonts w:hint="eastAsia"/>
                <w:sz w:val="21"/>
                <w:szCs w:val="21"/>
                <w:vertAlign w:val="subscript"/>
              </w:rPr>
              <w:t>2</w:t>
            </w:r>
          </w:p>
        </w:tc>
        <w:tc>
          <w:tcPr>
            <w:tcW w:w="0" w:type="auto"/>
            <w:noWrap w:val="0"/>
            <w:vAlign w:val="center"/>
          </w:tcPr>
          <w:p w14:paraId="7F504E65">
            <w:pPr>
              <w:adjustRightInd w:val="0"/>
              <w:snapToGrid w:val="0"/>
              <w:jc w:val="center"/>
              <w:rPr>
                <w:sz w:val="21"/>
                <w:szCs w:val="21"/>
              </w:rPr>
            </w:pPr>
            <w:r>
              <w:rPr>
                <w:rFonts w:hint="eastAsia"/>
                <w:sz w:val="21"/>
                <w:szCs w:val="21"/>
              </w:rPr>
              <w:t>3</w:t>
            </w:r>
            <w:r>
              <w:rPr>
                <w:sz w:val="21"/>
                <w:szCs w:val="21"/>
              </w:rPr>
              <w:t>5</w:t>
            </w:r>
          </w:p>
        </w:tc>
        <w:tc>
          <w:tcPr>
            <w:tcW w:w="0" w:type="auto"/>
            <w:noWrap w:val="0"/>
            <w:vAlign w:val="center"/>
          </w:tcPr>
          <w:p w14:paraId="1F2B5F72">
            <w:pPr>
              <w:adjustRightInd w:val="0"/>
              <w:snapToGrid w:val="0"/>
              <w:jc w:val="center"/>
              <w:rPr>
                <w:sz w:val="21"/>
                <w:szCs w:val="21"/>
              </w:rPr>
            </w:pPr>
            <w:r>
              <w:rPr>
                <w:rFonts w:hint="eastAsia"/>
                <w:sz w:val="21"/>
                <w:szCs w:val="21"/>
              </w:rPr>
              <w:t>/</w:t>
            </w:r>
          </w:p>
        </w:tc>
        <w:tc>
          <w:tcPr>
            <w:tcW w:w="0" w:type="auto"/>
            <w:vMerge w:val="continue"/>
            <w:noWrap w:val="0"/>
            <w:vAlign w:val="center"/>
          </w:tcPr>
          <w:p w14:paraId="246A9992">
            <w:pPr>
              <w:adjustRightInd w:val="0"/>
              <w:snapToGrid w:val="0"/>
              <w:jc w:val="center"/>
              <w:rPr>
                <w:sz w:val="21"/>
                <w:szCs w:val="21"/>
              </w:rPr>
            </w:pPr>
          </w:p>
        </w:tc>
        <w:tc>
          <w:tcPr>
            <w:tcW w:w="0" w:type="auto"/>
            <w:vMerge w:val="continue"/>
            <w:noWrap w:val="0"/>
            <w:vAlign w:val="center"/>
          </w:tcPr>
          <w:p w14:paraId="35F9DF8F">
            <w:pPr>
              <w:adjustRightInd w:val="0"/>
              <w:snapToGrid w:val="0"/>
              <w:jc w:val="center"/>
              <w:rPr>
                <w:sz w:val="21"/>
                <w:szCs w:val="21"/>
              </w:rPr>
            </w:pPr>
          </w:p>
        </w:tc>
      </w:tr>
      <w:tr w14:paraId="3A7AF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D7080F1">
            <w:pPr>
              <w:adjustRightInd w:val="0"/>
              <w:snapToGrid w:val="0"/>
              <w:jc w:val="center"/>
              <w:rPr>
                <w:sz w:val="21"/>
                <w:szCs w:val="21"/>
              </w:rPr>
            </w:pPr>
            <w:r>
              <w:rPr>
                <w:rFonts w:hint="eastAsia"/>
                <w:sz w:val="21"/>
                <w:szCs w:val="21"/>
              </w:rPr>
              <w:t>NO</w:t>
            </w:r>
            <w:r>
              <w:rPr>
                <w:rFonts w:hint="eastAsia"/>
                <w:sz w:val="21"/>
                <w:szCs w:val="21"/>
                <w:vertAlign w:val="subscript"/>
              </w:rPr>
              <w:t>X</w:t>
            </w:r>
          </w:p>
        </w:tc>
        <w:tc>
          <w:tcPr>
            <w:tcW w:w="0" w:type="auto"/>
            <w:noWrap w:val="0"/>
            <w:vAlign w:val="center"/>
          </w:tcPr>
          <w:p w14:paraId="010DA13A">
            <w:pPr>
              <w:adjustRightInd w:val="0"/>
              <w:snapToGrid w:val="0"/>
              <w:jc w:val="center"/>
              <w:rPr>
                <w:sz w:val="21"/>
                <w:szCs w:val="21"/>
              </w:rPr>
            </w:pPr>
            <w:r>
              <w:rPr>
                <w:rFonts w:hint="eastAsia"/>
                <w:sz w:val="21"/>
                <w:szCs w:val="21"/>
              </w:rPr>
              <w:t>5</w:t>
            </w:r>
            <w:r>
              <w:rPr>
                <w:sz w:val="21"/>
                <w:szCs w:val="21"/>
              </w:rPr>
              <w:t>0</w:t>
            </w:r>
          </w:p>
        </w:tc>
        <w:tc>
          <w:tcPr>
            <w:tcW w:w="0" w:type="auto"/>
            <w:noWrap w:val="0"/>
            <w:vAlign w:val="center"/>
          </w:tcPr>
          <w:p w14:paraId="2D614257">
            <w:pPr>
              <w:adjustRightInd w:val="0"/>
              <w:snapToGrid w:val="0"/>
              <w:jc w:val="center"/>
              <w:rPr>
                <w:sz w:val="21"/>
                <w:szCs w:val="21"/>
              </w:rPr>
            </w:pPr>
            <w:r>
              <w:rPr>
                <w:rFonts w:hint="eastAsia"/>
                <w:sz w:val="21"/>
                <w:szCs w:val="21"/>
              </w:rPr>
              <w:t>/</w:t>
            </w:r>
          </w:p>
        </w:tc>
        <w:tc>
          <w:tcPr>
            <w:tcW w:w="0" w:type="auto"/>
            <w:vMerge w:val="continue"/>
            <w:noWrap w:val="0"/>
            <w:vAlign w:val="center"/>
          </w:tcPr>
          <w:p w14:paraId="55F314C1">
            <w:pPr>
              <w:adjustRightInd w:val="0"/>
              <w:snapToGrid w:val="0"/>
              <w:jc w:val="center"/>
              <w:rPr>
                <w:sz w:val="21"/>
                <w:szCs w:val="21"/>
              </w:rPr>
            </w:pPr>
          </w:p>
        </w:tc>
        <w:tc>
          <w:tcPr>
            <w:tcW w:w="0" w:type="auto"/>
            <w:vMerge w:val="continue"/>
            <w:noWrap w:val="0"/>
            <w:vAlign w:val="center"/>
          </w:tcPr>
          <w:p w14:paraId="13B57BF1">
            <w:pPr>
              <w:adjustRightInd w:val="0"/>
              <w:snapToGrid w:val="0"/>
              <w:jc w:val="center"/>
              <w:rPr>
                <w:sz w:val="21"/>
                <w:szCs w:val="21"/>
              </w:rPr>
            </w:pPr>
          </w:p>
        </w:tc>
      </w:tr>
      <w:tr w14:paraId="5B142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52598D3">
            <w:pPr>
              <w:adjustRightInd w:val="0"/>
              <w:snapToGrid w:val="0"/>
              <w:jc w:val="center"/>
              <w:rPr>
                <w:rFonts w:hint="default" w:eastAsia="宋体"/>
                <w:sz w:val="21"/>
                <w:szCs w:val="21"/>
                <w:lang w:val="en-US" w:eastAsia="zh-CN"/>
              </w:rPr>
            </w:pPr>
            <w:r>
              <w:rPr>
                <w:rFonts w:hint="eastAsia"/>
                <w:sz w:val="21"/>
                <w:szCs w:val="21"/>
                <w:lang w:val="en-US" w:eastAsia="zh-CN"/>
              </w:rPr>
              <w:t>汞及其化合物</w:t>
            </w:r>
          </w:p>
        </w:tc>
        <w:tc>
          <w:tcPr>
            <w:tcW w:w="0" w:type="auto"/>
            <w:noWrap w:val="0"/>
            <w:vAlign w:val="center"/>
          </w:tcPr>
          <w:p w14:paraId="6658F7E2">
            <w:pPr>
              <w:adjustRightInd w:val="0"/>
              <w:snapToGrid w:val="0"/>
              <w:jc w:val="center"/>
              <w:rPr>
                <w:rFonts w:hint="default" w:eastAsia="宋体"/>
                <w:sz w:val="21"/>
                <w:szCs w:val="21"/>
                <w:lang w:val="en-US" w:eastAsia="zh-CN"/>
              </w:rPr>
            </w:pPr>
            <w:r>
              <w:rPr>
                <w:rFonts w:hint="eastAsia"/>
                <w:sz w:val="21"/>
                <w:szCs w:val="21"/>
                <w:lang w:val="en-US" w:eastAsia="zh-CN"/>
              </w:rPr>
              <w:t>0.03</w:t>
            </w:r>
          </w:p>
        </w:tc>
        <w:tc>
          <w:tcPr>
            <w:tcW w:w="0" w:type="auto"/>
            <w:noWrap w:val="0"/>
            <w:vAlign w:val="center"/>
          </w:tcPr>
          <w:p w14:paraId="3F407C24">
            <w:pPr>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0" w:type="auto"/>
            <w:vMerge w:val="continue"/>
            <w:noWrap w:val="0"/>
            <w:vAlign w:val="center"/>
          </w:tcPr>
          <w:p w14:paraId="2FB7B273">
            <w:pPr>
              <w:adjustRightInd w:val="0"/>
              <w:snapToGrid w:val="0"/>
              <w:jc w:val="center"/>
              <w:rPr>
                <w:sz w:val="21"/>
                <w:szCs w:val="21"/>
              </w:rPr>
            </w:pPr>
          </w:p>
        </w:tc>
        <w:tc>
          <w:tcPr>
            <w:tcW w:w="0" w:type="auto"/>
            <w:vMerge w:val="continue"/>
            <w:noWrap w:val="0"/>
            <w:vAlign w:val="center"/>
          </w:tcPr>
          <w:p w14:paraId="59655992">
            <w:pPr>
              <w:adjustRightInd w:val="0"/>
              <w:snapToGrid w:val="0"/>
              <w:jc w:val="center"/>
              <w:rPr>
                <w:sz w:val="21"/>
                <w:szCs w:val="21"/>
              </w:rPr>
            </w:pPr>
          </w:p>
        </w:tc>
      </w:tr>
      <w:tr w14:paraId="53855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6BB6723">
            <w:pPr>
              <w:adjustRightInd w:val="0"/>
              <w:snapToGrid w:val="0"/>
              <w:jc w:val="center"/>
              <w:rPr>
                <w:rFonts w:hint="default"/>
                <w:sz w:val="21"/>
                <w:szCs w:val="21"/>
                <w:lang w:val="en-US" w:eastAsia="zh-CN"/>
              </w:rPr>
            </w:pPr>
            <w:r>
              <w:rPr>
                <w:rFonts w:hint="eastAsia"/>
                <w:sz w:val="21"/>
                <w:szCs w:val="21"/>
                <w:lang w:val="en-US" w:eastAsia="zh-CN"/>
              </w:rPr>
              <w:t>氨</w:t>
            </w:r>
          </w:p>
        </w:tc>
        <w:tc>
          <w:tcPr>
            <w:tcW w:w="0" w:type="auto"/>
            <w:noWrap w:val="0"/>
            <w:vAlign w:val="center"/>
          </w:tcPr>
          <w:p w14:paraId="6B71F3EB">
            <w:pPr>
              <w:adjustRightInd w:val="0"/>
              <w:snapToGrid w:val="0"/>
              <w:jc w:val="center"/>
              <w:rPr>
                <w:rFonts w:hint="default"/>
                <w:sz w:val="21"/>
                <w:szCs w:val="21"/>
                <w:lang w:val="en-US" w:eastAsia="zh-CN"/>
              </w:rPr>
            </w:pPr>
            <w:r>
              <w:rPr>
                <w:rFonts w:hint="eastAsia"/>
                <w:sz w:val="21"/>
                <w:szCs w:val="21"/>
                <w:lang w:val="en-US" w:eastAsia="zh-CN"/>
              </w:rPr>
              <w:t>8</w:t>
            </w:r>
          </w:p>
        </w:tc>
        <w:tc>
          <w:tcPr>
            <w:tcW w:w="0" w:type="auto"/>
            <w:noWrap w:val="0"/>
            <w:vAlign w:val="center"/>
          </w:tcPr>
          <w:p w14:paraId="0EEDEA23">
            <w:pPr>
              <w:adjustRightInd w:val="0"/>
              <w:snapToGrid w:val="0"/>
              <w:jc w:val="center"/>
              <w:rPr>
                <w:rFonts w:hint="default"/>
                <w:sz w:val="21"/>
                <w:szCs w:val="21"/>
                <w:lang w:val="en-US" w:eastAsia="zh-CN"/>
              </w:rPr>
            </w:pPr>
            <w:r>
              <w:rPr>
                <w:rFonts w:hint="eastAsia"/>
                <w:sz w:val="21"/>
                <w:szCs w:val="21"/>
                <w:lang w:val="en-US" w:eastAsia="zh-CN"/>
              </w:rPr>
              <w:t>/</w:t>
            </w:r>
          </w:p>
        </w:tc>
        <w:tc>
          <w:tcPr>
            <w:tcW w:w="0" w:type="auto"/>
            <w:vMerge w:val="continue"/>
            <w:noWrap w:val="0"/>
            <w:vAlign w:val="center"/>
          </w:tcPr>
          <w:p w14:paraId="4FE33CA1">
            <w:pPr>
              <w:adjustRightInd w:val="0"/>
              <w:snapToGrid w:val="0"/>
              <w:jc w:val="center"/>
              <w:rPr>
                <w:sz w:val="21"/>
                <w:szCs w:val="21"/>
              </w:rPr>
            </w:pPr>
          </w:p>
        </w:tc>
        <w:tc>
          <w:tcPr>
            <w:tcW w:w="0" w:type="auto"/>
            <w:vMerge w:val="continue"/>
            <w:noWrap w:val="0"/>
            <w:vAlign w:val="center"/>
          </w:tcPr>
          <w:p w14:paraId="4A4D9F0C">
            <w:pPr>
              <w:adjustRightInd w:val="0"/>
              <w:snapToGrid w:val="0"/>
              <w:jc w:val="center"/>
              <w:rPr>
                <w:sz w:val="21"/>
                <w:szCs w:val="21"/>
              </w:rPr>
            </w:pPr>
          </w:p>
        </w:tc>
      </w:tr>
      <w:tr w14:paraId="21EEF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86803CC">
            <w:pPr>
              <w:adjustRightInd w:val="0"/>
              <w:snapToGrid w:val="0"/>
              <w:jc w:val="center"/>
              <w:rPr>
                <w:sz w:val="21"/>
                <w:szCs w:val="21"/>
              </w:rPr>
            </w:pPr>
            <w:r>
              <w:rPr>
                <w:rFonts w:hint="eastAsia"/>
                <w:sz w:val="21"/>
                <w:szCs w:val="21"/>
              </w:rPr>
              <w:t>林格曼黑度</w:t>
            </w:r>
          </w:p>
        </w:tc>
        <w:tc>
          <w:tcPr>
            <w:tcW w:w="0" w:type="auto"/>
            <w:gridSpan w:val="2"/>
            <w:noWrap w:val="0"/>
            <w:vAlign w:val="center"/>
          </w:tcPr>
          <w:p w14:paraId="0871F319">
            <w:pPr>
              <w:adjustRightInd w:val="0"/>
              <w:snapToGrid w:val="0"/>
              <w:jc w:val="center"/>
              <w:rPr>
                <w:sz w:val="21"/>
                <w:szCs w:val="21"/>
              </w:rPr>
            </w:pPr>
            <w:r>
              <w:rPr>
                <w:sz w:val="21"/>
                <w:szCs w:val="21"/>
              </w:rPr>
              <w:t>≤</w:t>
            </w:r>
            <w:r>
              <w:rPr>
                <w:rFonts w:hint="eastAsia"/>
                <w:sz w:val="21"/>
                <w:szCs w:val="21"/>
              </w:rPr>
              <w:t>1级</w:t>
            </w:r>
          </w:p>
        </w:tc>
        <w:tc>
          <w:tcPr>
            <w:tcW w:w="0" w:type="auto"/>
            <w:vMerge w:val="continue"/>
            <w:noWrap w:val="0"/>
            <w:vAlign w:val="center"/>
          </w:tcPr>
          <w:p w14:paraId="508937DA">
            <w:pPr>
              <w:adjustRightInd w:val="0"/>
              <w:snapToGrid w:val="0"/>
              <w:jc w:val="center"/>
              <w:rPr>
                <w:sz w:val="21"/>
                <w:szCs w:val="21"/>
              </w:rPr>
            </w:pPr>
          </w:p>
        </w:tc>
        <w:tc>
          <w:tcPr>
            <w:tcW w:w="0" w:type="auto"/>
            <w:vMerge w:val="continue"/>
            <w:noWrap w:val="0"/>
            <w:vAlign w:val="center"/>
          </w:tcPr>
          <w:p w14:paraId="5BAAA205">
            <w:pPr>
              <w:adjustRightInd w:val="0"/>
              <w:snapToGrid w:val="0"/>
              <w:jc w:val="center"/>
              <w:rPr>
                <w:sz w:val="21"/>
                <w:szCs w:val="21"/>
              </w:rPr>
            </w:pPr>
          </w:p>
        </w:tc>
      </w:tr>
    </w:tbl>
    <w:p w14:paraId="1CB67174">
      <w:pPr>
        <w:adjustRightInd w:val="0"/>
        <w:snapToGrid w:val="0"/>
        <w:spacing w:line="360" w:lineRule="auto"/>
        <w:ind w:firstLine="480" w:firstLineChars="200"/>
        <w:rPr>
          <w:sz w:val="24"/>
          <w:szCs w:val="24"/>
        </w:rPr>
      </w:pPr>
      <w:r>
        <w:rPr>
          <w:rFonts w:hint="eastAsia"/>
          <w:sz w:val="24"/>
          <w:szCs w:val="24"/>
        </w:rPr>
        <w:t>注：实测的锅炉排气筒中大气污染物排放浓度，应按以下公式换算为基准氧含量下的排放浓度，并以此浓度作为判定排放是否达标的依据。</w:t>
      </w:r>
    </w:p>
    <w:p w14:paraId="1E521C86">
      <w:pPr>
        <w:autoSpaceDE w:val="0"/>
        <w:autoSpaceDN w:val="0"/>
        <w:adjustRightInd w:val="0"/>
        <w:snapToGrid w:val="0"/>
        <w:spacing w:line="360" w:lineRule="auto"/>
        <w:jc w:val="center"/>
        <w:rPr>
          <w:sz w:val="24"/>
          <w:szCs w:val="24"/>
        </w:rPr>
      </w:pPr>
      <w:r>
        <w:rPr>
          <w:sz w:val="24"/>
          <w:szCs w:val="24"/>
        </w:rPr>
        <w:drawing>
          <wp:inline distT="0" distB="0" distL="114300" distR="114300">
            <wp:extent cx="1275080" cy="467995"/>
            <wp:effectExtent l="0" t="0" r="1270" b="825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8"/>
                    <a:stretch>
                      <a:fillRect/>
                    </a:stretch>
                  </pic:blipFill>
                  <pic:spPr>
                    <a:xfrm>
                      <a:off x="0" y="0"/>
                      <a:ext cx="1275080" cy="467995"/>
                    </a:xfrm>
                    <a:prstGeom prst="rect">
                      <a:avLst/>
                    </a:prstGeom>
                    <a:noFill/>
                    <a:ln>
                      <a:noFill/>
                    </a:ln>
                  </pic:spPr>
                </pic:pic>
              </a:graphicData>
            </a:graphic>
          </wp:inline>
        </w:drawing>
      </w:r>
    </w:p>
    <w:p w14:paraId="5A260B6E">
      <w:pPr>
        <w:adjustRightInd w:val="0"/>
        <w:snapToGrid w:val="0"/>
        <w:spacing w:line="360" w:lineRule="auto"/>
        <w:ind w:firstLine="480" w:firstLineChars="200"/>
        <w:rPr>
          <w:sz w:val="24"/>
          <w:szCs w:val="24"/>
        </w:rPr>
      </w:pPr>
      <w:r>
        <w:rPr>
          <w:rFonts w:hint="eastAsia"/>
          <w:sz w:val="24"/>
          <w:szCs w:val="24"/>
        </w:rPr>
        <w:t>式中：</w:t>
      </w:r>
      <w:r>
        <w:rPr>
          <w:i/>
          <w:iCs/>
          <w:sz w:val="24"/>
          <w:szCs w:val="24"/>
        </w:rPr>
        <w:t>ρ</w:t>
      </w:r>
      <w:r>
        <w:rPr>
          <w:sz w:val="24"/>
          <w:szCs w:val="24"/>
        </w:rPr>
        <w:t>—</w:t>
      </w:r>
      <w:r>
        <w:rPr>
          <w:rFonts w:hint="eastAsia"/>
          <w:sz w:val="24"/>
          <w:szCs w:val="24"/>
        </w:rPr>
        <w:t>大气污染物基准氧含量排放浓度</w:t>
      </w:r>
      <w:r>
        <w:rPr>
          <w:sz w:val="24"/>
          <w:szCs w:val="24"/>
        </w:rPr>
        <w:t>，mg/m</w:t>
      </w:r>
      <w:r>
        <w:rPr>
          <w:sz w:val="24"/>
          <w:szCs w:val="24"/>
          <w:vertAlign w:val="superscript"/>
        </w:rPr>
        <w:t>3</w:t>
      </w:r>
      <w:r>
        <w:rPr>
          <w:sz w:val="24"/>
          <w:szCs w:val="24"/>
        </w:rPr>
        <w:t>；</w:t>
      </w:r>
    </w:p>
    <w:p w14:paraId="0AE76270">
      <w:pPr>
        <w:adjustRightInd w:val="0"/>
        <w:snapToGrid w:val="0"/>
        <w:spacing w:line="360" w:lineRule="auto"/>
        <w:ind w:firstLine="1200" w:firstLineChars="500"/>
        <w:rPr>
          <w:sz w:val="24"/>
          <w:szCs w:val="24"/>
        </w:rPr>
      </w:pPr>
      <w:r>
        <w:rPr>
          <w:i/>
          <w:iCs/>
          <w:sz w:val="24"/>
          <w:szCs w:val="24"/>
        </w:rPr>
        <w:t>ρ</w:t>
      </w:r>
      <w:r>
        <w:rPr>
          <w:rFonts w:hint="eastAsia"/>
          <w:i/>
          <w:iCs/>
          <w:sz w:val="24"/>
          <w:szCs w:val="24"/>
          <w:vertAlign w:val="subscript"/>
        </w:rPr>
        <w:t>'</w:t>
      </w:r>
      <w:r>
        <w:rPr>
          <w:sz w:val="24"/>
          <w:szCs w:val="24"/>
        </w:rPr>
        <w:t>—实测的大气污染物排放浓度，mg/m</w:t>
      </w:r>
      <w:r>
        <w:rPr>
          <w:sz w:val="24"/>
          <w:szCs w:val="24"/>
          <w:vertAlign w:val="superscript"/>
        </w:rPr>
        <w:t>3</w:t>
      </w:r>
      <w:r>
        <w:rPr>
          <w:sz w:val="24"/>
          <w:szCs w:val="24"/>
        </w:rPr>
        <w:t>；</w:t>
      </w:r>
    </w:p>
    <w:p w14:paraId="7DFA6491">
      <w:pPr>
        <w:adjustRightInd w:val="0"/>
        <w:snapToGrid w:val="0"/>
        <w:spacing w:line="360" w:lineRule="auto"/>
        <w:ind w:firstLine="1200" w:firstLineChars="500"/>
        <w:rPr>
          <w:sz w:val="24"/>
          <w:szCs w:val="24"/>
        </w:rPr>
      </w:pPr>
      <w:r>
        <w:rPr>
          <w:i/>
          <w:iCs/>
          <w:sz w:val="24"/>
          <w:szCs w:val="24"/>
        </w:rPr>
        <w:t>φ</w:t>
      </w:r>
      <w:r>
        <w:rPr>
          <w:rFonts w:hint="eastAsia"/>
          <w:sz w:val="24"/>
          <w:szCs w:val="24"/>
        </w:rPr>
        <w:t>（</w:t>
      </w:r>
      <w:r>
        <w:rPr>
          <w:sz w:val="24"/>
          <w:szCs w:val="24"/>
        </w:rPr>
        <w:t>O</w:t>
      </w:r>
      <w:r>
        <w:rPr>
          <w:rFonts w:hint="eastAsia"/>
          <w:sz w:val="24"/>
          <w:szCs w:val="24"/>
          <w:vertAlign w:val="subscript"/>
        </w:rPr>
        <w:t>2</w:t>
      </w:r>
      <w:r>
        <w:rPr>
          <w:rFonts w:hint="eastAsia"/>
          <w:sz w:val="24"/>
          <w:szCs w:val="24"/>
        </w:rPr>
        <w:t>）</w:t>
      </w:r>
      <w:r>
        <w:rPr>
          <w:sz w:val="24"/>
          <w:szCs w:val="24"/>
        </w:rPr>
        <w:t>—基准氧含量，%；（本项目</w:t>
      </w:r>
      <w:r>
        <w:rPr>
          <w:rFonts w:hint="eastAsia"/>
          <w:sz w:val="24"/>
          <w:szCs w:val="24"/>
        </w:rPr>
        <w:t>导热油炉为单台出力65t/h以下的燃生物质锅炉</w:t>
      </w:r>
      <w:r>
        <w:rPr>
          <w:sz w:val="24"/>
          <w:szCs w:val="24"/>
        </w:rPr>
        <w:t>，基准氧含量取</w:t>
      </w:r>
      <w:r>
        <w:rPr>
          <w:rFonts w:hint="eastAsia"/>
          <w:sz w:val="24"/>
          <w:szCs w:val="24"/>
        </w:rPr>
        <w:t>9</w:t>
      </w:r>
      <w:r>
        <w:rPr>
          <w:sz w:val="24"/>
          <w:szCs w:val="24"/>
        </w:rPr>
        <w:t>%）</w:t>
      </w:r>
    </w:p>
    <w:p w14:paraId="5436DF6A">
      <w:pPr>
        <w:adjustRightInd w:val="0"/>
        <w:snapToGrid w:val="0"/>
        <w:spacing w:line="360" w:lineRule="auto"/>
        <w:ind w:firstLine="1200" w:firstLineChars="500"/>
        <w:rPr>
          <w:sz w:val="24"/>
          <w:szCs w:val="24"/>
        </w:rPr>
      </w:pPr>
      <w:r>
        <w:rPr>
          <w:i/>
          <w:iCs/>
          <w:sz w:val="24"/>
          <w:szCs w:val="24"/>
        </w:rPr>
        <w:t>φ’</w:t>
      </w:r>
      <w:r>
        <w:rPr>
          <w:rFonts w:hint="eastAsia"/>
          <w:sz w:val="24"/>
          <w:szCs w:val="24"/>
        </w:rPr>
        <w:t>（</w:t>
      </w:r>
      <w:r>
        <w:rPr>
          <w:sz w:val="24"/>
          <w:szCs w:val="24"/>
        </w:rPr>
        <w:t>O</w:t>
      </w:r>
      <w:r>
        <w:rPr>
          <w:rFonts w:hint="eastAsia"/>
          <w:sz w:val="24"/>
          <w:szCs w:val="24"/>
          <w:vertAlign w:val="subscript"/>
        </w:rPr>
        <w:t>2</w:t>
      </w:r>
      <w:r>
        <w:rPr>
          <w:rFonts w:hint="eastAsia"/>
          <w:sz w:val="24"/>
          <w:szCs w:val="24"/>
        </w:rPr>
        <w:t>）</w:t>
      </w:r>
      <w:r>
        <w:rPr>
          <w:sz w:val="24"/>
          <w:szCs w:val="24"/>
        </w:rPr>
        <w:t>—实测的氧含量，%。</w:t>
      </w:r>
    </w:p>
    <w:p w14:paraId="7FF4E000">
      <w:pPr>
        <w:spacing w:line="360" w:lineRule="auto"/>
        <w:ind w:firstLine="480" w:firstLineChars="200"/>
        <w:rPr>
          <w:rFonts w:hint="eastAsia" w:ascii="宋体" w:hAnsi="宋体" w:cs="宋体"/>
          <w:kern w:val="24"/>
          <w:sz w:val="24"/>
          <w:szCs w:val="24"/>
        </w:rPr>
      </w:pPr>
      <w:r>
        <w:rPr>
          <w:rFonts w:hint="eastAsia" w:ascii="宋体" w:hAnsi="宋体" w:cs="宋体"/>
          <w:kern w:val="24"/>
          <w:sz w:val="24"/>
          <w:szCs w:val="24"/>
        </w:rPr>
        <w:t>②无组织废气排放标准</w:t>
      </w:r>
    </w:p>
    <w:p w14:paraId="4F9D253B">
      <w:pPr>
        <w:spacing w:line="360" w:lineRule="auto"/>
        <w:ind w:firstLine="480" w:firstLineChars="200"/>
        <w:rPr>
          <w:kern w:val="24"/>
          <w:sz w:val="24"/>
          <w:szCs w:val="24"/>
        </w:rPr>
      </w:pPr>
      <w:r>
        <w:rPr>
          <w:kern w:val="24"/>
          <w:sz w:val="24"/>
          <w:szCs w:val="24"/>
        </w:rPr>
        <w:t>本项目无组织颗粒物、非甲烷总烃执行《大气污染物综合排放标准》（DB32/4041-2021）表3厂界大气污染物监控点浓度限值；</w:t>
      </w:r>
      <w:r>
        <w:rPr>
          <w:rFonts w:hint="eastAsia"/>
          <w:kern w:val="24"/>
          <w:sz w:val="24"/>
          <w:szCs w:val="24"/>
        </w:rPr>
        <w:t>无组织</w:t>
      </w:r>
      <w:r>
        <w:rPr>
          <w:kern w:val="24"/>
          <w:sz w:val="24"/>
          <w:szCs w:val="24"/>
        </w:rPr>
        <w:t>氨</w:t>
      </w:r>
      <w:r>
        <w:rPr>
          <w:rFonts w:hint="eastAsia"/>
          <w:kern w:val="24"/>
          <w:sz w:val="24"/>
          <w:szCs w:val="24"/>
        </w:rPr>
        <w:t>、硫化氢、臭气浓度执行</w:t>
      </w:r>
      <w:r>
        <w:rPr>
          <w:rFonts w:hint="eastAsia"/>
          <w:sz w:val="24"/>
          <w:szCs w:val="24"/>
        </w:rPr>
        <w:t>《恶臭污染物排放标准》（GB14554-93）表1中二级新改扩建限值标准；</w:t>
      </w:r>
      <w:r>
        <w:rPr>
          <w:bCs/>
          <w:kern w:val="24"/>
          <w:sz w:val="24"/>
          <w:szCs w:val="24"/>
        </w:rPr>
        <w:t>生产车间外非甲烷总烃执行</w:t>
      </w:r>
      <w:r>
        <w:rPr>
          <w:kern w:val="24"/>
          <w:sz w:val="24"/>
          <w:szCs w:val="24"/>
        </w:rPr>
        <w:t>《大气污染物综合排放标准》（DB32/4041-2021）</w:t>
      </w:r>
      <w:r>
        <w:rPr>
          <w:bCs/>
          <w:kern w:val="24"/>
          <w:sz w:val="24"/>
          <w:szCs w:val="24"/>
        </w:rPr>
        <w:t>表2中排放标准</w:t>
      </w:r>
      <w:r>
        <w:rPr>
          <w:kern w:val="24"/>
          <w:sz w:val="24"/>
          <w:szCs w:val="24"/>
        </w:rPr>
        <w:t>。</w:t>
      </w:r>
    </w:p>
    <w:p w14:paraId="62B9692F">
      <w:pPr>
        <w:spacing w:line="360" w:lineRule="auto"/>
        <w:ind w:firstLine="480" w:firstLineChars="200"/>
        <w:rPr>
          <w:snapToGrid w:val="0"/>
          <w:kern w:val="0"/>
          <w:sz w:val="24"/>
          <w:szCs w:val="24"/>
        </w:rPr>
      </w:pPr>
      <w:r>
        <w:rPr>
          <w:snapToGrid w:val="0"/>
          <w:kern w:val="0"/>
          <w:sz w:val="24"/>
          <w:szCs w:val="24"/>
        </w:rPr>
        <w:t>本项目</w:t>
      </w:r>
      <w:r>
        <w:rPr>
          <w:rFonts w:hint="eastAsia"/>
          <w:snapToGrid w:val="0"/>
          <w:kern w:val="0"/>
          <w:sz w:val="24"/>
          <w:szCs w:val="24"/>
        </w:rPr>
        <w:t>无组织废气</w:t>
      </w:r>
      <w:r>
        <w:rPr>
          <w:snapToGrid w:val="0"/>
          <w:kern w:val="0"/>
          <w:sz w:val="24"/>
          <w:szCs w:val="24"/>
        </w:rPr>
        <w:t>采用的大气污染物排放标准详见表</w:t>
      </w:r>
      <w:r>
        <w:rPr>
          <w:rFonts w:hint="eastAsia"/>
          <w:snapToGrid w:val="0"/>
          <w:kern w:val="0"/>
          <w:sz w:val="24"/>
          <w:szCs w:val="24"/>
          <w:lang w:val="en-US" w:eastAsia="zh-CN"/>
        </w:rPr>
        <w:t>1-5</w:t>
      </w:r>
      <w:r>
        <w:rPr>
          <w:snapToGrid w:val="0"/>
          <w:kern w:val="0"/>
          <w:sz w:val="24"/>
          <w:szCs w:val="24"/>
        </w:rPr>
        <w:t>。</w:t>
      </w:r>
    </w:p>
    <w:p w14:paraId="2622B0BA">
      <w:pPr>
        <w:jc w:val="center"/>
        <w:rPr>
          <w:b/>
          <w:bCs/>
          <w:snapToGrid w:val="0"/>
          <w:kern w:val="0"/>
          <w:sz w:val="24"/>
          <w:szCs w:val="24"/>
        </w:rPr>
      </w:pPr>
      <w:r>
        <w:rPr>
          <w:rFonts w:hint="eastAsia"/>
          <w:b/>
          <w:bCs/>
          <w:snapToGrid w:val="0"/>
          <w:kern w:val="0"/>
          <w:sz w:val="24"/>
          <w:szCs w:val="24"/>
        </w:rPr>
        <w:t>表</w:t>
      </w:r>
      <w:r>
        <w:rPr>
          <w:rFonts w:hint="eastAsia"/>
          <w:b/>
          <w:bCs/>
          <w:snapToGrid w:val="0"/>
          <w:kern w:val="0"/>
          <w:sz w:val="24"/>
          <w:szCs w:val="24"/>
          <w:lang w:val="en-US" w:eastAsia="zh-CN"/>
        </w:rPr>
        <w:t>1-5</w:t>
      </w:r>
      <w:r>
        <w:rPr>
          <w:rFonts w:hint="eastAsia"/>
          <w:b/>
          <w:bCs/>
          <w:snapToGrid w:val="0"/>
          <w:kern w:val="0"/>
          <w:sz w:val="24"/>
          <w:szCs w:val="24"/>
        </w:rPr>
        <w:t xml:space="preserve">  无组织</w:t>
      </w:r>
      <w:r>
        <w:rPr>
          <w:b/>
          <w:bCs/>
          <w:snapToGrid w:val="0"/>
          <w:kern w:val="0"/>
          <w:sz w:val="24"/>
          <w:szCs w:val="24"/>
        </w:rPr>
        <w:t>大气污染物排放标准</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254"/>
        <w:gridCol w:w="964"/>
        <w:gridCol w:w="1635"/>
        <w:gridCol w:w="3621"/>
      </w:tblGrid>
      <w:tr w14:paraId="08477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1F427036">
            <w:pPr>
              <w:snapToGrid w:val="0"/>
              <w:jc w:val="center"/>
              <w:rPr>
                <w:b/>
                <w:sz w:val="21"/>
                <w:szCs w:val="21"/>
              </w:rPr>
            </w:pPr>
            <w:r>
              <w:rPr>
                <w:rFonts w:hint="eastAsia"/>
                <w:b/>
                <w:sz w:val="21"/>
                <w:szCs w:val="21"/>
              </w:rPr>
              <w:t>排放形式</w:t>
            </w:r>
          </w:p>
        </w:tc>
        <w:tc>
          <w:tcPr>
            <w:tcW w:w="1254" w:type="dxa"/>
            <w:noWrap w:val="0"/>
            <w:vAlign w:val="center"/>
          </w:tcPr>
          <w:p w14:paraId="03F335EC">
            <w:pPr>
              <w:snapToGrid w:val="0"/>
              <w:jc w:val="center"/>
              <w:rPr>
                <w:b/>
                <w:sz w:val="21"/>
                <w:szCs w:val="21"/>
              </w:rPr>
            </w:pPr>
            <w:r>
              <w:rPr>
                <w:b/>
                <w:sz w:val="21"/>
                <w:szCs w:val="21"/>
              </w:rPr>
              <w:t>污染物</w:t>
            </w:r>
          </w:p>
        </w:tc>
        <w:tc>
          <w:tcPr>
            <w:tcW w:w="964" w:type="dxa"/>
            <w:noWrap w:val="0"/>
            <w:vAlign w:val="center"/>
          </w:tcPr>
          <w:p w14:paraId="65249B5B">
            <w:pPr>
              <w:snapToGrid w:val="0"/>
              <w:jc w:val="center"/>
              <w:rPr>
                <w:b/>
                <w:sz w:val="21"/>
                <w:szCs w:val="21"/>
              </w:rPr>
            </w:pPr>
            <w:r>
              <w:rPr>
                <w:b/>
                <w:sz w:val="21"/>
                <w:szCs w:val="21"/>
              </w:rPr>
              <w:t>监控点</w:t>
            </w:r>
          </w:p>
        </w:tc>
        <w:tc>
          <w:tcPr>
            <w:tcW w:w="0" w:type="auto"/>
            <w:noWrap w:val="0"/>
            <w:vAlign w:val="center"/>
          </w:tcPr>
          <w:p w14:paraId="6F381A27">
            <w:pPr>
              <w:snapToGrid w:val="0"/>
              <w:jc w:val="center"/>
              <w:rPr>
                <w:b/>
                <w:sz w:val="21"/>
                <w:szCs w:val="21"/>
              </w:rPr>
            </w:pPr>
            <w:r>
              <w:rPr>
                <w:b/>
                <w:sz w:val="21"/>
                <w:szCs w:val="21"/>
              </w:rPr>
              <w:t>监控浓度限值mg/m</w:t>
            </w:r>
            <w:r>
              <w:rPr>
                <w:b/>
                <w:sz w:val="21"/>
                <w:szCs w:val="21"/>
                <w:vertAlign w:val="superscript"/>
              </w:rPr>
              <w:t>3</w:t>
            </w:r>
          </w:p>
        </w:tc>
        <w:tc>
          <w:tcPr>
            <w:tcW w:w="0" w:type="auto"/>
            <w:noWrap w:val="0"/>
            <w:vAlign w:val="center"/>
          </w:tcPr>
          <w:p w14:paraId="60D82D1B">
            <w:pPr>
              <w:snapToGrid w:val="0"/>
              <w:jc w:val="center"/>
              <w:rPr>
                <w:b/>
                <w:sz w:val="21"/>
                <w:szCs w:val="21"/>
              </w:rPr>
            </w:pPr>
            <w:r>
              <w:rPr>
                <w:rFonts w:hint="eastAsia"/>
                <w:b/>
                <w:sz w:val="21"/>
                <w:szCs w:val="21"/>
              </w:rPr>
              <w:t>标准来源</w:t>
            </w:r>
          </w:p>
        </w:tc>
      </w:tr>
      <w:tr w14:paraId="12B17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restart"/>
            <w:noWrap w:val="0"/>
            <w:vAlign w:val="center"/>
          </w:tcPr>
          <w:p w14:paraId="44351E70">
            <w:pPr>
              <w:snapToGrid w:val="0"/>
              <w:jc w:val="center"/>
              <w:rPr>
                <w:rFonts w:hint="eastAsia"/>
                <w:bCs/>
                <w:sz w:val="21"/>
                <w:szCs w:val="21"/>
              </w:rPr>
            </w:pPr>
            <w:r>
              <w:rPr>
                <w:rFonts w:hint="eastAsia"/>
                <w:bCs/>
                <w:sz w:val="21"/>
                <w:szCs w:val="21"/>
              </w:rPr>
              <w:t>无组织</w:t>
            </w:r>
          </w:p>
        </w:tc>
        <w:tc>
          <w:tcPr>
            <w:tcW w:w="1254" w:type="dxa"/>
            <w:noWrap w:val="0"/>
            <w:vAlign w:val="center"/>
          </w:tcPr>
          <w:p w14:paraId="3176B220">
            <w:pPr>
              <w:snapToGrid w:val="0"/>
              <w:jc w:val="center"/>
              <w:rPr>
                <w:rFonts w:hint="eastAsia"/>
                <w:bCs/>
                <w:sz w:val="21"/>
                <w:szCs w:val="21"/>
              </w:rPr>
            </w:pPr>
            <w:r>
              <w:rPr>
                <w:rFonts w:hint="eastAsia"/>
                <w:bCs/>
                <w:sz w:val="21"/>
                <w:szCs w:val="21"/>
              </w:rPr>
              <w:t>颗粒物</w:t>
            </w:r>
          </w:p>
        </w:tc>
        <w:tc>
          <w:tcPr>
            <w:tcW w:w="964" w:type="dxa"/>
            <w:vMerge w:val="restart"/>
            <w:noWrap w:val="0"/>
            <w:vAlign w:val="center"/>
          </w:tcPr>
          <w:p w14:paraId="17BEA0BC">
            <w:pPr>
              <w:snapToGrid w:val="0"/>
              <w:jc w:val="center"/>
              <w:rPr>
                <w:rFonts w:hint="eastAsia"/>
                <w:bCs/>
                <w:sz w:val="21"/>
                <w:szCs w:val="21"/>
              </w:rPr>
            </w:pPr>
            <w:r>
              <w:rPr>
                <w:rFonts w:hint="eastAsia"/>
                <w:bCs/>
                <w:sz w:val="21"/>
                <w:szCs w:val="21"/>
              </w:rPr>
              <w:t>边界外浓度最高点</w:t>
            </w:r>
          </w:p>
        </w:tc>
        <w:tc>
          <w:tcPr>
            <w:tcW w:w="0" w:type="auto"/>
            <w:noWrap w:val="0"/>
            <w:vAlign w:val="center"/>
          </w:tcPr>
          <w:p w14:paraId="2C2FB3DC">
            <w:pPr>
              <w:snapToGrid w:val="0"/>
              <w:jc w:val="center"/>
              <w:rPr>
                <w:rFonts w:hint="eastAsia"/>
                <w:bCs/>
                <w:sz w:val="21"/>
                <w:szCs w:val="21"/>
              </w:rPr>
            </w:pPr>
            <w:r>
              <w:rPr>
                <w:rFonts w:hint="eastAsia"/>
                <w:bCs/>
                <w:sz w:val="21"/>
                <w:szCs w:val="21"/>
              </w:rPr>
              <w:t>0.5</w:t>
            </w:r>
          </w:p>
        </w:tc>
        <w:tc>
          <w:tcPr>
            <w:tcW w:w="0" w:type="auto"/>
            <w:vMerge w:val="restart"/>
            <w:noWrap w:val="0"/>
            <w:vAlign w:val="center"/>
          </w:tcPr>
          <w:p w14:paraId="3BB44727">
            <w:pPr>
              <w:snapToGrid w:val="0"/>
              <w:jc w:val="center"/>
              <w:rPr>
                <w:rFonts w:hint="eastAsia"/>
                <w:bCs/>
                <w:sz w:val="21"/>
                <w:szCs w:val="21"/>
              </w:rPr>
            </w:pPr>
            <w:r>
              <w:rPr>
                <w:rFonts w:hint="eastAsia"/>
                <w:bCs/>
                <w:sz w:val="21"/>
                <w:szCs w:val="21"/>
              </w:rPr>
              <w:t>《大气污染物综合排放标准》（DB32/4041</w:t>
            </w:r>
            <w:r>
              <w:rPr>
                <w:rFonts w:hint="eastAsia"/>
                <w:bCs/>
                <w:sz w:val="21"/>
                <w:szCs w:val="21"/>
                <w:lang w:val="en-US" w:eastAsia="zh-CN"/>
              </w:rPr>
              <w:t>-</w:t>
            </w:r>
            <w:r>
              <w:rPr>
                <w:rFonts w:hint="eastAsia"/>
                <w:bCs/>
                <w:sz w:val="21"/>
                <w:szCs w:val="21"/>
              </w:rPr>
              <w:t>2021）</w:t>
            </w:r>
          </w:p>
        </w:tc>
      </w:tr>
      <w:tr w14:paraId="40776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continue"/>
            <w:noWrap w:val="0"/>
            <w:vAlign w:val="center"/>
          </w:tcPr>
          <w:p w14:paraId="4821747D">
            <w:pPr>
              <w:jc w:val="center"/>
              <w:rPr>
                <w:snapToGrid w:val="0"/>
                <w:kern w:val="0"/>
                <w:sz w:val="24"/>
                <w:szCs w:val="32"/>
              </w:rPr>
            </w:pPr>
          </w:p>
        </w:tc>
        <w:tc>
          <w:tcPr>
            <w:tcW w:w="1254" w:type="dxa"/>
            <w:noWrap w:val="0"/>
            <w:vAlign w:val="center"/>
          </w:tcPr>
          <w:p w14:paraId="2B3E3D6C">
            <w:pPr>
              <w:snapToGrid w:val="0"/>
              <w:jc w:val="center"/>
              <w:rPr>
                <w:rFonts w:hint="eastAsia"/>
                <w:bCs/>
                <w:sz w:val="21"/>
                <w:szCs w:val="21"/>
              </w:rPr>
            </w:pPr>
            <w:r>
              <w:rPr>
                <w:rFonts w:hint="eastAsia"/>
                <w:bCs/>
                <w:sz w:val="21"/>
                <w:szCs w:val="21"/>
              </w:rPr>
              <w:t>非甲烷总烃</w:t>
            </w:r>
          </w:p>
        </w:tc>
        <w:tc>
          <w:tcPr>
            <w:tcW w:w="964" w:type="dxa"/>
            <w:vMerge w:val="continue"/>
            <w:noWrap w:val="0"/>
            <w:vAlign w:val="center"/>
          </w:tcPr>
          <w:p w14:paraId="01D22FB2">
            <w:pPr>
              <w:snapToGrid w:val="0"/>
              <w:jc w:val="center"/>
              <w:rPr>
                <w:rFonts w:hint="eastAsia"/>
                <w:bCs/>
                <w:sz w:val="21"/>
                <w:szCs w:val="21"/>
              </w:rPr>
            </w:pPr>
          </w:p>
        </w:tc>
        <w:tc>
          <w:tcPr>
            <w:tcW w:w="0" w:type="auto"/>
            <w:noWrap w:val="0"/>
            <w:vAlign w:val="center"/>
          </w:tcPr>
          <w:p w14:paraId="0820647A">
            <w:pPr>
              <w:snapToGrid w:val="0"/>
              <w:jc w:val="center"/>
              <w:rPr>
                <w:rFonts w:hint="eastAsia"/>
                <w:bCs/>
                <w:sz w:val="21"/>
                <w:szCs w:val="21"/>
              </w:rPr>
            </w:pPr>
            <w:r>
              <w:rPr>
                <w:rFonts w:hint="eastAsia"/>
                <w:bCs/>
                <w:sz w:val="21"/>
                <w:szCs w:val="21"/>
              </w:rPr>
              <w:t>4</w:t>
            </w:r>
          </w:p>
        </w:tc>
        <w:tc>
          <w:tcPr>
            <w:tcW w:w="0" w:type="auto"/>
            <w:vMerge w:val="continue"/>
            <w:noWrap w:val="0"/>
            <w:vAlign w:val="center"/>
          </w:tcPr>
          <w:p w14:paraId="4ED4812A">
            <w:pPr>
              <w:jc w:val="center"/>
              <w:rPr>
                <w:snapToGrid w:val="0"/>
                <w:kern w:val="0"/>
                <w:sz w:val="21"/>
                <w:szCs w:val="21"/>
              </w:rPr>
            </w:pPr>
          </w:p>
        </w:tc>
      </w:tr>
      <w:tr w14:paraId="639E9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833" w:type="dxa"/>
            <w:vMerge w:val="continue"/>
            <w:noWrap w:val="0"/>
            <w:vAlign w:val="center"/>
          </w:tcPr>
          <w:p w14:paraId="75D00455">
            <w:pPr>
              <w:jc w:val="center"/>
              <w:rPr>
                <w:snapToGrid w:val="0"/>
                <w:kern w:val="0"/>
                <w:sz w:val="24"/>
                <w:szCs w:val="32"/>
              </w:rPr>
            </w:pPr>
          </w:p>
        </w:tc>
        <w:tc>
          <w:tcPr>
            <w:tcW w:w="1254" w:type="dxa"/>
            <w:shd w:val="clear" w:color="auto" w:fill="auto"/>
            <w:noWrap w:val="0"/>
            <w:vAlign w:val="center"/>
          </w:tcPr>
          <w:p w14:paraId="5825FF00">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氨</w:t>
            </w:r>
          </w:p>
        </w:tc>
        <w:tc>
          <w:tcPr>
            <w:tcW w:w="964" w:type="dxa"/>
            <w:vMerge w:val="restart"/>
            <w:shd w:val="clear" w:color="auto" w:fill="auto"/>
            <w:noWrap w:val="0"/>
            <w:vAlign w:val="center"/>
          </w:tcPr>
          <w:p w14:paraId="174BFE7E">
            <w:pPr>
              <w:snapToGrid w:val="0"/>
              <w:jc w:val="center"/>
              <w:rPr>
                <w:rFonts w:hint="eastAsia" w:ascii="Times New Roman" w:hAnsi="Times New Roman" w:eastAsia="宋体" w:cs="Times New Roman"/>
                <w:bCs/>
                <w:sz w:val="21"/>
                <w:szCs w:val="21"/>
              </w:rPr>
            </w:pPr>
            <w:r>
              <w:rPr>
                <w:rFonts w:hint="eastAsia" w:ascii="Times New Roman" w:hAnsi="Times New Roman" w:eastAsia="宋体" w:cs="Times New Roman"/>
                <w:bCs/>
                <w:sz w:val="21"/>
                <w:szCs w:val="21"/>
              </w:rPr>
              <w:t>厂界</w:t>
            </w:r>
          </w:p>
        </w:tc>
        <w:tc>
          <w:tcPr>
            <w:tcW w:w="1635" w:type="dxa"/>
            <w:shd w:val="clear" w:color="auto" w:fill="auto"/>
            <w:noWrap w:val="0"/>
            <w:vAlign w:val="center"/>
          </w:tcPr>
          <w:p w14:paraId="3E387A9E">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1.5</w:t>
            </w:r>
          </w:p>
        </w:tc>
        <w:tc>
          <w:tcPr>
            <w:tcW w:w="0" w:type="auto"/>
            <w:vMerge w:val="restart"/>
            <w:shd w:val="clear" w:color="auto" w:fill="auto"/>
            <w:noWrap w:val="0"/>
            <w:vAlign w:val="center"/>
          </w:tcPr>
          <w:p w14:paraId="056C09A0">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《恶臭污染物排放标准》（GB14554-93）</w:t>
            </w:r>
          </w:p>
        </w:tc>
      </w:tr>
      <w:tr w14:paraId="4F7D2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833" w:type="dxa"/>
            <w:vMerge w:val="continue"/>
            <w:noWrap w:val="0"/>
            <w:vAlign w:val="center"/>
          </w:tcPr>
          <w:p w14:paraId="70EF772E">
            <w:pPr>
              <w:snapToGrid w:val="0"/>
              <w:jc w:val="center"/>
              <w:rPr>
                <w:sz w:val="22"/>
                <w:szCs w:val="21"/>
              </w:rPr>
            </w:pPr>
          </w:p>
        </w:tc>
        <w:tc>
          <w:tcPr>
            <w:tcW w:w="1254" w:type="dxa"/>
            <w:shd w:val="clear" w:color="auto" w:fill="auto"/>
            <w:noWrap w:val="0"/>
            <w:vAlign w:val="center"/>
          </w:tcPr>
          <w:p w14:paraId="770460A0">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硫化氢</w:t>
            </w:r>
          </w:p>
        </w:tc>
        <w:tc>
          <w:tcPr>
            <w:tcW w:w="964" w:type="dxa"/>
            <w:vMerge w:val="continue"/>
            <w:noWrap w:val="0"/>
            <w:vAlign w:val="center"/>
          </w:tcPr>
          <w:p w14:paraId="29417F70">
            <w:pPr>
              <w:snapToGrid w:val="0"/>
              <w:jc w:val="center"/>
              <w:rPr>
                <w:rFonts w:hint="eastAsia" w:ascii="Times New Roman" w:hAnsi="Times New Roman" w:eastAsia="宋体" w:cs="Times New Roman"/>
                <w:bCs/>
                <w:sz w:val="21"/>
                <w:szCs w:val="21"/>
                <w:lang w:val="en-US" w:eastAsia="zh-CN"/>
              </w:rPr>
            </w:pPr>
          </w:p>
        </w:tc>
        <w:tc>
          <w:tcPr>
            <w:tcW w:w="0" w:type="auto"/>
            <w:shd w:val="clear" w:color="auto" w:fill="auto"/>
            <w:noWrap w:val="0"/>
            <w:vAlign w:val="center"/>
          </w:tcPr>
          <w:p w14:paraId="7096D6DB">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0.06</w:t>
            </w:r>
          </w:p>
        </w:tc>
        <w:tc>
          <w:tcPr>
            <w:tcW w:w="0" w:type="auto"/>
            <w:vMerge w:val="continue"/>
            <w:shd w:val="clear" w:color="auto" w:fill="auto"/>
            <w:noWrap w:val="0"/>
            <w:vAlign w:val="center"/>
          </w:tcPr>
          <w:p w14:paraId="5008CCE1">
            <w:pPr>
              <w:snapToGrid w:val="0"/>
              <w:jc w:val="center"/>
              <w:rPr>
                <w:rFonts w:hint="eastAsia"/>
                <w:bCs/>
                <w:sz w:val="21"/>
                <w:szCs w:val="21"/>
                <w:lang w:val="en-US" w:eastAsia="zh-CN"/>
              </w:rPr>
            </w:pPr>
          </w:p>
        </w:tc>
      </w:tr>
      <w:tr w14:paraId="54699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833" w:type="dxa"/>
            <w:vMerge w:val="continue"/>
            <w:noWrap w:val="0"/>
            <w:vAlign w:val="center"/>
          </w:tcPr>
          <w:p w14:paraId="39C3D186">
            <w:pPr>
              <w:snapToGrid w:val="0"/>
              <w:jc w:val="center"/>
              <w:rPr>
                <w:rFonts w:hint="eastAsia"/>
                <w:bCs/>
                <w:sz w:val="21"/>
                <w:szCs w:val="21"/>
                <w:lang w:val="en-US" w:eastAsia="zh-CN"/>
              </w:rPr>
            </w:pPr>
          </w:p>
        </w:tc>
        <w:tc>
          <w:tcPr>
            <w:tcW w:w="1254" w:type="dxa"/>
            <w:shd w:val="clear" w:color="auto" w:fill="auto"/>
            <w:noWrap w:val="0"/>
            <w:vAlign w:val="center"/>
          </w:tcPr>
          <w:p w14:paraId="5B1A032B">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臭气浓度</w:t>
            </w:r>
          </w:p>
        </w:tc>
        <w:tc>
          <w:tcPr>
            <w:tcW w:w="964" w:type="dxa"/>
            <w:vMerge w:val="continue"/>
            <w:noWrap w:val="0"/>
            <w:vAlign w:val="center"/>
          </w:tcPr>
          <w:p w14:paraId="681DD815">
            <w:pPr>
              <w:snapToGrid w:val="0"/>
              <w:jc w:val="center"/>
              <w:rPr>
                <w:rFonts w:hint="eastAsia" w:ascii="Times New Roman" w:hAnsi="Times New Roman" w:eastAsia="宋体" w:cs="Times New Roman"/>
                <w:bCs/>
                <w:sz w:val="21"/>
                <w:szCs w:val="21"/>
                <w:lang w:val="en-US" w:eastAsia="zh-CN"/>
              </w:rPr>
            </w:pPr>
          </w:p>
        </w:tc>
        <w:tc>
          <w:tcPr>
            <w:tcW w:w="0" w:type="auto"/>
            <w:shd w:val="clear" w:color="auto" w:fill="auto"/>
            <w:noWrap w:val="0"/>
            <w:vAlign w:val="center"/>
          </w:tcPr>
          <w:p w14:paraId="760A84D4">
            <w:pPr>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rPr>
              <w:t>20（无量纲）</w:t>
            </w:r>
          </w:p>
        </w:tc>
        <w:tc>
          <w:tcPr>
            <w:tcW w:w="0" w:type="auto"/>
            <w:vMerge w:val="continue"/>
            <w:shd w:val="clear" w:color="auto" w:fill="auto"/>
            <w:noWrap w:val="0"/>
            <w:vAlign w:val="center"/>
          </w:tcPr>
          <w:p w14:paraId="4FB45D8A">
            <w:pPr>
              <w:snapToGrid w:val="0"/>
              <w:jc w:val="center"/>
              <w:rPr>
                <w:rFonts w:hint="eastAsia"/>
                <w:bCs/>
                <w:sz w:val="21"/>
                <w:szCs w:val="21"/>
                <w:lang w:val="en-US" w:eastAsia="zh-CN"/>
              </w:rPr>
            </w:pPr>
          </w:p>
        </w:tc>
      </w:tr>
    </w:tbl>
    <w:p w14:paraId="3C8E3E91">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snapToGrid w:val="0"/>
          <w:kern w:val="0"/>
          <w:sz w:val="24"/>
          <w:szCs w:val="24"/>
        </w:rPr>
      </w:pPr>
      <w:r>
        <w:rPr>
          <w:b/>
          <w:bCs/>
          <w:snapToGrid w:val="0"/>
          <w:kern w:val="0"/>
          <w:sz w:val="24"/>
          <w:szCs w:val="24"/>
        </w:rPr>
        <w:t>表</w:t>
      </w:r>
      <w:r>
        <w:rPr>
          <w:rFonts w:hint="eastAsia"/>
          <w:b/>
          <w:bCs/>
          <w:snapToGrid w:val="0"/>
          <w:kern w:val="0"/>
          <w:sz w:val="24"/>
          <w:szCs w:val="24"/>
          <w:lang w:val="en-US" w:eastAsia="zh-CN"/>
        </w:rPr>
        <w:t>1-6</w:t>
      </w:r>
      <w:r>
        <w:rPr>
          <w:rFonts w:hint="eastAsia"/>
          <w:b/>
          <w:bCs/>
          <w:snapToGrid w:val="0"/>
          <w:kern w:val="0"/>
          <w:sz w:val="24"/>
          <w:szCs w:val="24"/>
        </w:rPr>
        <w:t xml:space="preserve"> 生产车间外非甲烷总烃</w:t>
      </w:r>
      <w:r>
        <w:rPr>
          <w:b/>
          <w:bCs/>
          <w:snapToGrid w:val="0"/>
          <w:kern w:val="0"/>
          <w:sz w:val="24"/>
          <w:szCs w:val="24"/>
        </w:rPr>
        <w:t>无组织排放限值</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290"/>
        <w:gridCol w:w="2299"/>
        <w:gridCol w:w="1386"/>
        <w:gridCol w:w="2391"/>
      </w:tblGrid>
      <w:tr w14:paraId="4C663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04" w:type="dxa"/>
            <w:noWrap w:val="0"/>
            <w:vAlign w:val="center"/>
          </w:tcPr>
          <w:p w14:paraId="2FF1E1F0">
            <w:pPr>
              <w:snapToGrid w:val="0"/>
              <w:jc w:val="center"/>
              <w:rPr>
                <w:b/>
                <w:sz w:val="21"/>
                <w:szCs w:val="21"/>
              </w:rPr>
            </w:pPr>
            <w:r>
              <w:rPr>
                <w:b/>
                <w:sz w:val="21"/>
                <w:szCs w:val="21"/>
              </w:rPr>
              <w:t>污染物</w:t>
            </w:r>
          </w:p>
          <w:p w14:paraId="5C100EB0">
            <w:pPr>
              <w:snapToGrid w:val="0"/>
              <w:jc w:val="center"/>
              <w:rPr>
                <w:b/>
                <w:sz w:val="21"/>
                <w:szCs w:val="21"/>
              </w:rPr>
            </w:pPr>
            <w:r>
              <w:rPr>
                <w:b/>
                <w:sz w:val="21"/>
                <w:szCs w:val="21"/>
              </w:rPr>
              <w:t>项目</w:t>
            </w:r>
          </w:p>
        </w:tc>
        <w:tc>
          <w:tcPr>
            <w:tcW w:w="1238" w:type="dxa"/>
            <w:noWrap w:val="0"/>
            <w:vAlign w:val="center"/>
          </w:tcPr>
          <w:p w14:paraId="49677011">
            <w:pPr>
              <w:snapToGrid w:val="0"/>
              <w:jc w:val="center"/>
              <w:rPr>
                <w:b/>
                <w:sz w:val="21"/>
                <w:szCs w:val="21"/>
              </w:rPr>
            </w:pPr>
            <w:r>
              <w:rPr>
                <w:b/>
                <w:sz w:val="21"/>
                <w:szCs w:val="21"/>
              </w:rPr>
              <w:t>排放限值（mg/m</w:t>
            </w:r>
            <w:r>
              <w:rPr>
                <w:b/>
                <w:sz w:val="21"/>
                <w:szCs w:val="21"/>
                <w:vertAlign w:val="superscript"/>
              </w:rPr>
              <w:t>3</w:t>
            </w:r>
            <w:r>
              <w:rPr>
                <w:b/>
                <w:sz w:val="21"/>
                <w:szCs w:val="21"/>
              </w:rPr>
              <w:t>）</w:t>
            </w:r>
          </w:p>
        </w:tc>
        <w:tc>
          <w:tcPr>
            <w:tcW w:w="2207" w:type="dxa"/>
            <w:noWrap w:val="0"/>
            <w:vAlign w:val="center"/>
          </w:tcPr>
          <w:p w14:paraId="4240430B">
            <w:pPr>
              <w:snapToGrid w:val="0"/>
              <w:jc w:val="center"/>
              <w:rPr>
                <w:b/>
                <w:sz w:val="21"/>
                <w:szCs w:val="21"/>
              </w:rPr>
            </w:pPr>
            <w:r>
              <w:rPr>
                <w:b/>
                <w:sz w:val="21"/>
                <w:szCs w:val="21"/>
              </w:rPr>
              <w:t>限值含义</w:t>
            </w:r>
          </w:p>
        </w:tc>
        <w:tc>
          <w:tcPr>
            <w:tcW w:w="1330" w:type="dxa"/>
            <w:noWrap w:val="0"/>
            <w:vAlign w:val="center"/>
          </w:tcPr>
          <w:p w14:paraId="588009E2">
            <w:pPr>
              <w:snapToGrid w:val="0"/>
              <w:jc w:val="center"/>
              <w:rPr>
                <w:b/>
                <w:sz w:val="21"/>
                <w:szCs w:val="21"/>
              </w:rPr>
            </w:pPr>
            <w:r>
              <w:rPr>
                <w:b/>
                <w:sz w:val="21"/>
                <w:szCs w:val="21"/>
              </w:rPr>
              <w:t>无组织排放监控位置</w:t>
            </w:r>
          </w:p>
        </w:tc>
        <w:tc>
          <w:tcPr>
            <w:tcW w:w="2295" w:type="dxa"/>
            <w:noWrap w:val="0"/>
            <w:vAlign w:val="center"/>
          </w:tcPr>
          <w:p w14:paraId="3EE34742">
            <w:pPr>
              <w:snapToGrid w:val="0"/>
              <w:jc w:val="center"/>
              <w:rPr>
                <w:b/>
                <w:sz w:val="21"/>
                <w:szCs w:val="21"/>
              </w:rPr>
            </w:pPr>
            <w:r>
              <w:rPr>
                <w:b/>
                <w:sz w:val="21"/>
                <w:szCs w:val="21"/>
              </w:rPr>
              <w:t>标准来源</w:t>
            </w:r>
          </w:p>
        </w:tc>
      </w:tr>
      <w:tr w14:paraId="44EF0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04" w:type="dxa"/>
            <w:vMerge w:val="restart"/>
            <w:noWrap w:val="0"/>
            <w:vAlign w:val="center"/>
          </w:tcPr>
          <w:p w14:paraId="2A9B136E">
            <w:pPr>
              <w:snapToGrid w:val="0"/>
              <w:jc w:val="center"/>
              <w:rPr>
                <w:bCs/>
                <w:sz w:val="21"/>
                <w:szCs w:val="21"/>
              </w:rPr>
            </w:pPr>
            <w:r>
              <w:rPr>
                <w:bCs/>
                <w:sz w:val="21"/>
                <w:szCs w:val="21"/>
              </w:rPr>
              <w:t>非甲烷总烃</w:t>
            </w:r>
          </w:p>
        </w:tc>
        <w:tc>
          <w:tcPr>
            <w:tcW w:w="1238" w:type="dxa"/>
            <w:noWrap w:val="0"/>
            <w:vAlign w:val="center"/>
          </w:tcPr>
          <w:p w14:paraId="09A3FCD1">
            <w:pPr>
              <w:snapToGrid w:val="0"/>
              <w:jc w:val="center"/>
              <w:rPr>
                <w:bCs/>
                <w:sz w:val="21"/>
                <w:szCs w:val="21"/>
              </w:rPr>
            </w:pPr>
            <w:r>
              <w:rPr>
                <w:bCs/>
                <w:sz w:val="21"/>
                <w:szCs w:val="21"/>
              </w:rPr>
              <w:t>6</w:t>
            </w:r>
          </w:p>
        </w:tc>
        <w:tc>
          <w:tcPr>
            <w:tcW w:w="2207" w:type="dxa"/>
            <w:noWrap w:val="0"/>
            <w:vAlign w:val="center"/>
          </w:tcPr>
          <w:p w14:paraId="52888759">
            <w:pPr>
              <w:snapToGrid w:val="0"/>
              <w:jc w:val="center"/>
              <w:rPr>
                <w:bCs/>
                <w:sz w:val="21"/>
                <w:szCs w:val="21"/>
              </w:rPr>
            </w:pPr>
            <w:r>
              <w:rPr>
                <w:bCs/>
                <w:sz w:val="21"/>
                <w:szCs w:val="21"/>
              </w:rPr>
              <w:t>监控点处1h平均浓度值</w:t>
            </w:r>
          </w:p>
        </w:tc>
        <w:tc>
          <w:tcPr>
            <w:tcW w:w="1330" w:type="dxa"/>
            <w:vMerge w:val="restart"/>
            <w:noWrap w:val="0"/>
            <w:vAlign w:val="center"/>
          </w:tcPr>
          <w:p w14:paraId="1D332126">
            <w:pPr>
              <w:snapToGrid w:val="0"/>
              <w:jc w:val="center"/>
              <w:rPr>
                <w:bCs/>
                <w:sz w:val="21"/>
                <w:szCs w:val="21"/>
              </w:rPr>
            </w:pPr>
            <w:r>
              <w:rPr>
                <w:bCs/>
                <w:sz w:val="21"/>
                <w:szCs w:val="21"/>
              </w:rPr>
              <w:t>在厂房外设置监控点</w:t>
            </w:r>
          </w:p>
        </w:tc>
        <w:tc>
          <w:tcPr>
            <w:tcW w:w="2295" w:type="dxa"/>
            <w:vMerge w:val="restart"/>
            <w:noWrap w:val="0"/>
            <w:vAlign w:val="center"/>
          </w:tcPr>
          <w:p w14:paraId="567FDE38">
            <w:pPr>
              <w:snapToGrid w:val="0"/>
              <w:jc w:val="center"/>
              <w:rPr>
                <w:bCs/>
                <w:sz w:val="21"/>
                <w:szCs w:val="21"/>
              </w:rPr>
            </w:pPr>
            <w:r>
              <w:rPr>
                <w:bCs/>
                <w:sz w:val="21"/>
                <w:szCs w:val="21"/>
              </w:rPr>
              <w:t>《大气污染物综合排放标</w:t>
            </w:r>
            <w:r>
              <w:rPr>
                <w:rFonts w:hint="eastAsia"/>
                <w:bCs/>
                <w:sz w:val="21"/>
                <w:szCs w:val="21"/>
              </w:rPr>
              <w:t>准》</w:t>
            </w:r>
            <w:r>
              <w:rPr>
                <w:bCs/>
                <w:sz w:val="21"/>
                <w:szCs w:val="21"/>
              </w:rPr>
              <w:t>（DB32/4041</w:t>
            </w:r>
            <w:r>
              <w:rPr>
                <w:rFonts w:hint="eastAsia"/>
                <w:bCs/>
                <w:sz w:val="21"/>
                <w:szCs w:val="21"/>
                <w:lang w:val="en-US" w:eastAsia="zh-CN"/>
              </w:rPr>
              <w:t>-</w:t>
            </w:r>
            <w:r>
              <w:rPr>
                <w:bCs/>
                <w:sz w:val="21"/>
                <w:szCs w:val="21"/>
              </w:rPr>
              <w:t>2021）</w:t>
            </w:r>
          </w:p>
        </w:tc>
      </w:tr>
      <w:tr w14:paraId="7E921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904" w:type="dxa"/>
            <w:vMerge w:val="continue"/>
            <w:noWrap w:val="0"/>
            <w:vAlign w:val="center"/>
          </w:tcPr>
          <w:p w14:paraId="2699A514">
            <w:pPr>
              <w:jc w:val="center"/>
              <w:rPr>
                <w:snapToGrid w:val="0"/>
                <w:sz w:val="21"/>
                <w:szCs w:val="21"/>
              </w:rPr>
            </w:pPr>
          </w:p>
        </w:tc>
        <w:tc>
          <w:tcPr>
            <w:tcW w:w="1238" w:type="dxa"/>
            <w:noWrap w:val="0"/>
            <w:vAlign w:val="center"/>
          </w:tcPr>
          <w:p w14:paraId="7F0042AE">
            <w:pPr>
              <w:snapToGrid w:val="0"/>
              <w:jc w:val="center"/>
              <w:rPr>
                <w:bCs/>
                <w:sz w:val="21"/>
                <w:szCs w:val="21"/>
              </w:rPr>
            </w:pPr>
            <w:r>
              <w:rPr>
                <w:bCs/>
                <w:sz w:val="21"/>
                <w:szCs w:val="21"/>
              </w:rPr>
              <w:t>20</w:t>
            </w:r>
          </w:p>
        </w:tc>
        <w:tc>
          <w:tcPr>
            <w:tcW w:w="2207" w:type="dxa"/>
            <w:noWrap w:val="0"/>
            <w:vAlign w:val="center"/>
          </w:tcPr>
          <w:p w14:paraId="5F1A74C8">
            <w:pPr>
              <w:snapToGrid w:val="0"/>
              <w:jc w:val="center"/>
              <w:rPr>
                <w:bCs/>
                <w:sz w:val="21"/>
                <w:szCs w:val="21"/>
              </w:rPr>
            </w:pPr>
            <w:r>
              <w:rPr>
                <w:bCs/>
                <w:sz w:val="21"/>
                <w:szCs w:val="21"/>
              </w:rPr>
              <w:t>监控点处任意一次浓度值</w:t>
            </w:r>
          </w:p>
        </w:tc>
        <w:tc>
          <w:tcPr>
            <w:tcW w:w="1330" w:type="dxa"/>
            <w:vMerge w:val="continue"/>
            <w:noWrap w:val="0"/>
            <w:vAlign w:val="center"/>
          </w:tcPr>
          <w:p w14:paraId="7962F3D4">
            <w:pPr>
              <w:ind w:firstLine="420"/>
              <w:jc w:val="center"/>
              <w:rPr>
                <w:sz w:val="21"/>
                <w:szCs w:val="21"/>
              </w:rPr>
            </w:pPr>
          </w:p>
        </w:tc>
        <w:tc>
          <w:tcPr>
            <w:tcW w:w="2295" w:type="dxa"/>
            <w:vMerge w:val="continue"/>
            <w:noWrap w:val="0"/>
            <w:vAlign w:val="center"/>
          </w:tcPr>
          <w:p w14:paraId="5CE1F003">
            <w:pPr>
              <w:jc w:val="center"/>
              <w:rPr>
                <w:sz w:val="21"/>
                <w:szCs w:val="21"/>
              </w:rPr>
            </w:pPr>
          </w:p>
        </w:tc>
      </w:tr>
    </w:tbl>
    <w:p w14:paraId="42081009">
      <w:pPr>
        <w:pStyle w:val="3"/>
        <w:spacing w:before="0" w:after="0" w:line="460" w:lineRule="exact"/>
        <w:rPr>
          <w:rFonts w:eastAsia="宋体"/>
          <w:color w:val="auto"/>
          <w:kern w:val="0"/>
          <w:szCs w:val="28"/>
        </w:rPr>
      </w:pPr>
      <w:bookmarkStart w:id="28" w:name="_Toc2323"/>
      <w:r>
        <w:rPr>
          <w:rFonts w:hint="eastAsia" w:eastAsia="宋体"/>
          <w:color w:val="auto"/>
          <w:kern w:val="0"/>
          <w:szCs w:val="28"/>
        </w:rPr>
        <w:t>1.</w:t>
      </w:r>
      <w:r>
        <w:rPr>
          <w:rFonts w:hint="eastAsia" w:eastAsia="宋体"/>
          <w:color w:val="auto"/>
          <w:kern w:val="0"/>
          <w:szCs w:val="28"/>
          <w:lang w:val="en-US" w:eastAsia="zh-CN"/>
        </w:rPr>
        <w:t>5</w:t>
      </w:r>
      <w:r>
        <w:rPr>
          <w:rFonts w:hint="eastAsia" w:eastAsia="宋体"/>
          <w:color w:val="auto"/>
          <w:kern w:val="0"/>
          <w:szCs w:val="28"/>
        </w:rPr>
        <w:t>评价工作等级</w:t>
      </w:r>
      <w:bookmarkEnd w:id="26"/>
      <w:bookmarkEnd w:id="28"/>
    </w:p>
    <w:p w14:paraId="6612A0C7">
      <w:pPr>
        <w:pStyle w:val="4"/>
        <w:spacing w:before="0" w:after="0" w:line="460" w:lineRule="exact"/>
        <w:rPr>
          <w:color w:val="auto"/>
          <w:sz w:val="24"/>
          <w:szCs w:val="24"/>
        </w:rPr>
      </w:pPr>
      <w:bookmarkStart w:id="29" w:name="_Toc23429"/>
      <w:r>
        <w:rPr>
          <w:rFonts w:hint="eastAsia"/>
          <w:color w:val="auto"/>
          <w:sz w:val="24"/>
          <w:szCs w:val="24"/>
        </w:rPr>
        <w:t>1</w:t>
      </w:r>
      <w:r>
        <w:rPr>
          <w:color w:val="auto"/>
          <w:sz w:val="24"/>
          <w:szCs w:val="24"/>
        </w:rPr>
        <w:t>.</w:t>
      </w:r>
      <w:r>
        <w:rPr>
          <w:rFonts w:hint="eastAsia"/>
          <w:color w:val="auto"/>
          <w:sz w:val="24"/>
          <w:szCs w:val="24"/>
          <w:lang w:val="en-US" w:eastAsia="zh-CN"/>
        </w:rPr>
        <w:t>5</w:t>
      </w:r>
      <w:r>
        <w:rPr>
          <w:color w:val="auto"/>
          <w:sz w:val="24"/>
          <w:szCs w:val="24"/>
        </w:rPr>
        <w:t>.1</w:t>
      </w:r>
      <w:r>
        <w:rPr>
          <w:rFonts w:hAnsi="宋体"/>
          <w:color w:val="auto"/>
          <w:sz w:val="24"/>
          <w:szCs w:val="24"/>
        </w:rPr>
        <w:t>大气环境影响评价工作等级</w:t>
      </w:r>
      <w:bookmarkEnd w:id="29"/>
    </w:p>
    <w:p w14:paraId="78A32AFB">
      <w:pPr>
        <w:spacing w:line="460" w:lineRule="exact"/>
        <w:ind w:firstLine="480" w:firstLineChars="200"/>
        <w:rPr>
          <w:color w:val="auto"/>
          <w:sz w:val="24"/>
          <w:szCs w:val="24"/>
        </w:rPr>
      </w:pPr>
      <w:r>
        <w:rPr>
          <w:rFonts w:hint="eastAsia"/>
          <w:color w:val="auto"/>
          <w:sz w:val="24"/>
          <w:szCs w:val="24"/>
        </w:rPr>
        <w:t>（1）环境影响识别与评价因子筛选</w:t>
      </w:r>
    </w:p>
    <w:p w14:paraId="67C9B235">
      <w:pPr>
        <w:spacing w:line="460" w:lineRule="exact"/>
        <w:ind w:firstLine="480" w:firstLineChars="200"/>
        <w:rPr>
          <w:color w:val="auto"/>
          <w:sz w:val="24"/>
          <w:szCs w:val="24"/>
        </w:rPr>
      </w:pPr>
      <w:r>
        <w:rPr>
          <w:rFonts w:eastAsiaTheme="minorEastAsia"/>
          <w:color w:val="auto"/>
          <w:sz w:val="24"/>
        </w:rPr>
        <w:t>根据建设项目工程分析结果，分别计算各污染源中各污染物的最大落地浓度占标率Pi及污染物达标准限值10%时所对应的最远距离D10%。</w:t>
      </w:r>
      <w:r>
        <w:rPr>
          <w:rFonts w:hint="eastAsia" w:eastAsiaTheme="minorEastAsia"/>
          <w:color w:val="auto"/>
          <w:sz w:val="24"/>
        </w:rPr>
        <w:t>根据</w:t>
      </w:r>
      <w:r>
        <w:rPr>
          <w:rFonts w:eastAsiaTheme="minorEastAsia"/>
          <w:color w:val="auto"/>
          <w:sz w:val="24"/>
        </w:rPr>
        <w:t>《环境影响评价技术导则大气环境》（HJ2.2-2018）中的规定，经估算模式计算可知各气态污染物的最大地面浓度，《环境影响评价技术导则 大气环境》（HJ2.2-2018）中最大地面浓度占标率Pi 计算公式为：</w:t>
      </w:r>
    </w:p>
    <w:p w14:paraId="2BC0C722">
      <w:pPr>
        <w:spacing w:line="460" w:lineRule="exact"/>
        <w:ind w:firstLine="3676" w:firstLineChars="1532"/>
        <w:rPr>
          <w:color w:val="auto"/>
          <w:sz w:val="24"/>
          <w:szCs w:val="24"/>
        </w:rPr>
      </w:pPr>
      <w:r>
        <w:rPr>
          <w:color w:val="auto"/>
          <w:sz w:val="24"/>
          <w:szCs w:val="24"/>
        </w:rPr>
        <w:t>P</w:t>
      </w:r>
      <w:r>
        <w:rPr>
          <w:color w:val="auto"/>
          <w:sz w:val="24"/>
          <w:szCs w:val="24"/>
          <w:vertAlign w:val="subscript"/>
        </w:rPr>
        <w:t>i</w:t>
      </w:r>
      <w:r>
        <w:rPr>
          <w:color w:val="auto"/>
          <w:sz w:val="24"/>
          <w:szCs w:val="24"/>
        </w:rPr>
        <w:t>=C</w:t>
      </w:r>
      <w:r>
        <w:rPr>
          <w:color w:val="auto"/>
          <w:sz w:val="24"/>
          <w:szCs w:val="24"/>
          <w:vertAlign w:val="subscript"/>
        </w:rPr>
        <w:t>I</w:t>
      </w:r>
      <w:r>
        <w:rPr>
          <w:color w:val="auto"/>
          <w:sz w:val="24"/>
          <w:szCs w:val="24"/>
        </w:rPr>
        <w:t>/C</w:t>
      </w:r>
      <w:r>
        <w:rPr>
          <w:color w:val="auto"/>
          <w:sz w:val="24"/>
          <w:szCs w:val="24"/>
          <w:vertAlign w:val="subscript"/>
        </w:rPr>
        <w:t>0i</w:t>
      </w:r>
      <w:r>
        <w:rPr>
          <w:color w:val="auto"/>
          <w:sz w:val="24"/>
          <w:szCs w:val="24"/>
        </w:rPr>
        <w:t xml:space="preserve">×100%       </w:t>
      </w:r>
    </w:p>
    <w:p w14:paraId="17424968">
      <w:pPr>
        <w:spacing w:line="460" w:lineRule="exact"/>
        <w:ind w:firstLine="840" w:firstLineChars="350"/>
        <w:rPr>
          <w:color w:val="auto"/>
          <w:sz w:val="24"/>
          <w:szCs w:val="24"/>
        </w:rPr>
      </w:pPr>
      <w:r>
        <w:rPr>
          <w:rFonts w:hAnsi="宋体"/>
          <w:color w:val="auto"/>
          <w:sz w:val="24"/>
          <w:szCs w:val="24"/>
        </w:rPr>
        <w:t>式中：</w:t>
      </w:r>
      <w:r>
        <w:rPr>
          <w:color w:val="auto"/>
          <w:sz w:val="24"/>
          <w:szCs w:val="24"/>
        </w:rPr>
        <w:t>P</w:t>
      </w:r>
      <w:r>
        <w:rPr>
          <w:color w:val="auto"/>
          <w:sz w:val="24"/>
          <w:szCs w:val="24"/>
          <w:vertAlign w:val="subscript"/>
        </w:rPr>
        <w:t>i</w:t>
      </w:r>
      <w:r>
        <w:rPr>
          <w:color w:val="auto"/>
          <w:sz w:val="24"/>
          <w:szCs w:val="24"/>
        </w:rPr>
        <w:t>—</w:t>
      </w:r>
      <w:r>
        <w:rPr>
          <w:rFonts w:hAnsi="宋体"/>
          <w:color w:val="auto"/>
          <w:sz w:val="24"/>
          <w:szCs w:val="24"/>
        </w:rPr>
        <w:t>第</w:t>
      </w:r>
      <w:r>
        <w:rPr>
          <w:color w:val="auto"/>
          <w:sz w:val="24"/>
          <w:szCs w:val="24"/>
        </w:rPr>
        <w:t>i</w:t>
      </w:r>
      <w:r>
        <w:rPr>
          <w:rFonts w:hAnsi="宋体"/>
          <w:color w:val="auto"/>
          <w:sz w:val="24"/>
          <w:szCs w:val="24"/>
        </w:rPr>
        <w:t>个污染物的最大地面浓度占标率，</w:t>
      </w:r>
      <w:r>
        <w:rPr>
          <w:color w:val="auto"/>
          <w:sz w:val="24"/>
          <w:szCs w:val="24"/>
        </w:rPr>
        <w:t>%</w:t>
      </w:r>
      <w:r>
        <w:rPr>
          <w:rFonts w:hAnsi="宋体"/>
          <w:color w:val="auto"/>
          <w:sz w:val="24"/>
          <w:szCs w:val="24"/>
        </w:rPr>
        <w:t>；</w:t>
      </w:r>
    </w:p>
    <w:p w14:paraId="5ADF2633">
      <w:pPr>
        <w:spacing w:line="460" w:lineRule="exact"/>
        <w:ind w:firstLine="1440" w:firstLineChars="600"/>
        <w:rPr>
          <w:color w:val="auto"/>
          <w:sz w:val="24"/>
          <w:szCs w:val="24"/>
        </w:rPr>
      </w:pPr>
      <w:r>
        <w:rPr>
          <w:color w:val="auto"/>
          <w:sz w:val="24"/>
          <w:szCs w:val="24"/>
        </w:rPr>
        <w:t>C</w:t>
      </w:r>
      <w:r>
        <w:rPr>
          <w:color w:val="auto"/>
          <w:sz w:val="24"/>
          <w:szCs w:val="24"/>
          <w:vertAlign w:val="subscript"/>
        </w:rPr>
        <w:t>I</w:t>
      </w:r>
      <w:r>
        <w:rPr>
          <w:color w:val="auto"/>
          <w:sz w:val="24"/>
          <w:szCs w:val="24"/>
        </w:rPr>
        <w:t>—</w:t>
      </w:r>
      <w:r>
        <w:rPr>
          <w:rFonts w:hAnsi="宋体"/>
          <w:color w:val="auto"/>
          <w:sz w:val="24"/>
          <w:szCs w:val="24"/>
        </w:rPr>
        <w:t>采用估算模式计算出的第</w:t>
      </w:r>
      <w:r>
        <w:rPr>
          <w:color w:val="auto"/>
          <w:sz w:val="24"/>
          <w:szCs w:val="24"/>
        </w:rPr>
        <w:t>i</w:t>
      </w:r>
      <w:r>
        <w:rPr>
          <w:rFonts w:hAnsi="宋体"/>
          <w:color w:val="auto"/>
          <w:sz w:val="24"/>
          <w:szCs w:val="24"/>
        </w:rPr>
        <w:t>个污染物的最大地面浓度，</w:t>
      </w:r>
      <w:r>
        <w:rPr>
          <w:color w:val="auto"/>
          <w:sz w:val="24"/>
          <w:szCs w:val="24"/>
        </w:rPr>
        <w:t>mg/m</w:t>
      </w:r>
      <w:r>
        <w:rPr>
          <w:color w:val="auto"/>
          <w:sz w:val="24"/>
          <w:szCs w:val="24"/>
          <w:vertAlign w:val="superscript"/>
        </w:rPr>
        <w:t>3</w:t>
      </w:r>
      <w:r>
        <w:rPr>
          <w:rFonts w:hAnsi="宋体"/>
          <w:color w:val="auto"/>
          <w:sz w:val="24"/>
          <w:szCs w:val="24"/>
        </w:rPr>
        <w:t>；</w:t>
      </w:r>
    </w:p>
    <w:p w14:paraId="39D15733">
      <w:pPr>
        <w:spacing w:line="460" w:lineRule="exact"/>
        <w:ind w:firstLine="1440" w:firstLineChars="600"/>
        <w:rPr>
          <w:color w:val="auto"/>
          <w:sz w:val="24"/>
          <w:szCs w:val="24"/>
        </w:rPr>
      </w:pPr>
      <w:r>
        <w:rPr>
          <w:color w:val="auto"/>
          <w:sz w:val="24"/>
          <w:szCs w:val="24"/>
        </w:rPr>
        <w:t>C</w:t>
      </w:r>
      <w:r>
        <w:rPr>
          <w:color w:val="auto"/>
          <w:sz w:val="24"/>
          <w:szCs w:val="24"/>
          <w:vertAlign w:val="subscript"/>
        </w:rPr>
        <w:t>0i</w:t>
      </w:r>
      <w:r>
        <w:rPr>
          <w:color w:val="auto"/>
          <w:sz w:val="24"/>
          <w:szCs w:val="24"/>
        </w:rPr>
        <w:t>—</w:t>
      </w:r>
      <w:r>
        <w:rPr>
          <w:rFonts w:hAnsi="宋体"/>
          <w:color w:val="auto"/>
          <w:sz w:val="24"/>
          <w:szCs w:val="24"/>
        </w:rPr>
        <w:t>第</w:t>
      </w:r>
      <w:r>
        <w:rPr>
          <w:color w:val="auto"/>
          <w:sz w:val="24"/>
          <w:szCs w:val="24"/>
        </w:rPr>
        <w:t>i</w:t>
      </w:r>
      <w:r>
        <w:rPr>
          <w:rFonts w:hAnsi="宋体"/>
          <w:color w:val="auto"/>
          <w:sz w:val="24"/>
          <w:szCs w:val="24"/>
        </w:rPr>
        <w:t>个污染物的环境质量标准，</w:t>
      </w:r>
      <w:r>
        <w:rPr>
          <w:color w:val="auto"/>
          <w:sz w:val="24"/>
          <w:szCs w:val="24"/>
        </w:rPr>
        <w:t>mg/m</w:t>
      </w:r>
      <w:r>
        <w:rPr>
          <w:color w:val="auto"/>
          <w:sz w:val="24"/>
          <w:szCs w:val="24"/>
          <w:vertAlign w:val="superscript"/>
        </w:rPr>
        <w:t>3</w:t>
      </w:r>
      <w:r>
        <w:rPr>
          <w:rFonts w:hAnsi="宋体"/>
          <w:color w:val="auto"/>
          <w:sz w:val="24"/>
          <w:szCs w:val="24"/>
        </w:rPr>
        <w:t>。</w:t>
      </w:r>
    </w:p>
    <w:p w14:paraId="3B57F0F4">
      <w:pPr>
        <w:spacing w:line="460" w:lineRule="exact"/>
        <w:ind w:firstLine="480"/>
        <w:rPr>
          <w:color w:val="auto"/>
          <w:sz w:val="24"/>
          <w:szCs w:val="24"/>
        </w:rPr>
      </w:pPr>
      <w:r>
        <w:rPr>
          <w:rFonts w:eastAsiaTheme="minorEastAsia"/>
          <w:color w:val="auto"/>
          <w:sz w:val="24"/>
        </w:rPr>
        <w:t>C</w:t>
      </w:r>
      <w:r>
        <w:rPr>
          <w:rFonts w:eastAsiaTheme="minorEastAsia"/>
          <w:color w:val="auto"/>
          <w:sz w:val="24"/>
          <w:vertAlign w:val="subscript"/>
        </w:rPr>
        <w:t>0i</w:t>
      </w:r>
      <w:r>
        <w:rPr>
          <w:rFonts w:eastAsiaTheme="minorEastAsia"/>
          <w:color w:val="auto"/>
          <w:sz w:val="24"/>
        </w:rPr>
        <w:t>一般选用GB3095 中1h 平均质量浓度的二级浓度限值；对该标准中未包含的污染物，使用导则5.2确定的各评价因子1h平均质量浓度限值。对仅有8h平均质量浓度限值、日平均质量浓度限值或年平均质量浓度限值的，可分别按2倍、3倍、6倍折算为1h平均质量浓度限值。</w:t>
      </w:r>
    </w:p>
    <w:p w14:paraId="13055D0C">
      <w:pPr>
        <w:autoSpaceDE w:val="0"/>
        <w:autoSpaceDN w:val="0"/>
        <w:adjustRightInd w:val="0"/>
        <w:spacing w:line="460" w:lineRule="exact"/>
        <w:ind w:firstLine="480" w:firstLineChars="200"/>
        <w:rPr>
          <w:rFonts w:eastAsiaTheme="minorEastAsia"/>
          <w:color w:val="auto"/>
          <w:sz w:val="24"/>
        </w:rPr>
      </w:pPr>
      <w:r>
        <w:rPr>
          <w:rFonts w:eastAsiaTheme="minorEastAsia"/>
          <w:color w:val="auto"/>
          <w:sz w:val="24"/>
        </w:rPr>
        <w:t>根据导则，采用AERSCREEN估算模型进行计算，估算模型参数见表</w:t>
      </w:r>
      <w:r>
        <w:rPr>
          <w:rFonts w:hint="eastAsia" w:eastAsiaTheme="minorEastAsia"/>
          <w:color w:val="auto"/>
          <w:sz w:val="24"/>
        </w:rPr>
        <w:t>1-</w:t>
      </w:r>
      <w:r>
        <w:rPr>
          <w:rFonts w:hint="eastAsia" w:eastAsiaTheme="minorEastAsia"/>
          <w:color w:val="auto"/>
          <w:sz w:val="24"/>
          <w:lang w:val="en-US" w:eastAsia="zh-CN"/>
        </w:rPr>
        <w:t>7</w:t>
      </w:r>
      <w:r>
        <w:rPr>
          <w:rFonts w:eastAsiaTheme="minorEastAsia"/>
          <w:color w:val="auto"/>
          <w:sz w:val="24"/>
        </w:rPr>
        <w:t>。预测结果统计见表</w:t>
      </w:r>
      <w:r>
        <w:rPr>
          <w:rFonts w:hint="eastAsia" w:eastAsiaTheme="minorEastAsia"/>
          <w:color w:val="auto"/>
          <w:sz w:val="24"/>
        </w:rPr>
        <w:t>1</w:t>
      </w:r>
      <w:r>
        <w:rPr>
          <w:rFonts w:hint="eastAsia" w:eastAsiaTheme="minorEastAsia"/>
          <w:color w:val="auto"/>
          <w:sz w:val="24"/>
          <w:lang w:val="en-US" w:eastAsia="zh-CN"/>
        </w:rPr>
        <w:t>-9</w:t>
      </w:r>
      <w:r>
        <w:rPr>
          <w:rFonts w:eastAsiaTheme="minorEastAsia"/>
          <w:color w:val="auto"/>
          <w:sz w:val="24"/>
        </w:rPr>
        <w:t>，详细预测见第</w:t>
      </w:r>
      <w:r>
        <w:rPr>
          <w:rFonts w:hint="eastAsia" w:eastAsiaTheme="minorEastAsia"/>
          <w:color w:val="auto"/>
          <w:sz w:val="24"/>
        </w:rPr>
        <w:t>4.4</w:t>
      </w:r>
      <w:r>
        <w:rPr>
          <w:rFonts w:eastAsiaTheme="minorEastAsia"/>
          <w:color w:val="auto"/>
          <w:sz w:val="24"/>
        </w:rPr>
        <w:t>章节。</w:t>
      </w:r>
    </w:p>
    <w:p w14:paraId="6C558C4C">
      <w:pPr>
        <w:spacing w:line="460" w:lineRule="exact"/>
        <w:jc w:val="center"/>
        <w:rPr>
          <w:color w:val="auto"/>
          <w:sz w:val="24"/>
          <w:szCs w:val="24"/>
        </w:rPr>
      </w:pPr>
      <w:r>
        <w:rPr>
          <w:rFonts w:hint="eastAsia"/>
          <w:b/>
          <w:color w:val="auto"/>
          <w:sz w:val="24"/>
          <w:szCs w:val="24"/>
        </w:rPr>
        <w:t>表1</w:t>
      </w:r>
      <w:r>
        <w:rPr>
          <w:b/>
          <w:color w:val="auto"/>
          <w:sz w:val="24"/>
          <w:szCs w:val="24"/>
        </w:rPr>
        <w:t>-</w:t>
      </w:r>
      <w:r>
        <w:rPr>
          <w:rFonts w:hint="eastAsia"/>
          <w:b/>
          <w:color w:val="auto"/>
          <w:sz w:val="24"/>
          <w:szCs w:val="24"/>
          <w:lang w:val="en-US" w:eastAsia="zh-CN"/>
        </w:rPr>
        <w:t>7</w:t>
      </w:r>
      <w:r>
        <w:rPr>
          <w:b/>
          <w:color w:val="auto"/>
          <w:sz w:val="24"/>
          <w:szCs w:val="24"/>
        </w:rPr>
        <w:t xml:space="preserve">  </w:t>
      </w:r>
      <w:r>
        <w:rPr>
          <w:rFonts w:hint="eastAsia"/>
          <w:b/>
          <w:color w:val="auto"/>
          <w:sz w:val="24"/>
          <w:szCs w:val="24"/>
        </w:rPr>
        <w:t>本项目估算模型参数一览表</w:t>
      </w:r>
    </w:p>
    <w:tbl>
      <w:tblPr>
        <w:tblStyle w:val="3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2560"/>
        <w:gridCol w:w="3524"/>
      </w:tblGrid>
      <w:tr w14:paraId="081DD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8" w:type="pct"/>
            <w:gridSpan w:val="2"/>
            <w:tcBorders>
              <w:tl2br w:val="nil"/>
              <w:tr2bl w:val="nil"/>
            </w:tcBorders>
            <w:vAlign w:val="center"/>
          </w:tcPr>
          <w:p w14:paraId="1FF45F0B">
            <w:pPr>
              <w:pStyle w:val="146"/>
              <w:rPr>
                <w:color w:val="auto"/>
              </w:rPr>
            </w:pPr>
            <w:r>
              <w:rPr>
                <w:color w:val="auto"/>
              </w:rPr>
              <w:t>参数</w:t>
            </w:r>
          </w:p>
        </w:tc>
        <w:tc>
          <w:tcPr>
            <w:tcW w:w="2121" w:type="pct"/>
            <w:tcBorders>
              <w:tl2br w:val="nil"/>
              <w:tr2bl w:val="nil"/>
            </w:tcBorders>
            <w:vAlign w:val="center"/>
          </w:tcPr>
          <w:p w14:paraId="042D0518">
            <w:pPr>
              <w:pStyle w:val="146"/>
              <w:rPr>
                <w:color w:val="auto"/>
              </w:rPr>
            </w:pPr>
            <w:r>
              <w:rPr>
                <w:color w:val="auto"/>
              </w:rPr>
              <w:t>取值</w:t>
            </w:r>
          </w:p>
        </w:tc>
      </w:tr>
      <w:tr w14:paraId="14321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Merge w:val="restart"/>
            <w:tcBorders>
              <w:tl2br w:val="nil"/>
              <w:tr2bl w:val="nil"/>
            </w:tcBorders>
            <w:vAlign w:val="center"/>
          </w:tcPr>
          <w:p w14:paraId="4CC2F40F">
            <w:pPr>
              <w:pStyle w:val="146"/>
              <w:rPr>
                <w:color w:val="auto"/>
              </w:rPr>
            </w:pPr>
            <w:r>
              <w:rPr>
                <w:color w:val="auto"/>
              </w:rPr>
              <w:t>城市农村/选项</w:t>
            </w:r>
          </w:p>
        </w:tc>
        <w:tc>
          <w:tcPr>
            <w:tcW w:w="1541" w:type="pct"/>
            <w:tcBorders>
              <w:tl2br w:val="nil"/>
              <w:tr2bl w:val="nil"/>
            </w:tcBorders>
            <w:vAlign w:val="center"/>
          </w:tcPr>
          <w:p w14:paraId="59C26663">
            <w:pPr>
              <w:pStyle w:val="146"/>
              <w:rPr>
                <w:color w:val="auto"/>
              </w:rPr>
            </w:pPr>
            <w:r>
              <w:rPr>
                <w:color w:val="auto"/>
              </w:rPr>
              <w:t>城市/农村</w:t>
            </w:r>
          </w:p>
        </w:tc>
        <w:tc>
          <w:tcPr>
            <w:tcW w:w="2121" w:type="pct"/>
            <w:tcBorders>
              <w:tl2br w:val="nil"/>
              <w:tr2bl w:val="nil"/>
            </w:tcBorders>
            <w:vAlign w:val="center"/>
          </w:tcPr>
          <w:p w14:paraId="2ED4C54B">
            <w:pPr>
              <w:pStyle w:val="146"/>
              <w:rPr>
                <w:rFonts w:hint="default" w:eastAsiaTheme="minorEastAsia"/>
                <w:color w:val="auto"/>
                <w:lang w:val="en-US" w:eastAsia="zh-CN"/>
              </w:rPr>
            </w:pPr>
            <w:r>
              <w:rPr>
                <w:color w:val="auto"/>
              </w:rPr>
              <w:t>农村</w:t>
            </w:r>
            <w:r>
              <w:rPr>
                <w:rFonts w:hint="eastAsia"/>
                <w:color w:val="FF0000"/>
                <w:vertAlign w:val="superscript"/>
                <w:lang w:val="en-US" w:eastAsia="zh-CN"/>
              </w:rPr>
              <w:t>[1]</w:t>
            </w:r>
          </w:p>
        </w:tc>
      </w:tr>
      <w:tr w14:paraId="2DE83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Merge w:val="continue"/>
            <w:tcBorders>
              <w:tl2br w:val="nil"/>
              <w:tr2bl w:val="nil"/>
            </w:tcBorders>
            <w:vAlign w:val="center"/>
          </w:tcPr>
          <w:p w14:paraId="0402CA4B">
            <w:pPr>
              <w:pStyle w:val="146"/>
              <w:rPr>
                <w:color w:val="auto"/>
              </w:rPr>
            </w:pPr>
          </w:p>
        </w:tc>
        <w:tc>
          <w:tcPr>
            <w:tcW w:w="1541" w:type="pct"/>
            <w:tcBorders>
              <w:tl2br w:val="nil"/>
              <w:tr2bl w:val="nil"/>
            </w:tcBorders>
            <w:vAlign w:val="center"/>
          </w:tcPr>
          <w:p w14:paraId="269A7400">
            <w:pPr>
              <w:pStyle w:val="146"/>
              <w:rPr>
                <w:color w:val="auto"/>
              </w:rPr>
            </w:pPr>
            <w:r>
              <w:rPr>
                <w:color w:val="auto"/>
              </w:rPr>
              <w:t>人口数(城市人口数)</w:t>
            </w:r>
          </w:p>
        </w:tc>
        <w:tc>
          <w:tcPr>
            <w:tcW w:w="2121" w:type="pct"/>
            <w:tcBorders>
              <w:tl2br w:val="nil"/>
              <w:tr2bl w:val="nil"/>
            </w:tcBorders>
            <w:vAlign w:val="center"/>
          </w:tcPr>
          <w:p w14:paraId="335B4619">
            <w:pPr>
              <w:pStyle w:val="146"/>
              <w:rPr>
                <w:rFonts w:hint="eastAsia" w:eastAsiaTheme="minorEastAsia"/>
                <w:color w:val="auto"/>
                <w:lang w:eastAsia="zh-CN"/>
              </w:rPr>
            </w:pPr>
            <w:r>
              <w:rPr>
                <w:rFonts w:hint="eastAsia"/>
                <w:color w:val="auto"/>
                <w:lang w:val="en-US" w:eastAsia="zh-CN"/>
              </w:rPr>
              <w:t>/</w:t>
            </w:r>
          </w:p>
        </w:tc>
      </w:tr>
      <w:tr w14:paraId="0F6A7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8" w:type="pct"/>
            <w:gridSpan w:val="2"/>
            <w:tcBorders>
              <w:tl2br w:val="nil"/>
              <w:tr2bl w:val="nil"/>
            </w:tcBorders>
            <w:vAlign w:val="center"/>
          </w:tcPr>
          <w:p w14:paraId="4F9C5E4F">
            <w:pPr>
              <w:pStyle w:val="146"/>
              <w:rPr>
                <w:color w:val="auto"/>
              </w:rPr>
            </w:pPr>
            <w:r>
              <w:rPr>
                <w:color w:val="auto"/>
              </w:rPr>
              <w:t>最高环境温度</w:t>
            </w:r>
          </w:p>
        </w:tc>
        <w:tc>
          <w:tcPr>
            <w:tcW w:w="3921" w:type="dxa"/>
            <w:tcBorders>
              <w:tl2br w:val="nil"/>
              <w:tr2bl w:val="nil"/>
            </w:tcBorders>
            <w:vAlign w:val="center"/>
          </w:tcPr>
          <w:p w14:paraId="6CDBEF1B">
            <w:pPr>
              <w:jc w:val="center"/>
              <w:rPr>
                <w:rFonts w:hint="default" w:eastAsia="宋体"/>
                <w:color w:val="auto"/>
                <w:lang w:val="en-US" w:eastAsia="zh-CN"/>
              </w:rPr>
            </w:pPr>
            <w:r>
              <w:rPr>
                <w:rFonts w:hint="default" w:ascii="Times New Roman" w:hAnsi="Times New Roman" w:eastAsia="宋体" w:cs="Times New Roman"/>
                <w:b w:val="0"/>
                <w:sz w:val="21"/>
                <w:szCs w:val="21"/>
              </w:rPr>
              <w:t>39.5</w:t>
            </w:r>
            <w:r>
              <w:rPr>
                <w:rFonts w:hint="default" w:ascii="Times New Roman" w:hAnsi="Times New Roman" w:cs="Times New Roman"/>
                <w:b w:val="0"/>
                <w:sz w:val="21"/>
                <w:szCs w:val="21"/>
                <w:lang w:val="en-US" w:eastAsia="zh-CN"/>
              </w:rPr>
              <w:t>℃</w:t>
            </w:r>
            <w:r>
              <w:rPr>
                <w:rFonts w:hint="eastAsia"/>
                <w:color w:val="FF0000"/>
                <w:vertAlign w:val="superscript"/>
                <w:lang w:val="en-US" w:eastAsia="zh-CN"/>
              </w:rPr>
              <w:t>[2]</w:t>
            </w:r>
          </w:p>
        </w:tc>
      </w:tr>
      <w:tr w14:paraId="5862A7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8" w:type="pct"/>
            <w:gridSpan w:val="2"/>
            <w:tcBorders>
              <w:tl2br w:val="nil"/>
              <w:tr2bl w:val="nil"/>
            </w:tcBorders>
            <w:vAlign w:val="center"/>
          </w:tcPr>
          <w:p w14:paraId="6C732C07">
            <w:pPr>
              <w:pStyle w:val="146"/>
              <w:rPr>
                <w:color w:val="auto"/>
              </w:rPr>
            </w:pPr>
            <w:r>
              <w:rPr>
                <w:color w:val="auto"/>
              </w:rPr>
              <w:t>最低环境温度</w:t>
            </w:r>
          </w:p>
        </w:tc>
        <w:tc>
          <w:tcPr>
            <w:tcW w:w="3921" w:type="dxa"/>
            <w:tcBorders>
              <w:tl2br w:val="nil"/>
              <w:tr2bl w:val="nil"/>
            </w:tcBorders>
            <w:vAlign w:val="center"/>
          </w:tcPr>
          <w:p w14:paraId="5933A01E">
            <w:pPr>
              <w:jc w:val="center"/>
              <w:rPr>
                <w:color w:val="auto"/>
              </w:rPr>
            </w:pPr>
            <w:r>
              <w:rPr>
                <w:rFonts w:hint="default" w:ascii="Times New Roman" w:hAnsi="Times New Roman" w:eastAsia="宋体" w:cs="Times New Roman"/>
                <w:b w:val="0"/>
                <w:sz w:val="21"/>
                <w:szCs w:val="21"/>
              </w:rPr>
              <w:t>-13.4</w:t>
            </w:r>
            <w:r>
              <w:rPr>
                <w:rFonts w:hint="default" w:ascii="Times New Roman" w:hAnsi="Times New Roman" w:cs="Times New Roman"/>
                <w:b w:val="0"/>
                <w:sz w:val="21"/>
                <w:szCs w:val="21"/>
                <w:lang w:val="en-US" w:eastAsia="zh-CN"/>
              </w:rPr>
              <w:t>℃</w:t>
            </w:r>
          </w:p>
        </w:tc>
      </w:tr>
      <w:tr w14:paraId="2D07A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8" w:type="pct"/>
            <w:gridSpan w:val="2"/>
            <w:tcBorders>
              <w:tl2br w:val="nil"/>
              <w:tr2bl w:val="nil"/>
            </w:tcBorders>
            <w:vAlign w:val="center"/>
          </w:tcPr>
          <w:p w14:paraId="058CA89C">
            <w:pPr>
              <w:pStyle w:val="146"/>
              <w:rPr>
                <w:color w:val="auto"/>
              </w:rPr>
            </w:pPr>
            <w:r>
              <w:rPr>
                <w:color w:val="auto"/>
              </w:rPr>
              <w:t>土地利用类型</w:t>
            </w:r>
          </w:p>
        </w:tc>
        <w:tc>
          <w:tcPr>
            <w:tcW w:w="3921" w:type="dxa"/>
            <w:tcBorders>
              <w:tl2br w:val="nil"/>
              <w:tr2bl w:val="nil"/>
            </w:tcBorders>
            <w:vAlign w:val="center"/>
          </w:tcPr>
          <w:p w14:paraId="010A4D5B">
            <w:pPr>
              <w:jc w:val="center"/>
              <w:rPr>
                <w:rFonts w:hint="default" w:eastAsia="宋体"/>
                <w:color w:val="auto"/>
                <w:lang w:val="en-US" w:eastAsia="zh-CN"/>
              </w:rPr>
            </w:pPr>
            <w:r>
              <w:rPr>
                <w:rFonts w:hint="eastAsia"/>
                <w:lang w:val="en-US" w:eastAsia="zh-CN"/>
              </w:rPr>
              <w:t>农田</w:t>
            </w:r>
          </w:p>
        </w:tc>
      </w:tr>
      <w:tr w14:paraId="3D14A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8" w:type="pct"/>
            <w:gridSpan w:val="2"/>
            <w:tcBorders>
              <w:tl2br w:val="nil"/>
              <w:tr2bl w:val="nil"/>
            </w:tcBorders>
            <w:vAlign w:val="center"/>
          </w:tcPr>
          <w:p w14:paraId="4B84A66B">
            <w:pPr>
              <w:pStyle w:val="146"/>
              <w:rPr>
                <w:color w:val="auto"/>
              </w:rPr>
            </w:pPr>
            <w:r>
              <w:rPr>
                <w:color w:val="auto"/>
              </w:rPr>
              <w:t>区域湿度条件</w:t>
            </w:r>
          </w:p>
        </w:tc>
        <w:tc>
          <w:tcPr>
            <w:tcW w:w="3921" w:type="dxa"/>
            <w:tcBorders>
              <w:tl2br w:val="nil"/>
              <w:tr2bl w:val="nil"/>
            </w:tcBorders>
            <w:vAlign w:val="center"/>
          </w:tcPr>
          <w:p w14:paraId="6E2DFEA8">
            <w:pPr>
              <w:jc w:val="center"/>
              <w:rPr>
                <w:color w:val="auto"/>
              </w:rPr>
            </w:pPr>
            <w:r>
              <w:rPr>
                <w:rFonts w:hint="default" w:ascii="Times New Roman" w:hAnsi="Times New Roman" w:eastAsia="宋体" w:cs="Times New Roman"/>
                <w:b w:val="0"/>
                <w:sz w:val="21"/>
                <w:szCs w:val="21"/>
              </w:rPr>
              <w:t>潮湿</w:t>
            </w:r>
          </w:p>
        </w:tc>
      </w:tr>
      <w:tr w14:paraId="5A158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Merge w:val="restart"/>
            <w:tcBorders>
              <w:tl2br w:val="nil"/>
              <w:tr2bl w:val="nil"/>
            </w:tcBorders>
            <w:vAlign w:val="center"/>
          </w:tcPr>
          <w:p w14:paraId="4459B758">
            <w:pPr>
              <w:pStyle w:val="146"/>
              <w:rPr>
                <w:color w:val="auto"/>
              </w:rPr>
            </w:pPr>
            <w:r>
              <w:rPr>
                <w:color w:val="auto"/>
              </w:rPr>
              <w:t>是否考虑地形</w:t>
            </w:r>
          </w:p>
        </w:tc>
        <w:tc>
          <w:tcPr>
            <w:tcW w:w="1541" w:type="pct"/>
            <w:tcBorders>
              <w:tl2br w:val="nil"/>
              <w:tr2bl w:val="nil"/>
            </w:tcBorders>
            <w:vAlign w:val="center"/>
          </w:tcPr>
          <w:p w14:paraId="00467C4B">
            <w:pPr>
              <w:pStyle w:val="146"/>
              <w:rPr>
                <w:color w:val="auto"/>
              </w:rPr>
            </w:pPr>
            <w:r>
              <w:rPr>
                <w:color w:val="auto"/>
              </w:rPr>
              <w:t>考虑地形</w:t>
            </w:r>
          </w:p>
        </w:tc>
        <w:tc>
          <w:tcPr>
            <w:tcW w:w="2121" w:type="pct"/>
            <w:tcBorders>
              <w:tl2br w:val="nil"/>
              <w:tr2bl w:val="nil"/>
            </w:tcBorders>
            <w:vAlign w:val="center"/>
          </w:tcPr>
          <w:p w14:paraId="6AA59006">
            <w:pPr>
              <w:pStyle w:val="146"/>
              <w:rPr>
                <w:color w:val="auto"/>
              </w:rPr>
            </w:pPr>
            <w:r>
              <w:rPr>
                <w:color w:val="auto"/>
              </w:rPr>
              <w:t>否</w:t>
            </w:r>
          </w:p>
        </w:tc>
      </w:tr>
      <w:tr w14:paraId="42D61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Merge w:val="continue"/>
            <w:tcBorders>
              <w:tl2br w:val="nil"/>
              <w:tr2bl w:val="nil"/>
            </w:tcBorders>
            <w:vAlign w:val="center"/>
          </w:tcPr>
          <w:p w14:paraId="303E58C3">
            <w:pPr>
              <w:pStyle w:val="146"/>
              <w:rPr>
                <w:color w:val="auto"/>
              </w:rPr>
            </w:pPr>
          </w:p>
        </w:tc>
        <w:tc>
          <w:tcPr>
            <w:tcW w:w="1541" w:type="pct"/>
            <w:tcBorders>
              <w:tl2br w:val="nil"/>
              <w:tr2bl w:val="nil"/>
            </w:tcBorders>
            <w:vAlign w:val="center"/>
          </w:tcPr>
          <w:p w14:paraId="0C632AA9">
            <w:pPr>
              <w:pStyle w:val="146"/>
              <w:rPr>
                <w:color w:val="auto"/>
              </w:rPr>
            </w:pPr>
            <w:r>
              <w:rPr>
                <w:color w:val="auto"/>
              </w:rPr>
              <w:t>地形数据分辨率(m)</w:t>
            </w:r>
          </w:p>
        </w:tc>
        <w:tc>
          <w:tcPr>
            <w:tcW w:w="2121" w:type="pct"/>
            <w:tcBorders>
              <w:tl2br w:val="nil"/>
              <w:tr2bl w:val="nil"/>
            </w:tcBorders>
            <w:vAlign w:val="center"/>
          </w:tcPr>
          <w:p w14:paraId="0BA906AB">
            <w:pPr>
              <w:pStyle w:val="146"/>
              <w:rPr>
                <w:color w:val="auto"/>
              </w:rPr>
            </w:pPr>
            <w:r>
              <w:rPr>
                <w:color w:val="auto"/>
              </w:rPr>
              <w:t>-</w:t>
            </w:r>
          </w:p>
        </w:tc>
      </w:tr>
      <w:tr w14:paraId="6EC31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Merge w:val="restart"/>
            <w:tcBorders>
              <w:tl2br w:val="nil"/>
              <w:tr2bl w:val="nil"/>
            </w:tcBorders>
            <w:vAlign w:val="center"/>
          </w:tcPr>
          <w:p w14:paraId="6A4625C3">
            <w:pPr>
              <w:pStyle w:val="146"/>
              <w:rPr>
                <w:color w:val="auto"/>
              </w:rPr>
            </w:pPr>
            <w:r>
              <w:rPr>
                <w:color w:val="auto"/>
              </w:rPr>
              <w:t>是否考虑海岸线熏烟</w:t>
            </w:r>
          </w:p>
        </w:tc>
        <w:tc>
          <w:tcPr>
            <w:tcW w:w="1541" w:type="pct"/>
            <w:tcBorders>
              <w:tl2br w:val="nil"/>
              <w:tr2bl w:val="nil"/>
            </w:tcBorders>
            <w:vAlign w:val="center"/>
          </w:tcPr>
          <w:p w14:paraId="72BA0B54">
            <w:pPr>
              <w:pStyle w:val="146"/>
              <w:rPr>
                <w:color w:val="auto"/>
              </w:rPr>
            </w:pPr>
            <w:r>
              <w:rPr>
                <w:color w:val="auto"/>
              </w:rPr>
              <w:t>考虑海岸线熏烟</w:t>
            </w:r>
          </w:p>
        </w:tc>
        <w:tc>
          <w:tcPr>
            <w:tcW w:w="2121" w:type="pct"/>
            <w:tcBorders>
              <w:tl2br w:val="nil"/>
              <w:tr2bl w:val="nil"/>
            </w:tcBorders>
            <w:vAlign w:val="center"/>
          </w:tcPr>
          <w:p w14:paraId="42001D49">
            <w:pPr>
              <w:pStyle w:val="146"/>
              <w:rPr>
                <w:rFonts w:hint="default" w:eastAsiaTheme="minorEastAsia"/>
                <w:color w:val="auto"/>
                <w:lang w:val="en-US" w:eastAsia="zh-CN"/>
              </w:rPr>
            </w:pPr>
            <w:r>
              <w:rPr>
                <w:color w:val="auto"/>
              </w:rPr>
              <w:t>否</w:t>
            </w:r>
            <w:r>
              <w:rPr>
                <w:rFonts w:hint="eastAsia"/>
                <w:color w:val="FF0000"/>
                <w:vertAlign w:val="superscript"/>
                <w:lang w:val="en-US" w:eastAsia="zh-CN"/>
              </w:rPr>
              <w:t>[3]</w:t>
            </w:r>
          </w:p>
        </w:tc>
      </w:tr>
      <w:tr w14:paraId="36BFA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Merge w:val="continue"/>
            <w:tcBorders>
              <w:tl2br w:val="nil"/>
              <w:tr2bl w:val="nil"/>
            </w:tcBorders>
            <w:vAlign w:val="center"/>
          </w:tcPr>
          <w:p w14:paraId="1FBF8C71">
            <w:pPr>
              <w:pStyle w:val="146"/>
              <w:rPr>
                <w:color w:val="auto"/>
              </w:rPr>
            </w:pPr>
          </w:p>
        </w:tc>
        <w:tc>
          <w:tcPr>
            <w:tcW w:w="1541" w:type="pct"/>
            <w:tcBorders>
              <w:tl2br w:val="nil"/>
              <w:tr2bl w:val="nil"/>
            </w:tcBorders>
            <w:vAlign w:val="center"/>
          </w:tcPr>
          <w:p w14:paraId="565E4D25">
            <w:pPr>
              <w:pStyle w:val="146"/>
              <w:rPr>
                <w:color w:val="auto"/>
              </w:rPr>
            </w:pPr>
            <w:r>
              <w:rPr>
                <w:color w:val="auto"/>
              </w:rPr>
              <w:t>海岸线距离/km</w:t>
            </w:r>
          </w:p>
        </w:tc>
        <w:tc>
          <w:tcPr>
            <w:tcW w:w="2121" w:type="pct"/>
            <w:tcBorders>
              <w:tl2br w:val="nil"/>
              <w:tr2bl w:val="nil"/>
            </w:tcBorders>
            <w:vAlign w:val="center"/>
          </w:tcPr>
          <w:p w14:paraId="4666C068">
            <w:pPr>
              <w:pStyle w:val="146"/>
              <w:rPr>
                <w:color w:val="auto"/>
              </w:rPr>
            </w:pPr>
            <w:r>
              <w:rPr>
                <w:color w:val="auto"/>
              </w:rPr>
              <w:t>-</w:t>
            </w:r>
          </w:p>
        </w:tc>
      </w:tr>
      <w:tr w14:paraId="48683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Merge w:val="continue"/>
            <w:tcBorders>
              <w:tl2br w:val="nil"/>
              <w:tr2bl w:val="nil"/>
            </w:tcBorders>
            <w:vAlign w:val="center"/>
          </w:tcPr>
          <w:p w14:paraId="322A13B5">
            <w:pPr>
              <w:pStyle w:val="146"/>
              <w:rPr>
                <w:color w:val="auto"/>
              </w:rPr>
            </w:pPr>
          </w:p>
        </w:tc>
        <w:tc>
          <w:tcPr>
            <w:tcW w:w="1541" w:type="pct"/>
            <w:tcBorders>
              <w:tl2br w:val="nil"/>
              <w:tr2bl w:val="nil"/>
            </w:tcBorders>
            <w:vAlign w:val="center"/>
          </w:tcPr>
          <w:p w14:paraId="03E91A38">
            <w:pPr>
              <w:pStyle w:val="146"/>
              <w:rPr>
                <w:color w:val="auto"/>
              </w:rPr>
            </w:pPr>
            <w:r>
              <w:rPr>
                <w:color w:val="auto"/>
              </w:rPr>
              <w:t>海岸线方向/</w:t>
            </w:r>
            <w:r>
              <w:rPr>
                <w:color w:val="auto"/>
                <w:vertAlign w:val="superscript"/>
              </w:rPr>
              <w:t>o</w:t>
            </w:r>
          </w:p>
        </w:tc>
        <w:tc>
          <w:tcPr>
            <w:tcW w:w="2121" w:type="pct"/>
            <w:tcBorders>
              <w:tl2br w:val="nil"/>
              <w:tr2bl w:val="nil"/>
            </w:tcBorders>
            <w:vAlign w:val="center"/>
          </w:tcPr>
          <w:p w14:paraId="23EB1328">
            <w:pPr>
              <w:pStyle w:val="146"/>
              <w:rPr>
                <w:color w:val="auto"/>
              </w:rPr>
            </w:pPr>
            <w:r>
              <w:rPr>
                <w:color w:val="auto"/>
              </w:rPr>
              <w:t>-</w:t>
            </w:r>
          </w:p>
        </w:tc>
      </w:tr>
    </w:tbl>
    <w:p w14:paraId="05DD83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b/>
          <w:color w:val="auto"/>
          <w:sz w:val="21"/>
          <w:szCs w:val="21"/>
          <w:lang w:val="en-US" w:eastAsia="zh-CN"/>
        </w:rPr>
      </w:pPr>
      <w:r>
        <w:rPr>
          <w:rFonts w:hint="eastAsia"/>
          <w:b/>
          <w:color w:val="FF0000"/>
          <w:sz w:val="21"/>
          <w:szCs w:val="21"/>
          <w:lang w:val="en-US" w:eastAsia="zh-CN"/>
        </w:rPr>
        <w:t>注：</w:t>
      </w:r>
      <w:r>
        <w:rPr>
          <w:rFonts w:hint="eastAsia"/>
          <w:b/>
          <w:bCs w:val="0"/>
          <w:color w:val="FF0000"/>
          <w:sz w:val="21"/>
          <w:szCs w:val="21"/>
          <w:lang w:val="en-US" w:eastAsia="zh-CN"/>
        </w:rPr>
        <w:t>[1]</w:t>
      </w:r>
      <w:r>
        <w:rPr>
          <w:rFonts w:hint="eastAsia"/>
          <w:b/>
          <w:bCs w:val="0"/>
          <w:color w:val="FF0000"/>
          <w:lang w:val="en-US" w:eastAsia="zh-CN"/>
        </w:rPr>
        <w:t>项目周边3km半径范围内一半以上面积不属于城市建成区或者规划区；[2]来自近20年的气象数据；[3]周边3km无大型水体（海或湖）</w:t>
      </w:r>
    </w:p>
    <w:p w14:paraId="737370FF">
      <w:pPr>
        <w:spacing w:line="460" w:lineRule="exact"/>
        <w:ind w:left="482"/>
        <w:jc w:val="center"/>
        <w:rPr>
          <w:b/>
          <w:color w:val="auto"/>
          <w:sz w:val="24"/>
          <w:szCs w:val="24"/>
        </w:rPr>
      </w:pPr>
      <w:r>
        <w:rPr>
          <w:b/>
          <w:color w:val="auto"/>
          <w:sz w:val="24"/>
          <w:szCs w:val="24"/>
        </w:rPr>
        <w:t>表</w:t>
      </w:r>
      <w:r>
        <w:rPr>
          <w:rFonts w:hint="eastAsia"/>
          <w:b/>
          <w:color w:val="auto"/>
          <w:sz w:val="24"/>
          <w:szCs w:val="24"/>
        </w:rPr>
        <w:t>1-</w:t>
      </w:r>
      <w:r>
        <w:rPr>
          <w:rFonts w:hint="eastAsia"/>
          <w:b/>
          <w:color w:val="auto"/>
          <w:sz w:val="24"/>
          <w:szCs w:val="24"/>
          <w:lang w:val="en-US" w:eastAsia="zh-CN"/>
        </w:rPr>
        <w:t>8</w:t>
      </w:r>
      <w:r>
        <w:rPr>
          <w:b/>
          <w:color w:val="auto"/>
          <w:sz w:val="24"/>
          <w:szCs w:val="24"/>
        </w:rPr>
        <w:t xml:space="preserve"> 评价工作等级</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6189"/>
      </w:tblGrid>
      <w:tr w14:paraId="48E15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vAlign w:val="center"/>
          </w:tcPr>
          <w:p w14:paraId="084A45AF">
            <w:pPr>
              <w:jc w:val="center"/>
              <w:rPr>
                <w:b/>
                <w:color w:val="auto"/>
                <w:szCs w:val="21"/>
              </w:rPr>
            </w:pPr>
            <w:r>
              <w:rPr>
                <w:b/>
                <w:color w:val="auto"/>
                <w:szCs w:val="21"/>
              </w:rPr>
              <w:t>评价工作等级</w:t>
            </w:r>
          </w:p>
        </w:tc>
        <w:tc>
          <w:tcPr>
            <w:tcW w:w="3725" w:type="pct"/>
            <w:vAlign w:val="center"/>
          </w:tcPr>
          <w:p w14:paraId="1B40081F">
            <w:pPr>
              <w:jc w:val="center"/>
              <w:rPr>
                <w:b/>
                <w:color w:val="auto"/>
                <w:szCs w:val="21"/>
              </w:rPr>
            </w:pPr>
            <w:r>
              <w:rPr>
                <w:b/>
                <w:color w:val="auto"/>
                <w:szCs w:val="21"/>
              </w:rPr>
              <w:t>分级判据</w:t>
            </w:r>
          </w:p>
        </w:tc>
      </w:tr>
      <w:tr w14:paraId="7B832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vAlign w:val="center"/>
          </w:tcPr>
          <w:p w14:paraId="5B6D3718">
            <w:pPr>
              <w:jc w:val="center"/>
              <w:rPr>
                <w:color w:val="auto"/>
                <w:szCs w:val="21"/>
              </w:rPr>
            </w:pPr>
            <w:r>
              <w:rPr>
                <w:color w:val="auto"/>
                <w:szCs w:val="21"/>
              </w:rPr>
              <w:t>一级评价</w:t>
            </w:r>
          </w:p>
        </w:tc>
        <w:tc>
          <w:tcPr>
            <w:tcW w:w="3725" w:type="pct"/>
            <w:vAlign w:val="center"/>
          </w:tcPr>
          <w:p w14:paraId="0E4E5E54">
            <w:pPr>
              <w:jc w:val="center"/>
              <w:rPr>
                <w:color w:val="auto"/>
                <w:szCs w:val="21"/>
              </w:rPr>
            </w:pPr>
            <w:r>
              <w:rPr>
                <w:color w:val="auto"/>
                <w:szCs w:val="21"/>
              </w:rPr>
              <w:t>Pmax≥10%</w:t>
            </w:r>
          </w:p>
        </w:tc>
      </w:tr>
      <w:tr w14:paraId="47289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vAlign w:val="center"/>
          </w:tcPr>
          <w:p w14:paraId="0394536E">
            <w:pPr>
              <w:jc w:val="center"/>
              <w:rPr>
                <w:color w:val="auto"/>
                <w:szCs w:val="21"/>
              </w:rPr>
            </w:pPr>
            <w:r>
              <w:rPr>
                <w:color w:val="auto"/>
                <w:szCs w:val="21"/>
              </w:rPr>
              <w:t>二级评价</w:t>
            </w:r>
          </w:p>
        </w:tc>
        <w:tc>
          <w:tcPr>
            <w:tcW w:w="3725" w:type="pct"/>
            <w:vAlign w:val="center"/>
          </w:tcPr>
          <w:p w14:paraId="18F0348A">
            <w:pPr>
              <w:jc w:val="center"/>
              <w:rPr>
                <w:color w:val="auto"/>
                <w:szCs w:val="21"/>
              </w:rPr>
            </w:pPr>
            <w:r>
              <w:rPr>
                <w:color w:val="auto"/>
                <w:szCs w:val="21"/>
              </w:rPr>
              <w:t>1%≤Pmax＜10%</w:t>
            </w:r>
          </w:p>
        </w:tc>
      </w:tr>
      <w:tr w14:paraId="723AE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4" w:type="pct"/>
            <w:shd w:val="clear" w:color="auto" w:fill="auto"/>
            <w:vAlign w:val="center"/>
          </w:tcPr>
          <w:p w14:paraId="764B2BFC">
            <w:pPr>
              <w:jc w:val="center"/>
              <w:rPr>
                <w:color w:val="auto"/>
                <w:szCs w:val="21"/>
              </w:rPr>
            </w:pPr>
            <w:r>
              <w:rPr>
                <w:color w:val="auto"/>
                <w:szCs w:val="21"/>
              </w:rPr>
              <w:t>三级评价</w:t>
            </w:r>
          </w:p>
        </w:tc>
        <w:tc>
          <w:tcPr>
            <w:tcW w:w="3725" w:type="pct"/>
            <w:shd w:val="clear" w:color="auto" w:fill="auto"/>
            <w:vAlign w:val="center"/>
          </w:tcPr>
          <w:p w14:paraId="1C10261E">
            <w:pPr>
              <w:jc w:val="center"/>
              <w:rPr>
                <w:color w:val="auto"/>
                <w:szCs w:val="21"/>
              </w:rPr>
            </w:pPr>
            <w:r>
              <w:rPr>
                <w:color w:val="auto"/>
                <w:szCs w:val="21"/>
              </w:rPr>
              <w:t>Pmax＜1%</w:t>
            </w:r>
          </w:p>
        </w:tc>
      </w:tr>
    </w:tbl>
    <w:p w14:paraId="242D5DE9">
      <w:pPr>
        <w:adjustRightInd w:val="0"/>
        <w:snapToGrid w:val="0"/>
        <w:spacing w:before="120" w:beforeLines="50"/>
        <w:jc w:val="center"/>
        <w:rPr>
          <w:rFonts w:eastAsiaTheme="minorEastAsia"/>
          <w:b/>
          <w:color w:val="auto"/>
          <w:sz w:val="24"/>
          <w:szCs w:val="24"/>
        </w:rPr>
      </w:pPr>
      <w:r>
        <w:rPr>
          <w:rFonts w:eastAsiaTheme="minorEastAsia"/>
          <w:b/>
          <w:color w:val="auto"/>
          <w:sz w:val="24"/>
          <w:szCs w:val="24"/>
        </w:rPr>
        <w:t>表</w:t>
      </w:r>
      <w:r>
        <w:rPr>
          <w:rFonts w:hint="eastAsia" w:eastAsiaTheme="minorEastAsia"/>
          <w:b/>
          <w:color w:val="auto"/>
          <w:sz w:val="24"/>
          <w:szCs w:val="24"/>
        </w:rPr>
        <w:t>1-</w:t>
      </w:r>
      <w:r>
        <w:rPr>
          <w:rFonts w:hint="eastAsia" w:eastAsiaTheme="minorEastAsia"/>
          <w:b/>
          <w:color w:val="auto"/>
          <w:sz w:val="24"/>
          <w:szCs w:val="24"/>
          <w:lang w:val="en-US" w:eastAsia="zh-CN"/>
        </w:rPr>
        <w:t>9</w:t>
      </w:r>
      <w:r>
        <w:rPr>
          <w:rFonts w:eastAsiaTheme="minorEastAsia"/>
          <w:b/>
          <w:color w:val="auto"/>
          <w:sz w:val="24"/>
          <w:szCs w:val="24"/>
        </w:rPr>
        <w:t xml:space="preserve">  环境空气评价等级计算</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27"/>
        <w:gridCol w:w="1143"/>
        <w:gridCol w:w="1183"/>
        <w:gridCol w:w="1907"/>
        <w:gridCol w:w="1458"/>
        <w:gridCol w:w="1489"/>
      </w:tblGrid>
      <w:tr w14:paraId="50BEAA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bottom w:val="single" w:color="auto" w:sz="12" w:space="0"/>
            </w:tcBorders>
            <w:vAlign w:val="center"/>
          </w:tcPr>
          <w:p w14:paraId="4341CD42">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污染源名称</w:t>
            </w:r>
          </w:p>
        </w:tc>
        <w:tc>
          <w:tcPr>
            <w:tcW w:w="1173" w:type="dxa"/>
            <w:tcBorders>
              <w:bottom w:val="single" w:color="auto" w:sz="12" w:space="0"/>
            </w:tcBorders>
            <w:vAlign w:val="center"/>
          </w:tcPr>
          <w:p w14:paraId="456388B8">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评价因子</w:t>
            </w:r>
          </w:p>
        </w:tc>
        <w:tc>
          <w:tcPr>
            <w:tcW w:w="1214" w:type="dxa"/>
            <w:tcBorders>
              <w:bottom w:val="single" w:color="auto" w:sz="12" w:space="0"/>
            </w:tcBorders>
            <w:vAlign w:val="center"/>
          </w:tcPr>
          <w:p w14:paraId="64FB406F">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评价标准(μg/m³)</w:t>
            </w:r>
          </w:p>
        </w:tc>
        <w:tc>
          <w:tcPr>
            <w:tcW w:w="1957" w:type="dxa"/>
            <w:tcBorders>
              <w:bottom w:val="single" w:color="auto" w:sz="12" w:space="0"/>
            </w:tcBorders>
            <w:vAlign w:val="center"/>
          </w:tcPr>
          <w:p w14:paraId="78F54927">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Cmax(μg/m³)</w:t>
            </w:r>
          </w:p>
        </w:tc>
        <w:tc>
          <w:tcPr>
            <w:tcW w:w="1496" w:type="dxa"/>
            <w:tcBorders>
              <w:bottom w:val="single" w:color="auto" w:sz="12" w:space="0"/>
            </w:tcBorders>
            <w:vAlign w:val="center"/>
          </w:tcPr>
          <w:p w14:paraId="2F72944A">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Pmax(%)</w:t>
            </w:r>
          </w:p>
        </w:tc>
        <w:tc>
          <w:tcPr>
            <w:tcW w:w="1527" w:type="dxa"/>
            <w:tcBorders>
              <w:bottom w:val="single" w:color="auto" w:sz="12" w:space="0"/>
            </w:tcBorders>
            <w:vAlign w:val="center"/>
          </w:tcPr>
          <w:p w14:paraId="5A0691EA">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D10%(m)</w:t>
            </w:r>
          </w:p>
        </w:tc>
      </w:tr>
      <w:tr w14:paraId="7E6263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op w:val="single" w:color="auto" w:sz="12" w:space="0"/>
              <w:tl2br w:val="nil"/>
              <w:tr2bl w:val="nil"/>
            </w:tcBorders>
            <w:vAlign w:val="center"/>
          </w:tcPr>
          <w:p w14:paraId="5DC7EC3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DA001</w:t>
            </w:r>
          </w:p>
        </w:tc>
        <w:tc>
          <w:tcPr>
            <w:tcW w:w="1173" w:type="dxa"/>
            <w:tcBorders>
              <w:top w:val="single" w:color="auto" w:sz="12" w:space="0"/>
              <w:tl2br w:val="nil"/>
              <w:tr2bl w:val="nil"/>
            </w:tcBorders>
            <w:vAlign w:val="center"/>
          </w:tcPr>
          <w:p w14:paraId="588B3A2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op w:val="single" w:color="auto" w:sz="12" w:space="0"/>
              <w:tl2br w:val="nil"/>
              <w:tr2bl w:val="nil"/>
            </w:tcBorders>
            <w:vAlign w:val="center"/>
          </w:tcPr>
          <w:p w14:paraId="29FE341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sz w:val="21"/>
                <w:szCs w:val="21"/>
              </w:rPr>
              <w:t>900.0</w:t>
            </w:r>
            <w:r>
              <w:rPr>
                <w:rFonts w:hint="eastAsia" w:ascii="Times New Roman" w:hAnsi="Times New Roman" w:eastAsia="宋体" w:cs="Times New Roman"/>
                <w:b w:val="0"/>
                <w:sz w:val="21"/>
                <w:szCs w:val="21"/>
                <w:vertAlign w:val="superscript"/>
                <w:lang w:val="en-US" w:eastAsia="zh-CN"/>
              </w:rPr>
              <w:t>[1]</w:t>
            </w:r>
          </w:p>
        </w:tc>
        <w:tc>
          <w:tcPr>
            <w:tcW w:w="1957" w:type="dxa"/>
            <w:tcBorders>
              <w:top w:val="single" w:color="auto" w:sz="12" w:space="0"/>
              <w:tl2br w:val="nil"/>
              <w:tr2bl w:val="nil"/>
            </w:tcBorders>
            <w:vAlign w:val="center"/>
          </w:tcPr>
          <w:p w14:paraId="3A2C59E5">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0.1676</w:t>
            </w:r>
          </w:p>
        </w:tc>
        <w:tc>
          <w:tcPr>
            <w:tcW w:w="1496" w:type="dxa"/>
            <w:tcBorders>
              <w:top w:val="single" w:color="auto" w:sz="12" w:space="0"/>
              <w:tl2br w:val="nil"/>
              <w:tr2bl w:val="nil"/>
            </w:tcBorders>
            <w:vAlign w:val="center"/>
          </w:tcPr>
          <w:p w14:paraId="75EE2C8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0.0186</w:t>
            </w:r>
          </w:p>
        </w:tc>
        <w:tc>
          <w:tcPr>
            <w:tcW w:w="1527" w:type="dxa"/>
            <w:tcBorders>
              <w:top w:val="single" w:color="auto" w:sz="12" w:space="0"/>
              <w:tl2br w:val="nil"/>
              <w:tr2bl w:val="nil"/>
            </w:tcBorders>
            <w:vAlign w:val="center"/>
          </w:tcPr>
          <w:p w14:paraId="3D1A1B67">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296526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4B6771D8">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DA001</w:t>
            </w:r>
          </w:p>
        </w:tc>
        <w:tc>
          <w:tcPr>
            <w:tcW w:w="1173" w:type="dxa"/>
            <w:tcBorders>
              <w:tl2br w:val="nil"/>
              <w:tr2bl w:val="nil"/>
            </w:tcBorders>
            <w:vAlign w:val="center"/>
          </w:tcPr>
          <w:p w14:paraId="7A0CC767">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NMHC</w:t>
            </w:r>
          </w:p>
        </w:tc>
        <w:tc>
          <w:tcPr>
            <w:tcW w:w="1214" w:type="dxa"/>
            <w:tcBorders>
              <w:tl2br w:val="nil"/>
              <w:tr2bl w:val="nil"/>
            </w:tcBorders>
            <w:vAlign w:val="center"/>
          </w:tcPr>
          <w:p w14:paraId="1FA11A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2000.0</w:t>
            </w:r>
          </w:p>
        </w:tc>
        <w:tc>
          <w:tcPr>
            <w:tcW w:w="1957" w:type="dxa"/>
            <w:tcBorders>
              <w:tl2br w:val="nil"/>
              <w:tr2bl w:val="nil"/>
            </w:tcBorders>
            <w:vAlign w:val="center"/>
          </w:tcPr>
          <w:p w14:paraId="17EFB0D9">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0.4366</w:t>
            </w:r>
          </w:p>
        </w:tc>
        <w:tc>
          <w:tcPr>
            <w:tcW w:w="1496" w:type="dxa"/>
            <w:tcBorders>
              <w:tl2br w:val="nil"/>
              <w:tr2bl w:val="nil"/>
            </w:tcBorders>
            <w:vAlign w:val="center"/>
          </w:tcPr>
          <w:p w14:paraId="7CFDDA6A">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0.0218</w:t>
            </w:r>
          </w:p>
        </w:tc>
        <w:tc>
          <w:tcPr>
            <w:tcW w:w="1527" w:type="dxa"/>
            <w:tcBorders>
              <w:tl2br w:val="nil"/>
              <w:tr2bl w:val="nil"/>
            </w:tcBorders>
            <w:vAlign w:val="center"/>
          </w:tcPr>
          <w:p w14:paraId="6BAADE1F">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E3901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725AEC37">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lang w:val="en-US" w:eastAsia="zh-CN"/>
              </w:rPr>
              <w:t>生产车间（拉毛区域）</w:t>
            </w:r>
          </w:p>
        </w:tc>
        <w:tc>
          <w:tcPr>
            <w:tcW w:w="1173" w:type="dxa"/>
            <w:tcBorders>
              <w:tl2br w:val="nil"/>
              <w:tr2bl w:val="nil"/>
            </w:tcBorders>
            <w:vAlign w:val="center"/>
          </w:tcPr>
          <w:p w14:paraId="4CE86F06">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l2br w:val="nil"/>
              <w:tr2bl w:val="nil"/>
            </w:tcBorders>
            <w:vAlign w:val="center"/>
          </w:tcPr>
          <w:p w14:paraId="113AE0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4EE27333">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1.1361</w:t>
            </w:r>
          </w:p>
        </w:tc>
        <w:tc>
          <w:tcPr>
            <w:tcW w:w="1496" w:type="dxa"/>
            <w:tcBorders>
              <w:tl2br w:val="nil"/>
              <w:tr2bl w:val="nil"/>
            </w:tcBorders>
            <w:vAlign w:val="center"/>
          </w:tcPr>
          <w:p w14:paraId="776D197F">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0.1262</w:t>
            </w:r>
          </w:p>
        </w:tc>
        <w:tc>
          <w:tcPr>
            <w:tcW w:w="1527" w:type="dxa"/>
            <w:tcBorders>
              <w:tl2br w:val="nil"/>
              <w:tr2bl w:val="nil"/>
            </w:tcBorders>
            <w:vAlign w:val="center"/>
          </w:tcPr>
          <w:p w14:paraId="04A1CB49">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1D9DF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7B7320C4">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DA002</w:t>
            </w:r>
          </w:p>
        </w:tc>
        <w:tc>
          <w:tcPr>
            <w:tcW w:w="1173" w:type="dxa"/>
            <w:tcBorders>
              <w:tl2br w:val="nil"/>
              <w:tr2bl w:val="nil"/>
            </w:tcBorders>
            <w:vAlign w:val="center"/>
          </w:tcPr>
          <w:p w14:paraId="57DDA243">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SO2</w:t>
            </w:r>
          </w:p>
        </w:tc>
        <w:tc>
          <w:tcPr>
            <w:tcW w:w="1214" w:type="dxa"/>
            <w:tcBorders>
              <w:tl2br w:val="nil"/>
              <w:tr2bl w:val="nil"/>
            </w:tcBorders>
            <w:vAlign w:val="center"/>
          </w:tcPr>
          <w:p w14:paraId="781930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500.0</w:t>
            </w:r>
          </w:p>
        </w:tc>
        <w:tc>
          <w:tcPr>
            <w:tcW w:w="1957" w:type="dxa"/>
            <w:tcBorders>
              <w:tl2br w:val="nil"/>
              <w:tr2bl w:val="nil"/>
            </w:tcBorders>
            <w:vAlign w:val="center"/>
          </w:tcPr>
          <w:p w14:paraId="1EF98AF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1.0200</w:t>
            </w:r>
          </w:p>
        </w:tc>
        <w:tc>
          <w:tcPr>
            <w:tcW w:w="1496" w:type="dxa"/>
            <w:tcBorders>
              <w:tl2br w:val="nil"/>
              <w:tr2bl w:val="nil"/>
            </w:tcBorders>
            <w:vAlign w:val="center"/>
          </w:tcPr>
          <w:p w14:paraId="33A29B31">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0.2040</w:t>
            </w:r>
          </w:p>
        </w:tc>
        <w:tc>
          <w:tcPr>
            <w:tcW w:w="1527" w:type="dxa"/>
            <w:tcBorders>
              <w:tl2br w:val="nil"/>
              <w:tr2bl w:val="nil"/>
            </w:tcBorders>
            <w:vAlign w:val="center"/>
          </w:tcPr>
          <w:p w14:paraId="323B9799">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A9699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768B167E">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DA002</w:t>
            </w:r>
          </w:p>
        </w:tc>
        <w:tc>
          <w:tcPr>
            <w:tcW w:w="1173" w:type="dxa"/>
            <w:tcBorders>
              <w:tl2br w:val="nil"/>
              <w:tr2bl w:val="nil"/>
            </w:tcBorders>
            <w:vAlign w:val="center"/>
          </w:tcPr>
          <w:p w14:paraId="374DFE05">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NOx</w:t>
            </w:r>
          </w:p>
        </w:tc>
        <w:tc>
          <w:tcPr>
            <w:tcW w:w="1214" w:type="dxa"/>
            <w:tcBorders>
              <w:tl2br w:val="nil"/>
              <w:tr2bl w:val="nil"/>
            </w:tcBorders>
            <w:vAlign w:val="center"/>
          </w:tcPr>
          <w:p w14:paraId="79C45E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250.0</w:t>
            </w:r>
          </w:p>
        </w:tc>
        <w:tc>
          <w:tcPr>
            <w:tcW w:w="1957" w:type="dxa"/>
            <w:tcBorders>
              <w:tl2br w:val="nil"/>
              <w:tr2bl w:val="nil"/>
            </w:tcBorders>
            <w:vAlign w:val="center"/>
          </w:tcPr>
          <w:p w14:paraId="4AA950BB">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1.4218</w:t>
            </w:r>
          </w:p>
        </w:tc>
        <w:tc>
          <w:tcPr>
            <w:tcW w:w="1496" w:type="dxa"/>
            <w:tcBorders>
              <w:tl2br w:val="nil"/>
              <w:tr2bl w:val="nil"/>
            </w:tcBorders>
            <w:vAlign w:val="center"/>
          </w:tcPr>
          <w:p w14:paraId="7BF8C1D6">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0.5687</w:t>
            </w:r>
          </w:p>
        </w:tc>
        <w:tc>
          <w:tcPr>
            <w:tcW w:w="1527" w:type="dxa"/>
            <w:tcBorders>
              <w:tl2br w:val="nil"/>
              <w:tr2bl w:val="nil"/>
            </w:tcBorders>
            <w:vAlign w:val="center"/>
          </w:tcPr>
          <w:p w14:paraId="029757F1">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C4E6E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49DC5F3E">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DA002</w:t>
            </w:r>
          </w:p>
        </w:tc>
        <w:tc>
          <w:tcPr>
            <w:tcW w:w="1173" w:type="dxa"/>
            <w:tcBorders>
              <w:tl2br w:val="nil"/>
              <w:tr2bl w:val="nil"/>
            </w:tcBorders>
            <w:vAlign w:val="center"/>
          </w:tcPr>
          <w:p w14:paraId="5747E178">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l2br w:val="nil"/>
              <w:tr2bl w:val="nil"/>
            </w:tcBorders>
            <w:vAlign w:val="center"/>
          </w:tcPr>
          <w:p w14:paraId="0DAD2C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733CB8C2">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0.0103</w:t>
            </w:r>
          </w:p>
        </w:tc>
        <w:tc>
          <w:tcPr>
            <w:tcW w:w="1496" w:type="dxa"/>
            <w:tcBorders>
              <w:tl2br w:val="nil"/>
              <w:tr2bl w:val="nil"/>
            </w:tcBorders>
            <w:vAlign w:val="center"/>
          </w:tcPr>
          <w:p w14:paraId="52046218">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0.0011</w:t>
            </w:r>
          </w:p>
        </w:tc>
        <w:tc>
          <w:tcPr>
            <w:tcW w:w="1527" w:type="dxa"/>
            <w:tcBorders>
              <w:tl2br w:val="nil"/>
              <w:tr2bl w:val="nil"/>
            </w:tcBorders>
            <w:vAlign w:val="center"/>
          </w:tcPr>
          <w:p w14:paraId="122A34C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6F0EC0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5A06710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DA002</w:t>
            </w:r>
          </w:p>
        </w:tc>
        <w:tc>
          <w:tcPr>
            <w:tcW w:w="1173" w:type="dxa"/>
            <w:tcBorders>
              <w:tl2br w:val="nil"/>
              <w:tr2bl w:val="nil"/>
            </w:tcBorders>
            <w:shd w:val="clear" w:color="auto" w:fill="auto"/>
            <w:vAlign w:val="center"/>
          </w:tcPr>
          <w:p w14:paraId="09FA94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Hg</w:t>
            </w:r>
          </w:p>
        </w:tc>
        <w:tc>
          <w:tcPr>
            <w:tcW w:w="1214" w:type="dxa"/>
            <w:tcBorders>
              <w:tl2br w:val="nil"/>
              <w:tr2bl w:val="nil"/>
            </w:tcBorders>
            <w:shd w:val="clear" w:color="auto" w:fill="auto"/>
            <w:vAlign w:val="center"/>
          </w:tcPr>
          <w:p w14:paraId="60BEABF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0.3</w:t>
            </w:r>
          </w:p>
        </w:tc>
        <w:tc>
          <w:tcPr>
            <w:tcW w:w="1957" w:type="dxa"/>
            <w:tcBorders>
              <w:tl2br w:val="nil"/>
              <w:tr2bl w:val="nil"/>
            </w:tcBorders>
            <w:vAlign w:val="center"/>
          </w:tcPr>
          <w:p w14:paraId="1E6E246C">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0.0021</w:t>
            </w:r>
          </w:p>
        </w:tc>
        <w:tc>
          <w:tcPr>
            <w:tcW w:w="1496" w:type="dxa"/>
            <w:tcBorders>
              <w:tl2br w:val="nil"/>
              <w:tr2bl w:val="nil"/>
            </w:tcBorders>
            <w:vAlign w:val="center"/>
          </w:tcPr>
          <w:p w14:paraId="03CF6A98">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0.6869</w:t>
            </w:r>
          </w:p>
        </w:tc>
        <w:tc>
          <w:tcPr>
            <w:tcW w:w="1527" w:type="dxa"/>
            <w:tcBorders>
              <w:tl2br w:val="nil"/>
              <w:tr2bl w:val="nil"/>
            </w:tcBorders>
            <w:vAlign w:val="center"/>
          </w:tcPr>
          <w:p w14:paraId="114683F2">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7047C5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793AA2D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DA003</w:t>
            </w:r>
          </w:p>
        </w:tc>
        <w:tc>
          <w:tcPr>
            <w:tcW w:w="1173" w:type="dxa"/>
            <w:tcBorders>
              <w:tl2br w:val="nil"/>
              <w:tr2bl w:val="nil"/>
            </w:tcBorders>
            <w:shd w:val="clear" w:color="auto" w:fill="auto"/>
            <w:vAlign w:val="center"/>
          </w:tcPr>
          <w:p w14:paraId="74199D7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SO2</w:t>
            </w:r>
          </w:p>
        </w:tc>
        <w:tc>
          <w:tcPr>
            <w:tcW w:w="1214" w:type="dxa"/>
            <w:tcBorders>
              <w:tl2br w:val="nil"/>
              <w:tr2bl w:val="nil"/>
            </w:tcBorders>
            <w:shd w:val="clear" w:color="auto" w:fill="auto"/>
            <w:vAlign w:val="center"/>
          </w:tcPr>
          <w:p w14:paraId="4E3AB5C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500.0</w:t>
            </w:r>
          </w:p>
        </w:tc>
        <w:tc>
          <w:tcPr>
            <w:tcW w:w="1957" w:type="dxa"/>
            <w:tcBorders>
              <w:tl2br w:val="nil"/>
              <w:tr2bl w:val="nil"/>
            </w:tcBorders>
            <w:vAlign w:val="center"/>
          </w:tcPr>
          <w:p w14:paraId="63D7D2A9">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1.0200</w:t>
            </w:r>
          </w:p>
        </w:tc>
        <w:tc>
          <w:tcPr>
            <w:tcW w:w="1496" w:type="dxa"/>
            <w:tcBorders>
              <w:tl2br w:val="nil"/>
              <w:tr2bl w:val="nil"/>
            </w:tcBorders>
            <w:vAlign w:val="center"/>
          </w:tcPr>
          <w:p w14:paraId="535DA654">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0.2040</w:t>
            </w:r>
          </w:p>
        </w:tc>
        <w:tc>
          <w:tcPr>
            <w:tcW w:w="1527" w:type="dxa"/>
            <w:tcBorders>
              <w:tl2br w:val="nil"/>
              <w:tr2bl w:val="nil"/>
            </w:tcBorders>
            <w:vAlign w:val="center"/>
          </w:tcPr>
          <w:p w14:paraId="411E99E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2E703C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30FA4EC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DA003</w:t>
            </w:r>
          </w:p>
        </w:tc>
        <w:tc>
          <w:tcPr>
            <w:tcW w:w="1173" w:type="dxa"/>
            <w:tcBorders>
              <w:tl2br w:val="nil"/>
              <w:tr2bl w:val="nil"/>
            </w:tcBorders>
            <w:shd w:val="clear" w:color="auto" w:fill="auto"/>
            <w:vAlign w:val="center"/>
          </w:tcPr>
          <w:p w14:paraId="0DD2A6A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NOx</w:t>
            </w:r>
          </w:p>
        </w:tc>
        <w:tc>
          <w:tcPr>
            <w:tcW w:w="1214" w:type="dxa"/>
            <w:tcBorders>
              <w:tl2br w:val="nil"/>
              <w:tr2bl w:val="nil"/>
            </w:tcBorders>
            <w:shd w:val="clear" w:color="auto" w:fill="auto"/>
            <w:vAlign w:val="center"/>
          </w:tcPr>
          <w:p w14:paraId="68374A6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250.0</w:t>
            </w:r>
          </w:p>
        </w:tc>
        <w:tc>
          <w:tcPr>
            <w:tcW w:w="1957" w:type="dxa"/>
            <w:tcBorders>
              <w:tl2br w:val="nil"/>
              <w:tr2bl w:val="nil"/>
            </w:tcBorders>
            <w:vAlign w:val="center"/>
          </w:tcPr>
          <w:p w14:paraId="03721EFB">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1.4218</w:t>
            </w:r>
          </w:p>
        </w:tc>
        <w:tc>
          <w:tcPr>
            <w:tcW w:w="1496" w:type="dxa"/>
            <w:tcBorders>
              <w:tl2br w:val="nil"/>
              <w:tr2bl w:val="nil"/>
            </w:tcBorders>
            <w:vAlign w:val="center"/>
          </w:tcPr>
          <w:p w14:paraId="1E313598">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0.5687</w:t>
            </w:r>
          </w:p>
        </w:tc>
        <w:tc>
          <w:tcPr>
            <w:tcW w:w="1527" w:type="dxa"/>
            <w:tcBorders>
              <w:tl2br w:val="nil"/>
              <w:tr2bl w:val="nil"/>
            </w:tcBorders>
            <w:vAlign w:val="center"/>
          </w:tcPr>
          <w:p w14:paraId="636933F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034CAC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6E5041C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DA003</w:t>
            </w:r>
          </w:p>
        </w:tc>
        <w:tc>
          <w:tcPr>
            <w:tcW w:w="1173" w:type="dxa"/>
            <w:tcBorders>
              <w:tl2br w:val="nil"/>
              <w:tr2bl w:val="nil"/>
            </w:tcBorders>
            <w:shd w:val="clear" w:color="auto" w:fill="auto"/>
            <w:vAlign w:val="center"/>
          </w:tcPr>
          <w:p w14:paraId="5C14B88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TSP</w:t>
            </w:r>
          </w:p>
        </w:tc>
        <w:tc>
          <w:tcPr>
            <w:tcW w:w="1214" w:type="dxa"/>
            <w:tcBorders>
              <w:tl2br w:val="nil"/>
              <w:tr2bl w:val="nil"/>
            </w:tcBorders>
            <w:shd w:val="clear" w:color="auto" w:fill="auto"/>
            <w:vAlign w:val="center"/>
          </w:tcPr>
          <w:p w14:paraId="4301CDF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765AC374">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0.0010</w:t>
            </w:r>
          </w:p>
        </w:tc>
        <w:tc>
          <w:tcPr>
            <w:tcW w:w="1496" w:type="dxa"/>
            <w:tcBorders>
              <w:tl2br w:val="nil"/>
              <w:tr2bl w:val="nil"/>
            </w:tcBorders>
            <w:vAlign w:val="center"/>
          </w:tcPr>
          <w:p w14:paraId="47002B9D">
            <w:pPr>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0.0001</w:t>
            </w:r>
          </w:p>
        </w:tc>
        <w:tc>
          <w:tcPr>
            <w:tcW w:w="1527" w:type="dxa"/>
            <w:tcBorders>
              <w:tl2br w:val="nil"/>
              <w:tr2bl w:val="nil"/>
            </w:tcBorders>
            <w:vAlign w:val="center"/>
          </w:tcPr>
          <w:p w14:paraId="3AA0E4A2">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28EB6B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0166C003">
            <w:pPr>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b w:val="0"/>
                <w:sz w:val="21"/>
                <w:szCs w:val="21"/>
              </w:rPr>
              <w:t>DA003</w:t>
            </w:r>
          </w:p>
        </w:tc>
        <w:tc>
          <w:tcPr>
            <w:tcW w:w="1173" w:type="dxa"/>
            <w:tcBorders>
              <w:tl2br w:val="nil"/>
              <w:tr2bl w:val="nil"/>
            </w:tcBorders>
            <w:vAlign w:val="center"/>
          </w:tcPr>
          <w:p w14:paraId="7DD8B125">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Hg</w:t>
            </w:r>
          </w:p>
        </w:tc>
        <w:tc>
          <w:tcPr>
            <w:tcW w:w="1214" w:type="dxa"/>
            <w:tcBorders>
              <w:tl2br w:val="nil"/>
              <w:tr2bl w:val="nil"/>
            </w:tcBorders>
            <w:vAlign w:val="center"/>
          </w:tcPr>
          <w:p w14:paraId="576C40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0.3</w:t>
            </w:r>
          </w:p>
        </w:tc>
        <w:tc>
          <w:tcPr>
            <w:tcW w:w="1957" w:type="dxa"/>
            <w:tcBorders>
              <w:tl2br w:val="nil"/>
              <w:tr2bl w:val="nil"/>
            </w:tcBorders>
            <w:vAlign w:val="center"/>
          </w:tcPr>
          <w:p w14:paraId="189FCF62">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0.0021</w:t>
            </w:r>
          </w:p>
        </w:tc>
        <w:tc>
          <w:tcPr>
            <w:tcW w:w="1496" w:type="dxa"/>
            <w:tcBorders>
              <w:tl2br w:val="nil"/>
              <w:tr2bl w:val="nil"/>
            </w:tcBorders>
            <w:vAlign w:val="center"/>
          </w:tcPr>
          <w:p w14:paraId="7CDAD12F">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0.6869</w:t>
            </w:r>
          </w:p>
        </w:tc>
        <w:tc>
          <w:tcPr>
            <w:tcW w:w="1527" w:type="dxa"/>
            <w:tcBorders>
              <w:tl2br w:val="nil"/>
              <w:tr2bl w:val="nil"/>
            </w:tcBorders>
            <w:vAlign w:val="center"/>
          </w:tcPr>
          <w:p w14:paraId="120C0116">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0C9566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6D23DD36">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sz w:val="21"/>
                <w:szCs w:val="21"/>
                <w:lang w:val="en-US" w:eastAsia="zh-CN"/>
              </w:rPr>
              <w:t>生产车间（定型区域）</w:t>
            </w:r>
          </w:p>
        </w:tc>
        <w:tc>
          <w:tcPr>
            <w:tcW w:w="1173" w:type="dxa"/>
            <w:tcBorders>
              <w:tl2br w:val="nil"/>
              <w:tr2bl w:val="nil"/>
            </w:tcBorders>
            <w:vAlign w:val="center"/>
          </w:tcPr>
          <w:p w14:paraId="3E807016">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l2br w:val="nil"/>
              <w:tr2bl w:val="nil"/>
            </w:tcBorders>
            <w:vAlign w:val="center"/>
          </w:tcPr>
          <w:p w14:paraId="6836FB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52050794">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7.2220</w:t>
            </w:r>
          </w:p>
        </w:tc>
        <w:tc>
          <w:tcPr>
            <w:tcW w:w="1496" w:type="dxa"/>
            <w:tcBorders>
              <w:tl2br w:val="nil"/>
              <w:tr2bl w:val="nil"/>
            </w:tcBorders>
            <w:vAlign w:val="center"/>
          </w:tcPr>
          <w:p w14:paraId="561BEDE1">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0.8024</w:t>
            </w:r>
          </w:p>
        </w:tc>
        <w:tc>
          <w:tcPr>
            <w:tcW w:w="1527" w:type="dxa"/>
            <w:tcBorders>
              <w:tl2br w:val="nil"/>
              <w:tr2bl w:val="nil"/>
            </w:tcBorders>
            <w:vAlign w:val="center"/>
          </w:tcPr>
          <w:p w14:paraId="23BDCCC9">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08E1B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7DD141F6">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sz w:val="21"/>
                <w:szCs w:val="21"/>
                <w:lang w:val="en-US" w:eastAsia="zh-CN"/>
              </w:rPr>
              <w:t>生产车间（定型区域）</w:t>
            </w:r>
          </w:p>
        </w:tc>
        <w:tc>
          <w:tcPr>
            <w:tcW w:w="1173" w:type="dxa"/>
            <w:tcBorders>
              <w:tl2br w:val="nil"/>
              <w:tr2bl w:val="nil"/>
            </w:tcBorders>
            <w:vAlign w:val="center"/>
          </w:tcPr>
          <w:p w14:paraId="01B2265C">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NMHC</w:t>
            </w:r>
          </w:p>
        </w:tc>
        <w:tc>
          <w:tcPr>
            <w:tcW w:w="1214" w:type="dxa"/>
            <w:tcBorders>
              <w:tl2br w:val="nil"/>
              <w:tr2bl w:val="nil"/>
            </w:tcBorders>
            <w:vAlign w:val="center"/>
          </w:tcPr>
          <w:p w14:paraId="77E980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2000.0</w:t>
            </w:r>
          </w:p>
        </w:tc>
        <w:tc>
          <w:tcPr>
            <w:tcW w:w="1957" w:type="dxa"/>
            <w:tcBorders>
              <w:tl2br w:val="nil"/>
              <w:tr2bl w:val="nil"/>
            </w:tcBorders>
            <w:vAlign w:val="center"/>
          </w:tcPr>
          <w:p w14:paraId="6449D46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7.2220</w:t>
            </w:r>
          </w:p>
        </w:tc>
        <w:tc>
          <w:tcPr>
            <w:tcW w:w="1496" w:type="dxa"/>
            <w:tcBorders>
              <w:tl2br w:val="nil"/>
              <w:tr2bl w:val="nil"/>
            </w:tcBorders>
            <w:vAlign w:val="center"/>
          </w:tcPr>
          <w:p w14:paraId="17CBE52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0.3611</w:t>
            </w:r>
          </w:p>
        </w:tc>
        <w:tc>
          <w:tcPr>
            <w:tcW w:w="1527" w:type="dxa"/>
            <w:tcBorders>
              <w:tl2br w:val="nil"/>
              <w:tr2bl w:val="nil"/>
            </w:tcBorders>
            <w:vAlign w:val="center"/>
          </w:tcPr>
          <w:p w14:paraId="5EAA2002">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bl>
    <w:p w14:paraId="758D908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Theme="minorEastAsia"/>
          <w:color w:val="auto"/>
          <w:sz w:val="24"/>
          <w:lang w:val="en-US"/>
        </w:rPr>
      </w:pPr>
      <w:r>
        <w:rPr>
          <w:rFonts w:hint="eastAsia"/>
          <w:b/>
          <w:color w:val="FF0000"/>
          <w:sz w:val="21"/>
          <w:szCs w:val="21"/>
          <w:lang w:val="en-US" w:eastAsia="zh-CN"/>
        </w:rPr>
        <w:t>注：</w:t>
      </w:r>
      <w:r>
        <w:rPr>
          <w:rFonts w:hint="eastAsia"/>
          <w:b/>
          <w:bCs w:val="0"/>
          <w:color w:val="FF0000"/>
          <w:sz w:val="21"/>
          <w:szCs w:val="21"/>
          <w:lang w:val="en-US" w:eastAsia="zh-CN"/>
        </w:rPr>
        <w:t>[1]</w:t>
      </w:r>
      <w:r>
        <w:rPr>
          <w:rFonts w:hint="eastAsia"/>
          <w:b/>
          <w:bCs w:val="0"/>
          <w:color w:val="FF0000"/>
          <w:lang w:val="en-US" w:eastAsia="zh-CN"/>
        </w:rPr>
        <w:t>TSP小时值为日均值的三倍</w:t>
      </w:r>
    </w:p>
    <w:p w14:paraId="21286AAF">
      <w:pPr>
        <w:spacing w:line="460" w:lineRule="exact"/>
        <w:ind w:firstLine="480"/>
        <w:rPr>
          <w:color w:val="auto"/>
          <w:sz w:val="24"/>
          <w:szCs w:val="24"/>
        </w:rPr>
      </w:pPr>
      <w:r>
        <w:rPr>
          <w:rFonts w:eastAsiaTheme="minorEastAsia"/>
          <w:color w:val="auto"/>
          <w:sz w:val="24"/>
        </w:rPr>
        <w:t>经计算，项目各污染物的Pi值见表</w:t>
      </w:r>
      <w:r>
        <w:rPr>
          <w:rFonts w:hint="eastAsia" w:eastAsiaTheme="minorEastAsia"/>
          <w:color w:val="auto"/>
          <w:sz w:val="24"/>
        </w:rPr>
        <w:t>1-</w:t>
      </w:r>
      <w:r>
        <w:rPr>
          <w:rFonts w:hint="eastAsia" w:eastAsiaTheme="minorEastAsia"/>
          <w:color w:val="auto"/>
          <w:sz w:val="24"/>
          <w:lang w:val="en-US" w:eastAsia="zh-CN"/>
        </w:rPr>
        <w:t>9</w:t>
      </w:r>
      <w:r>
        <w:rPr>
          <w:rFonts w:eastAsiaTheme="minorEastAsia"/>
          <w:color w:val="auto"/>
          <w:sz w:val="24"/>
        </w:rPr>
        <w:t>。对照大气环境评价等判别表</w:t>
      </w:r>
      <w:r>
        <w:rPr>
          <w:rFonts w:hint="eastAsia" w:eastAsiaTheme="minorEastAsia"/>
          <w:color w:val="auto"/>
          <w:sz w:val="24"/>
          <w:lang w:val="en-US" w:eastAsia="zh-CN"/>
        </w:rPr>
        <w:t>1-8</w:t>
      </w:r>
      <w:r>
        <w:rPr>
          <w:rFonts w:eastAsiaTheme="minorEastAsia"/>
          <w:color w:val="auto"/>
          <w:sz w:val="24"/>
        </w:rPr>
        <w:t>，确定本项目大气环境评价工作等级为</w:t>
      </w:r>
      <w:r>
        <w:rPr>
          <w:rFonts w:hint="eastAsia" w:eastAsiaTheme="minorEastAsia"/>
          <w:b/>
          <w:bCs/>
          <w:color w:val="auto"/>
          <w:sz w:val="24"/>
          <w:lang w:val="en-US" w:eastAsia="zh-CN"/>
        </w:rPr>
        <w:t>三</w:t>
      </w:r>
      <w:r>
        <w:rPr>
          <w:rFonts w:eastAsiaTheme="minorEastAsia"/>
          <w:b/>
          <w:bCs/>
          <w:color w:val="auto"/>
          <w:sz w:val="24"/>
        </w:rPr>
        <w:t>级</w:t>
      </w:r>
      <w:r>
        <w:rPr>
          <w:rFonts w:eastAsiaTheme="minorEastAsia"/>
          <w:color w:val="auto"/>
          <w:sz w:val="24"/>
        </w:rPr>
        <w:t>。</w:t>
      </w:r>
    </w:p>
    <w:p w14:paraId="05C7AF62">
      <w:pPr>
        <w:pStyle w:val="4"/>
        <w:spacing w:before="0" w:after="0" w:line="460" w:lineRule="exact"/>
        <w:rPr>
          <w:color w:val="FF0000"/>
          <w:sz w:val="24"/>
          <w:szCs w:val="24"/>
        </w:rPr>
      </w:pPr>
      <w:bookmarkStart w:id="30" w:name="_Toc9559"/>
      <w:r>
        <w:rPr>
          <w:rFonts w:hint="eastAsia"/>
          <w:color w:val="FF0000"/>
          <w:sz w:val="24"/>
          <w:szCs w:val="24"/>
        </w:rPr>
        <w:t>1</w:t>
      </w:r>
      <w:r>
        <w:rPr>
          <w:color w:val="FF0000"/>
          <w:sz w:val="24"/>
          <w:szCs w:val="24"/>
        </w:rPr>
        <w:t>.</w:t>
      </w:r>
      <w:r>
        <w:rPr>
          <w:rFonts w:hint="eastAsia"/>
          <w:color w:val="FF0000"/>
          <w:sz w:val="24"/>
          <w:szCs w:val="24"/>
          <w:lang w:val="en-US" w:eastAsia="zh-CN"/>
        </w:rPr>
        <w:t>5</w:t>
      </w:r>
      <w:r>
        <w:rPr>
          <w:color w:val="FF0000"/>
          <w:sz w:val="24"/>
          <w:szCs w:val="24"/>
        </w:rPr>
        <w:t>.2大气评价范围</w:t>
      </w:r>
      <w:bookmarkEnd w:id="30"/>
    </w:p>
    <w:p w14:paraId="1284C9A1">
      <w:pPr>
        <w:spacing w:line="460" w:lineRule="exact"/>
        <w:ind w:firstLine="480" w:firstLineChars="200"/>
        <w:rPr>
          <w:color w:val="FF0000"/>
          <w:sz w:val="24"/>
          <w:szCs w:val="24"/>
        </w:rPr>
      </w:pPr>
      <w:r>
        <w:rPr>
          <w:rFonts w:ascii="宋体" w:hAnsi="宋体"/>
          <w:color w:val="FF0000"/>
          <w:sz w:val="24"/>
          <w:szCs w:val="24"/>
        </w:rPr>
        <w:t>根据</w:t>
      </w:r>
      <w:r>
        <w:rPr>
          <w:color w:val="FF0000"/>
          <w:sz w:val="24"/>
          <w:szCs w:val="24"/>
        </w:rPr>
        <w:t>《</w:t>
      </w:r>
      <w:r>
        <w:rPr>
          <w:rFonts w:hint="eastAsia"/>
          <w:color w:val="FF0000"/>
          <w:sz w:val="24"/>
          <w:szCs w:val="24"/>
        </w:rPr>
        <w:t>环境影响评价技术导则 大气环境</w:t>
      </w:r>
      <w:r>
        <w:rPr>
          <w:color w:val="FF0000"/>
          <w:sz w:val="24"/>
          <w:szCs w:val="24"/>
        </w:rPr>
        <w:t>》（HJ2.2-2018）</w:t>
      </w:r>
      <w:r>
        <w:rPr>
          <w:rFonts w:ascii="宋体" w:hAnsi="宋体"/>
          <w:color w:val="FF0000"/>
          <w:sz w:val="24"/>
          <w:szCs w:val="24"/>
        </w:rPr>
        <w:t>推荐的估算模式</w:t>
      </w:r>
      <w:r>
        <w:rPr>
          <w:color w:val="FF0000"/>
          <w:sz w:val="24"/>
          <w:szCs w:val="24"/>
        </w:rPr>
        <w:t>AERSCREEN</w:t>
      </w:r>
      <w:r>
        <w:rPr>
          <w:rFonts w:ascii="宋体" w:hAnsi="宋体"/>
          <w:color w:val="FF0000"/>
          <w:sz w:val="24"/>
          <w:szCs w:val="24"/>
        </w:rPr>
        <w:t>估算结果，</w:t>
      </w:r>
      <w:r>
        <w:rPr>
          <w:rFonts w:eastAsiaTheme="minorEastAsia"/>
          <w:color w:val="FF0000"/>
          <w:sz w:val="24"/>
        </w:rPr>
        <w:t>本项目大气环境评价工作等级为</w:t>
      </w:r>
      <w:r>
        <w:rPr>
          <w:rFonts w:hint="eastAsia" w:eastAsiaTheme="minorEastAsia"/>
          <w:b w:val="0"/>
          <w:bCs w:val="0"/>
          <w:color w:val="FF0000"/>
          <w:sz w:val="24"/>
          <w:lang w:val="en-US" w:eastAsia="zh-CN"/>
        </w:rPr>
        <w:t>三级</w:t>
      </w:r>
      <w:r>
        <w:rPr>
          <w:rFonts w:hint="eastAsia" w:eastAsiaTheme="minorEastAsia"/>
          <w:b/>
          <w:bCs/>
          <w:color w:val="FF0000"/>
          <w:sz w:val="24"/>
          <w:lang w:val="en-US" w:eastAsia="zh-CN"/>
        </w:rPr>
        <w:t>，</w:t>
      </w:r>
      <w:r>
        <w:rPr>
          <w:rFonts w:hint="eastAsia" w:ascii="宋体" w:hAnsi="宋体" w:eastAsiaTheme="minorEastAsia"/>
          <w:color w:val="FF0000"/>
          <w:sz w:val="24"/>
          <w:szCs w:val="24"/>
          <w:lang w:val="en-US" w:eastAsia="zh-CN"/>
        </w:rPr>
        <w:t>无需设置</w:t>
      </w:r>
      <w:r>
        <w:rPr>
          <w:rFonts w:ascii="宋体" w:hAnsi="宋体"/>
          <w:color w:val="FF0000"/>
          <w:sz w:val="24"/>
          <w:szCs w:val="24"/>
        </w:rPr>
        <w:t>大气环境评价范围</w:t>
      </w:r>
      <w:r>
        <w:rPr>
          <w:color w:val="FF0000"/>
          <w:sz w:val="24"/>
          <w:szCs w:val="24"/>
        </w:rPr>
        <w:t>。</w:t>
      </w:r>
    </w:p>
    <w:p w14:paraId="4E362A0A">
      <w:pPr>
        <w:pStyle w:val="3"/>
        <w:spacing w:before="0" w:after="0" w:line="460" w:lineRule="exact"/>
        <w:rPr>
          <w:rFonts w:eastAsia="宋体"/>
          <w:color w:val="FF0000"/>
          <w:kern w:val="0"/>
          <w:szCs w:val="28"/>
        </w:rPr>
      </w:pPr>
      <w:bookmarkStart w:id="31" w:name="_Toc11937"/>
      <w:bookmarkStart w:id="32" w:name="_Toc32574"/>
      <w:r>
        <w:rPr>
          <w:rFonts w:hint="eastAsia" w:eastAsia="宋体"/>
          <w:color w:val="FF0000"/>
          <w:kern w:val="0"/>
          <w:szCs w:val="28"/>
        </w:rPr>
        <w:t>1.</w:t>
      </w:r>
      <w:r>
        <w:rPr>
          <w:rFonts w:hint="eastAsia" w:eastAsia="宋体"/>
          <w:color w:val="FF0000"/>
          <w:kern w:val="0"/>
          <w:szCs w:val="28"/>
          <w:lang w:val="en-US" w:eastAsia="zh-CN"/>
        </w:rPr>
        <w:t>6</w:t>
      </w:r>
      <w:r>
        <w:rPr>
          <w:rFonts w:hint="eastAsia" w:eastAsia="宋体"/>
          <w:color w:val="FF0000"/>
          <w:kern w:val="0"/>
          <w:szCs w:val="28"/>
        </w:rPr>
        <w:t>保护目标</w:t>
      </w:r>
      <w:bookmarkEnd w:id="31"/>
      <w:bookmarkEnd w:id="32"/>
    </w:p>
    <w:p w14:paraId="0EF4C522">
      <w:pPr>
        <w:pStyle w:val="14"/>
        <w:spacing w:line="460" w:lineRule="exact"/>
        <w:ind w:firstLine="240" w:firstLineChars="100"/>
        <w:jc w:val="both"/>
        <w:rPr>
          <w:color w:val="FF0000"/>
          <w:sz w:val="24"/>
          <w:szCs w:val="24"/>
        </w:rPr>
      </w:pPr>
      <w:r>
        <w:rPr>
          <w:rFonts w:hint="eastAsia"/>
          <w:color w:val="FF0000"/>
          <w:sz w:val="24"/>
          <w:szCs w:val="24"/>
        </w:rPr>
        <w:t>根据现场踏勘，项目大气环境保护目标见下表。</w:t>
      </w:r>
    </w:p>
    <w:p w14:paraId="0AE29CDA">
      <w:pPr>
        <w:pStyle w:val="14"/>
        <w:autoSpaceDE w:val="0"/>
        <w:spacing w:line="460" w:lineRule="exact"/>
        <w:jc w:val="center"/>
        <w:rPr>
          <w:rFonts w:ascii="宋体" w:hAnsi="宋体"/>
          <w:b/>
          <w:bCs/>
          <w:color w:val="FF0000"/>
          <w:sz w:val="24"/>
          <w:szCs w:val="24"/>
        </w:rPr>
      </w:pPr>
      <w:r>
        <w:rPr>
          <w:rFonts w:ascii="宋体" w:hAnsi="宋体"/>
          <w:b/>
          <w:bCs/>
          <w:color w:val="FF0000"/>
          <w:sz w:val="24"/>
          <w:szCs w:val="24"/>
        </w:rPr>
        <w:t>表</w:t>
      </w:r>
      <w:r>
        <w:rPr>
          <w:rFonts w:hint="eastAsia"/>
          <w:b/>
          <w:bCs/>
          <w:color w:val="FF0000"/>
          <w:sz w:val="24"/>
          <w:szCs w:val="24"/>
        </w:rPr>
        <w:t>1</w:t>
      </w:r>
      <w:r>
        <w:rPr>
          <w:b/>
          <w:bCs/>
          <w:color w:val="FF0000"/>
          <w:sz w:val="24"/>
          <w:szCs w:val="24"/>
        </w:rPr>
        <w:t>-</w:t>
      </w:r>
      <w:r>
        <w:rPr>
          <w:rFonts w:hint="eastAsia"/>
          <w:b/>
          <w:bCs/>
          <w:color w:val="FF0000"/>
          <w:sz w:val="24"/>
          <w:szCs w:val="24"/>
          <w:lang w:val="en-US" w:eastAsia="zh-CN"/>
        </w:rPr>
        <w:t>10</w:t>
      </w:r>
      <w:r>
        <w:rPr>
          <w:b/>
          <w:bCs/>
          <w:color w:val="FF0000"/>
          <w:sz w:val="24"/>
          <w:szCs w:val="24"/>
        </w:rPr>
        <w:t xml:space="preserve">  </w:t>
      </w:r>
      <w:r>
        <w:rPr>
          <w:rFonts w:ascii="宋体" w:hAnsi="宋体"/>
          <w:b/>
          <w:bCs/>
          <w:color w:val="FF0000"/>
          <w:sz w:val="24"/>
          <w:szCs w:val="24"/>
        </w:rPr>
        <w:t>大气环境保护目标一览表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243"/>
        <w:gridCol w:w="1332"/>
        <w:gridCol w:w="926"/>
        <w:gridCol w:w="857"/>
        <w:gridCol w:w="874"/>
        <w:gridCol w:w="1066"/>
        <w:gridCol w:w="1021"/>
      </w:tblGrid>
      <w:tr w14:paraId="4D82E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vMerge w:val="restart"/>
            <w:noWrap w:val="0"/>
            <w:vAlign w:val="center"/>
          </w:tcPr>
          <w:p w14:paraId="45C3F330">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bookmarkStart w:id="33" w:name="_Toc224730394"/>
            <w:bookmarkStart w:id="34" w:name="_Toc226967714"/>
            <w:bookmarkStart w:id="35" w:name="_Toc222141940"/>
            <w:bookmarkStart w:id="36" w:name="_Toc232821284"/>
            <w:bookmarkStart w:id="37" w:name="_Toc232821234"/>
            <w:bookmarkStart w:id="38" w:name="_Toc222142014"/>
            <w:bookmarkStart w:id="39" w:name="_Toc227055178"/>
            <w:bookmarkStart w:id="40" w:name="_Toc222141611"/>
            <w:bookmarkStart w:id="41" w:name="_Toc222141874"/>
            <w:bookmarkStart w:id="42" w:name="_Toc222195716"/>
            <w:bookmarkStart w:id="43" w:name="_Toc224730474"/>
            <w:bookmarkStart w:id="44" w:name="_Toc233013612"/>
            <w:bookmarkStart w:id="45" w:name="_Toc509323951"/>
            <w:bookmarkStart w:id="46" w:name="_Toc27510"/>
            <w:r>
              <w:rPr>
                <w:rFonts w:ascii="Times New Roman" w:eastAsia="宋体" w:cs="Times New Roman"/>
                <w:color w:val="FF0000"/>
                <w:sz w:val="21"/>
                <w:szCs w:val="21"/>
              </w:rPr>
              <w:t>名称</w:t>
            </w:r>
          </w:p>
        </w:tc>
        <w:tc>
          <w:tcPr>
            <w:tcW w:w="2609" w:type="dxa"/>
            <w:gridSpan w:val="2"/>
            <w:tcBorders>
              <w:bottom w:val="single" w:color="auto" w:sz="4" w:space="0"/>
            </w:tcBorders>
            <w:noWrap w:val="0"/>
            <w:vAlign w:val="center"/>
          </w:tcPr>
          <w:p w14:paraId="5BC3E7B0">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r>
              <w:rPr>
                <w:rFonts w:ascii="Times New Roman" w:eastAsia="宋体" w:cs="Times New Roman"/>
                <w:color w:val="FF0000"/>
                <w:sz w:val="21"/>
                <w:szCs w:val="21"/>
              </w:rPr>
              <w:t>坐标/</w:t>
            </w:r>
            <w:r>
              <w:rPr>
                <w:rFonts w:hint="eastAsia" w:ascii="Times New Roman" w:eastAsia="宋体" w:cs="Times New Roman"/>
                <w:color w:val="FF0000"/>
                <w:sz w:val="21"/>
                <w:szCs w:val="21"/>
              </w:rPr>
              <w:t>度</w:t>
            </w:r>
          </w:p>
        </w:tc>
        <w:tc>
          <w:tcPr>
            <w:tcW w:w="938" w:type="dxa"/>
            <w:vMerge w:val="restart"/>
            <w:tcBorders>
              <w:bottom w:val="nil"/>
            </w:tcBorders>
            <w:noWrap w:val="0"/>
            <w:vAlign w:val="center"/>
          </w:tcPr>
          <w:p w14:paraId="251B9D54">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r>
              <w:rPr>
                <w:rFonts w:ascii="Times New Roman" w:eastAsia="宋体" w:cs="Times New Roman"/>
                <w:color w:val="FF0000"/>
                <w:sz w:val="21"/>
                <w:szCs w:val="21"/>
              </w:rPr>
              <w:t>保护对象</w:t>
            </w:r>
          </w:p>
        </w:tc>
        <w:tc>
          <w:tcPr>
            <w:tcW w:w="868" w:type="dxa"/>
            <w:vMerge w:val="restart"/>
            <w:tcBorders>
              <w:bottom w:val="nil"/>
            </w:tcBorders>
            <w:noWrap w:val="0"/>
            <w:vAlign w:val="center"/>
          </w:tcPr>
          <w:p w14:paraId="43EFE1F8">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r>
              <w:rPr>
                <w:rFonts w:ascii="Times New Roman" w:eastAsia="宋体" w:cs="Times New Roman"/>
                <w:color w:val="FF0000"/>
                <w:kern w:val="0"/>
                <w:sz w:val="21"/>
                <w:szCs w:val="21"/>
                <w:lang w:bidi="ar"/>
              </w:rPr>
              <w:t>环境功能区</w:t>
            </w:r>
          </w:p>
        </w:tc>
        <w:tc>
          <w:tcPr>
            <w:tcW w:w="885" w:type="dxa"/>
            <w:vMerge w:val="restart"/>
            <w:tcBorders>
              <w:bottom w:val="nil"/>
            </w:tcBorders>
            <w:noWrap w:val="0"/>
            <w:vAlign w:val="center"/>
          </w:tcPr>
          <w:p w14:paraId="0FCBB87D">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r>
              <w:rPr>
                <w:rFonts w:ascii="Times New Roman" w:eastAsia="宋体" w:cs="Times New Roman"/>
                <w:color w:val="FF0000"/>
                <w:kern w:val="0"/>
                <w:sz w:val="21"/>
                <w:szCs w:val="21"/>
                <w:lang w:bidi="ar"/>
              </w:rPr>
              <w:t>相对厂址方位</w:t>
            </w:r>
          </w:p>
        </w:tc>
        <w:tc>
          <w:tcPr>
            <w:tcW w:w="1081" w:type="dxa"/>
            <w:vMerge w:val="restart"/>
            <w:tcBorders>
              <w:bottom w:val="nil"/>
            </w:tcBorders>
            <w:noWrap w:val="0"/>
            <w:vAlign w:val="center"/>
          </w:tcPr>
          <w:p w14:paraId="7D066C04">
            <w:pPr>
              <w:keepNext w:val="0"/>
              <w:keepLines w:val="0"/>
              <w:pageBreakBefore w:val="0"/>
              <w:widowControl/>
              <w:kinsoku/>
              <w:wordWrap/>
              <w:overflowPunct/>
              <w:topLinePunct w:val="0"/>
              <w:bidi w:val="0"/>
              <w:adjustRightInd w:val="0"/>
              <w:snapToGrid w:val="0"/>
              <w:ind w:firstLine="0" w:firstLineChars="0"/>
              <w:jc w:val="center"/>
              <w:textAlignment w:val="auto"/>
              <w:rPr>
                <w:rFonts w:hint="default" w:eastAsia="宋体"/>
                <w:b/>
                <w:color w:val="FF0000"/>
                <w:sz w:val="21"/>
                <w:szCs w:val="21"/>
                <w:lang w:val="en-US" w:eastAsia="zh-CN"/>
              </w:rPr>
            </w:pPr>
            <w:r>
              <w:rPr>
                <w:b/>
                <w:color w:val="FF0000"/>
                <w:kern w:val="0"/>
                <w:sz w:val="21"/>
                <w:szCs w:val="21"/>
                <w:lang w:bidi="ar"/>
              </w:rPr>
              <w:t>相对厂界距离（m）</w:t>
            </w:r>
            <w:r>
              <w:rPr>
                <w:rFonts w:hint="eastAsia"/>
                <w:b/>
                <w:color w:val="FF0000"/>
                <w:kern w:val="0"/>
                <w:sz w:val="21"/>
                <w:szCs w:val="21"/>
                <w:vertAlign w:val="superscript"/>
                <w:lang w:val="en-US" w:eastAsia="zh-CN" w:bidi="ar"/>
              </w:rPr>
              <w:t>[1]</w:t>
            </w:r>
          </w:p>
        </w:tc>
        <w:tc>
          <w:tcPr>
            <w:tcW w:w="1034" w:type="dxa"/>
            <w:vMerge w:val="restart"/>
            <w:tcBorders>
              <w:bottom w:val="nil"/>
            </w:tcBorders>
            <w:noWrap w:val="0"/>
            <w:vAlign w:val="center"/>
          </w:tcPr>
          <w:p w14:paraId="2D4AE799">
            <w:pPr>
              <w:keepNext w:val="0"/>
              <w:keepLines w:val="0"/>
              <w:pageBreakBefore w:val="0"/>
              <w:kinsoku/>
              <w:wordWrap/>
              <w:overflowPunct/>
              <w:topLinePunct w:val="0"/>
              <w:bidi w:val="0"/>
              <w:snapToGrid w:val="0"/>
              <w:ind w:firstLine="0" w:firstLineChars="0"/>
              <w:jc w:val="center"/>
              <w:textAlignment w:val="auto"/>
              <w:rPr>
                <w:b/>
                <w:bCs/>
                <w:snapToGrid w:val="0"/>
                <w:color w:val="FF0000"/>
                <w:sz w:val="21"/>
                <w:szCs w:val="21"/>
              </w:rPr>
            </w:pPr>
            <w:r>
              <w:rPr>
                <w:b/>
                <w:bCs/>
                <w:snapToGrid w:val="0"/>
                <w:color w:val="FF0000"/>
                <w:sz w:val="21"/>
                <w:szCs w:val="21"/>
              </w:rPr>
              <w:t>规模</w:t>
            </w:r>
          </w:p>
          <w:p w14:paraId="107AFB2C">
            <w:pPr>
              <w:keepNext w:val="0"/>
              <w:keepLines w:val="0"/>
              <w:pageBreakBefore w:val="0"/>
              <w:widowControl/>
              <w:kinsoku/>
              <w:wordWrap/>
              <w:overflowPunct/>
              <w:topLinePunct w:val="0"/>
              <w:bidi w:val="0"/>
              <w:adjustRightInd w:val="0"/>
              <w:snapToGrid w:val="0"/>
              <w:ind w:firstLine="0" w:firstLineChars="0"/>
              <w:jc w:val="center"/>
              <w:textAlignment w:val="auto"/>
              <w:rPr>
                <w:b/>
                <w:color w:val="FF0000"/>
                <w:kern w:val="0"/>
                <w:sz w:val="21"/>
                <w:szCs w:val="21"/>
                <w:lang w:bidi="ar"/>
              </w:rPr>
            </w:pPr>
            <w:r>
              <w:rPr>
                <w:b/>
                <w:bCs/>
                <w:snapToGrid w:val="0"/>
                <w:color w:val="FF0000"/>
                <w:sz w:val="21"/>
                <w:szCs w:val="21"/>
              </w:rPr>
              <w:t>（</w:t>
            </w:r>
            <w:r>
              <w:rPr>
                <w:rFonts w:hint="eastAsia"/>
                <w:b/>
                <w:bCs/>
                <w:snapToGrid w:val="0"/>
                <w:color w:val="FF0000"/>
                <w:sz w:val="21"/>
                <w:szCs w:val="21"/>
                <w:lang w:val="en-US" w:eastAsia="zh-CN"/>
              </w:rPr>
              <w:t>小区总</w:t>
            </w:r>
            <w:r>
              <w:rPr>
                <w:b/>
                <w:bCs/>
                <w:snapToGrid w:val="0"/>
                <w:color w:val="FF0000"/>
                <w:sz w:val="21"/>
                <w:szCs w:val="21"/>
              </w:rPr>
              <w:t>人数）</w:t>
            </w:r>
          </w:p>
        </w:tc>
      </w:tr>
      <w:tr w14:paraId="2FF65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vMerge w:val="continue"/>
            <w:tcBorders>
              <w:bottom w:val="single" w:color="auto" w:sz="12" w:space="0"/>
            </w:tcBorders>
            <w:noWrap w:val="0"/>
            <w:vAlign w:val="center"/>
          </w:tcPr>
          <w:p w14:paraId="6CB74696">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p>
        </w:tc>
        <w:tc>
          <w:tcPr>
            <w:tcW w:w="1259" w:type="dxa"/>
            <w:tcBorders>
              <w:top w:val="single" w:color="auto" w:sz="4" w:space="0"/>
              <w:bottom w:val="single" w:color="auto" w:sz="12" w:space="0"/>
            </w:tcBorders>
            <w:noWrap w:val="0"/>
            <w:vAlign w:val="center"/>
          </w:tcPr>
          <w:p w14:paraId="066137E6">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r>
              <w:rPr>
                <w:rFonts w:ascii="Times New Roman" w:eastAsia="宋体" w:cs="Times New Roman"/>
                <w:color w:val="FF0000"/>
                <w:sz w:val="21"/>
                <w:szCs w:val="21"/>
              </w:rPr>
              <w:t>经度</w:t>
            </w:r>
          </w:p>
        </w:tc>
        <w:tc>
          <w:tcPr>
            <w:tcW w:w="1350" w:type="dxa"/>
            <w:tcBorders>
              <w:top w:val="single" w:color="auto" w:sz="4" w:space="0"/>
              <w:bottom w:val="single" w:color="auto" w:sz="12" w:space="0"/>
            </w:tcBorders>
            <w:noWrap w:val="0"/>
            <w:vAlign w:val="center"/>
          </w:tcPr>
          <w:p w14:paraId="3C6ED87B">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r>
              <w:rPr>
                <w:rFonts w:ascii="Times New Roman" w:eastAsia="宋体" w:cs="Times New Roman"/>
                <w:color w:val="FF0000"/>
                <w:sz w:val="21"/>
                <w:szCs w:val="21"/>
              </w:rPr>
              <w:t>纬度</w:t>
            </w:r>
          </w:p>
        </w:tc>
        <w:tc>
          <w:tcPr>
            <w:tcW w:w="938" w:type="dxa"/>
            <w:vMerge w:val="continue"/>
            <w:tcBorders>
              <w:top w:val="nil"/>
              <w:bottom w:val="single" w:color="auto" w:sz="12" w:space="0"/>
            </w:tcBorders>
            <w:noWrap w:val="0"/>
            <w:vAlign w:val="center"/>
          </w:tcPr>
          <w:p w14:paraId="24632928">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p>
        </w:tc>
        <w:tc>
          <w:tcPr>
            <w:tcW w:w="868" w:type="dxa"/>
            <w:vMerge w:val="continue"/>
            <w:tcBorders>
              <w:top w:val="nil"/>
              <w:bottom w:val="single" w:color="auto" w:sz="12" w:space="0"/>
            </w:tcBorders>
            <w:noWrap w:val="0"/>
            <w:vAlign w:val="center"/>
          </w:tcPr>
          <w:p w14:paraId="01532F70">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p>
        </w:tc>
        <w:tc>
          <w:tcPr>
            <w:tcW w:w="885" w:type="dxa"/>
            <w:vMerge w:val="continue"/>
            <w:tcBorders>
              <w:top w:val="nil"/>
              <w:bottom w:val="single" w:color="auto" w:sz="12" w:space="0"/>
            </w:tcBorders>
            <w:noWrap w:val="0"/>
            <w:vAlign w:val="center"/>
          </w:tcPr>
          <w:p w14:paraId="62B96B38">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p>
        </w:tc>
        <w:tc>
          <w:tcPr>
            <w:tcW w:w="1081" w:type="dxa"/>
            <w:vMerge w:val="continue"/>
            <w:tcBorders>
              <w:top w:val="nil"/>
              <w:bottom w:val="single" w:color="auto" w:sz="12" w:space="0"/>
            </w:tcBorders>
            <w:noWrap w:val="0"/>
            <w:vAlign w:val="center"/>
          </w:tcPr>
          <w:p w14:paraId="4C4D1C02">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p>
        </w:tc>
        <w:tc>
          <w:tcPr>
            <w:tcW w:w="1034" w:type="dxa"/>
            <w:vMerge w:val="continue"/>
            <w:tcBorders>
              <w:top w:val="nil"/>
              <w:bottom w:val="single" w:color="auto" w:sz="12" w:space="0"/>
            </w:tcBorders>
            <w:noWrap w:val="0"/>
            <w:vAlign w:val="center"/>
          </w:tcPr>
          <w:p w14:paraId="6429B56B">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1"/>
                <w:szCs w:val="21"/>
              </w:rPr>
            </w:pPr>
          </w:p>
        </w:tc>
      </w:tr>
      <w:tr w14:paraId="7EB85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tcBorders>
              <w:top w:val="single" w:color="auto" w:sz="12" w:space="0"/>
            </w:tcBorders>
            <w:noWrap w:val="0"/>
            <w:vAlign w:val="center"/>
          </w:tcPr>
          <w:p w14:paraId="1DB4D19E">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1"/>
                <w:szCs w:val="21"/>
                <w:lang w:val="en-US" w:eastAsia="zh-CN"/>
              </w:rPr>
            </w:pPr>
            <w:r>
              <w:rPr>
                <w:rFonts w:hint="eastAsia"/>
                <w:bCs/>
                <w:color w:val="FF0000"/>
                <w:sz w:val="21"/>
                <w:szCs w:val="21"/>
                <w:lang w:val="en-US" w:eastAsia="zh-CN"/>
              </w:rPr>
              <w:t>九华镇卫生院</w:t>
            </w:r>
          </w:p>
        </w:tc>
        <w:tc>
          <w:tcPr>
            <w:tcW w:w="1259" w:type="dxa"/>
            <w:tcBorders>
              <w:top w:val="single" w:color="auto" w:sz="12" w:space="0"/>
            </w:tcBorders>
            <w:noWrap w:val="0"/>
            <w:vAlign w:val="center"/>
          </w:tcPr>
          <w:p w14:paraId="491FB06B">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bCs/>
                <w:color w:val="FF0000"/>
                <w:sz w:val="21"/>
                <w:szCs w:val="21"/>
                <w:lang w:val="en-US" w:eastAsia="zh-CN"/>
              </w:rPr>
              <w:t>120°64′79.60</w:t>
            </w:r>
          </w:p>
        </w:tc>
        <w:tc>
          <w:tcPr>
            <w:tcW w:w="1350" w:type="dxa"/>
            <w:tcBorders>
              <w:top w:val="single" w:color="auto" w:sz="12" w:space="0"/>
            </w:tcBorders>
            <w:noWrap w:val="0"/>
            <w:vAlign w:val="center"/>
          </w:tcPr>
          <w:p w14:paraId="5ABDD80D">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eastAsia" w:ascii="Times New Roman" w:hAnsi="Times New Roman" w:eastAsia="宋体" w:cs="Times New Roman"/>
                <w:bCs/>
                <w:color w:val="FF0000"/>
                <w:sz w:val="21"/>
                <w:szCs w:val="21"/>
                <w:lang w:val="en-US" w:eastAsia="zh-CN"/>
              </w:rPr>
              <w:t>32</w:t>
            </w:r>
            <w:r>
              <w:rPr>
                <w:rFonts w:hint="default" w:ascii="Times New Roman" w:hAnsi="Times New Roman" w:eastAsia="宋体" w:cs="Times New Roman"/>
                <w:bCs/>
                <w:color w:val="FF0000"/>
                <w:sz w:val="21"/>
                <w:szCs w:val="21"/>
                <w:lang w:val="en-US" w:eastAsia="zh-CN"/>
              </w:rPr>
              <w:t>°</w:t>
            </w:r>
            <w:r>
              <w:rPr>
                <w:rFonts w:hint="eastAsia" w:ascii="Times New Roman" w:hAnsi="Times New Roman" w:eastAsia="宋体" w:cs="Times New Roman"/>
                <w:bCs/>
                <w:color w:val="FF0000"/>
                <w:sz w:val="21"/>
                <w:szCs w:val="21"/>
                <w:lang w:val="en-US" w:eastAsia="zh-CN"/>
              </w:rPr>
              <w:t>13</w:t>
            </w:r>
            <w:r>
              <w:rPr>
                <w:rFonts w:hint="default" w:ascii="Times New Roman" w:hAnsi="Times New Roman" w:eastAsia="宋体" w:cs="Times New Roman"/>
                <w:bCs/>
                <w:color w:val="FF0000"/>
                <w:sz w:val="21"/>
                <w:szCs w:val="21"/>
                <w:lang w:val="en-US" w:eastAsia="zh-CN"/>
              </w:rPr>
              <w:t>′</w:t>
            </w:r>
            <w:r>
              <w:rPr>
                <w:rFonts w:hint="eastAsia" w:ascii="Times New Roman" w:hAnsi="Times New Roman" w:eastAsia="宋体" w:cs="Times New Roman"/>
                <w:bCs/>
                <w:color w:val="FF0000"/>
                <w:sz w:val="21"/>
                <w:szCs w:val="21"/>
                <w:lang w:val="en-US" w:eastAsia="zh-CN"/>
              </w:rPr>
              <w:t>82.27</w:t>
            </w:r>
            <w:r>
              <w:rPr>
                <w:rFonts w:hint="default" w:ascii="Times New Roman" w:hAnsi="Times New Roman" w:eastAsia="宋体" w:cs="Times New Roman"/>
                <w:bCs/>
                <w:color w:val="FF0000"/>
                <w:sz w:val="21"/>
                <w:szCs w:val="21"/>
                <w:lang w:val="en-US" w:eastAsia="zh-CN"/>
              </w:rPr>
              <w:t>″</w:t>
            </w:r>
          </w:p>
        </w:tc>
        <w:tc>
          <w:tcPr>
            <w:tcW w:w="938" w:type="dxa"/>
            <w:tcBorders>
              <w:top w:val="single" w:color="auto" w:sz="12" w:space="0"/>
            </w:tcBorders>
            <w:noWrap w:val="0"/>
            <w:vAlign w:val="center"/>
          </w:tcPr>
          <w:p w14:paraId="3F6E0092">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lang w:eastAsia="zh-CN"/>
              </w:rPr>
            </w:pPr>
            <w:r>
              <w:rPr>
                <w:rFonts w:hint="eastAsia" w:ascii="Times New Roman" w:eastAsia="宋体" w:cs="Times New Roman"/>
                <w:b w:val="0"/>
                <w:bCs/>
                <w:color w:val="FF0000"/>
                <w:sz w:val="21"/>
                <w:szCs w:val="21"/>
                <w:lang w:val="en-US" w:eastAsia="zh-CN"/>
              </w:rPr>
              <w:t>医院</w:t>
            </w:r>
          </w:p>
        </w:tc>
        <w:tc>
          <w:tcPr>
            <w:tcW w:w="868" w:type="dxa"/>
            <w:tcBorders>
              <w:top w:val="single" w:color="auto" w:sz="12" w:space="0"/>
            </w:tcBorders>
            <w:noWrap w:val="0"/>
            <w:vAlign w:val="center"/>
          </w:tcPr>
          <w:p w14:paraId="7135AB37">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tcBorders>
              <w:top w:val="single" w:color="auto" w:sz="12" w:space="0"/>
            </w:tcBorders>
            <w:noWrap w:val="0"/>
            <w:vAlign w:val="center"/>
          </w:tcPr>
          <w:p w14:paraId="3997201A">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W</w:t>
            </w:r>
          </w:p>
        </w:tc>
        <w:tc>
          <w:tcPr>
            <w:tcW w:w="1081" w:type="dxa"/>
            <w:tcBorders>
              <w:top w:val="single" w:color="auto" w:sz="12" w:space="0"/>
            </w:tcBorders>
            <w:noWrap w:val="0"/>
            <w:vAlign w:val="center"/>
          </w:tcPr>
          <w:p w14:paraId="7A8C09BB">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112</w:t>
            </w:r>
          </w:p>
        </w:tc>
        <w:tc>
          <w:tcPr>
            <w:tcW w:w="1034" w:type="dxa"/>
            <w:tcBorders>
              <w:top w:val="single" w:color="auto" w:sz="12" w:space="0"/>
            </w:tcBorders>
            <w:noWrap w:val="0"/>
            <w:vAlign w:val="center"/>
          </w:tcPr>
          <w:p w14:paraId="57086C42">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300</w:t>
            </w:r>
          </w:p>
        </w:tc>
      </w:tr>
      <w:tr w14:paraId="7B9EE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588FEBA6">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1"/>
                <w:szCs w:val="21"/>
                <w:lang w:val="en-US" w:eastAsia="zh-CN"/>
              </w:rPr>
            </w:pPr>
            <w:r>
              <w:rPr>
                <w:rFonts w:hint="eastAsia"/>
                <w:bCs/>
                <w:color w:val="FF0000"/>
                <w:sz w:val="21"/>
                <w:szCs w:val="21"/>
                <w:lang w:val="en-US" w:eastAsia="zh-CN"/>
              </w:rPr>
              <w:t>马桥村十九组</w:t>
            </w:r>
          </w:p>
        </w:tc>
        <w:tc>
          <w:tcPr>
            <w:tcW w:w="1259" w:type="dxa"/>
            <w:noWrap w:val="0"/>
            <w:vAlign w:val="center"/>
          </w:tcPr>
          <w:p w14:paraId="73C05DA2">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91.30</w:t>
            </w:r>
          </w:p>
        </w:tc>
        <w:tc>
          <w:tcPr>
            <w:tcW w:w="1350" w:type="dxa"/>
            <w:noWrap w:val="0"/>
            <w:vAlign w:val="center"/>
          </w:tcPr>
          <w:p w14:paraId="28F25E89">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120°64′7</w:t>
            </w:r>
            <w:r>
              <w:rPr>
                <w:rFonts w:hint="eastAsia" w:ascii="Times New Roman" w:hAnsi="Times New Roman" w:eastAsia="宋体" w:cs="Times New Roman"/>
                <w:bCs/>
                <w:color w:val="FF0000"/>
                <w:sz w:val="21"/>
                <w:szCs w:val="21"/>
                <w:lang w:val="en-US" w:eastAsia="zh-CN"/>
              </w:rPr>
              <w:t>6.68</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753D22BF">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居民区</w:t>
            </w:r>
          </w:p>
        </w:tc>
        <w:tc>
          <w:tcPr>
            <w:tcW w:w="868" w:type="dxa"/>
            <w:noWrap w:val="0"/>
            <w:vAlign w:val="center"/>
          </w:tcPr>
          <w:p w14:paraId="69E7BE8B">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6E66CF66">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S</w:t>
            </w:r>
          </w:p>
        </w:tc>
        <w:tc>
          <w:tcPr>
            <w:tcW w:w="1081" w:type="dxa"/>
            <w:noWrap w:val="0"/>
            <w:vAlign w:val="center"/>
          </w:tcPr>
          <w:p w14:paraId="4EB9A7D5">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165</w:t>
            </w:r>
          </w:p>
        </w:tc>
        <w:tc>
          <w:tcPr>
            <w:tcW w:w="1034" w:type="dxa"/>
            <w:noWrap w:val="0"/>
            <w:vAlign w:val="center"/>
          </w:tcPr>
          <w:p w14:paraId="18527378">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30</w:t>
            </w:r>
          </w:p>
        </w:tc>
      </w:tr>
      <w:tr w14:paraId="60051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45532F41">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1"/>
                <w:szCs w:val="21"/>
                <w:lang w:val="en-US" w:eastAsia="zh-CN"/>
              </w:rPr>
            </w:pPr>
            <w:r>
              <w:rPr>
                <w:rFonts w:hint="eastAsia"/>
                <w:bCs/>
                <w:color w:val="FF0000"/>
                <w:sz w:val="21"/>
                <w:szCs w:val="21"/>
                <w:lang w:val="en-US" w:eastAsia="zh-CN"/>
              </w:rPr>
              <w:t>马桥村十七组</w:t>
            </w:r>
          </w:p>
        </w:tc>
        <w:tc>
          <w:tcPr>
            <w:tcW w:w="1259" w:type="dxa"/>
            <w:noWrap w:val="0"/>
            <w:vAlign w:val="center"/>
          </w:tcPr>
          <w:p w14:paraId="25090BED">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w:t>
            </w:r>
            <w:r>
              <w:rPr>
                <w:rFonts w:hint="eastAsia" w:ascii="Times New Roman" w:hAnsi="Times New Roman" w:eastAsia="宋体" w:cs="Times New Roman"/>
                <w:bCs/>
                <w:color w:val="FF0000"/>
                <w:sz w:val="21"/>
                <w:szCs w:val="21"/>
                <w:lang w:val="en-US" w:eastAsia="zh-CN"/>
              </w:rPr>
              <w:t>5</w:t>
            </w:r>
            <w:r>
              <w:rPr>
                <w:rFonts w:hint="default" w:ascii="Times New Roman" w:hAnsi="Times New Roman" w:eastAsia="宋体" w:cs="Times New Roman"/>
                <w:bCs/>
                <w:color w:val="FF0000"/>
                <w:sz w:val="21"/>
                <w:szCs w:val="21"/>
                <w:lang w:val="en-US" w:eastAsia="zh-CN"/>
              </w:rPr>
              <w:t>′</w:t>
            </w:r>
            <w:r>
              <w:rPr>
                <w:rFonts w:hint="eastAsia" w:ascii="Times New Roman" w:hAnsi="Times New Roman" w:eastAsia="宋体" w:cs="Times New Roman"/>
                <w:bCs/>
                <w:color w:val="FF0000"/>
                <w:sz w:val="21"/>
                <w:szCs w:val="21"/>
                <w:lang w:val="en-US" w:eastAsia="zh-CN"/>
              </w:rPr>
              <w:t>01.97</w:t>
            </w:r>
          </w:p>
        </w:tc>
        <w:tc>
          <w:tcPr>
            <w:tcW w:w="1350" w:type="dxa"/>
            <w:noWrap w:val="0"/>
            <w:vAlign w:val="center"/>
          </w:tcPr>
          <w:p w14:paraId="7B3BEE48">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120°64′7</w:t>
            </w:r>
            <w:r>
              <w:rPr>
                <w:rFonts w:hint="eastAsia" w:ascii="Times New Roman" w:hAnsi="Times New Roman" w:eastAsia="宋体" w:cs="Times New Roman"/>
                <w:bCs/>
                <w:color w:val="FF0000"/>
                <w:sz w:val="21"/>
                <w:szCs w:val="21"/>
                <w:lang w:val="en-US" w:eastAsia="zh-CN"/>
              </w:rPr>
              <w:t>2.14</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0DA2C5D4">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ascii="Times New Roman" w:eastAsia="宋体" w:cs="Times New Roman"/>
                <w:b w:val="0"/>
                <w:bCs/>
                <w:color w:val="FF0000"/>
                <w:sz w:val="21"/>
                <w:szCs w:val="21"/>
              </w:rPr>
              <w:t>居民区</w:t>
            </w:r>
          </w:p>
        </w:tc>
        <w:tc>
          <w:tcPr>
            <w:tcW w:w="868" w:type="dxa"/>
            <w:noWrap w:val="0"/>
            <w:vAlign w:val="center"/>
          </w:tcPr>
          <w:p w14:paraId="3C8048CD">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1106126C">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SE</w:t>
            </w:r>
          </w:p>
        </w:tc>
        <w:tc>
          <w:tcPr>
            <w:tcW w:w="1081" w:type="dxa"/>
            <w:noWrap w:val="0"/>
            <w:vAlign w:val="center"/>
          </w:tcPr>
          <w:p w14:paraId="0E9EDE23">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175</w:t>
            </w:r>
          </w:p>
        </w:tc>
        <w:tc>
          <w:tcPr>
            <w:tcW w:w="1034" w:type="dxa"/>
            <w:noWrap w:val="0"/>
            <w:vAlign w:val="center"/>
          </w:tcPr>
          <w:p w14:paraId="442F3397">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120</w:t>
            </w:r>
          </w:p>
        </w:tc>
      </w:tr>
      <w:tr w14:paraId="797E0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04178686">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1"/>
                <w:szCs w:val="21"/>
                <w:lang w:val="en-US" w:eastAsia="zh-CN"/>
              </w:rPr>
            </w:pPr>
            <w:r>
              <w:rPr>
                <w:rFonts w:hint="eastAsia"/>
                <w:bCs/>
                <w:color w:val="FF0000"/>
                <w:sz w:val="21"/>
                <w:szCs w:val="21"/>
                <w:lang w:val="en-US" w:eastAsia="zh-CN"/>
              </w:rPr>
              <w:t>如皋市海淘职业学校</w:t>
            </w:r>
          </w:p>
        </w:tc>
        <w:tc>
          <w:tcPr>
            <w:tcW w:w="1259" w:type="dxa"/>
            <w:noWrap w:val="0"/>
            <w:vAlign w:val="center"/>
          </w:tcPr>
          <w:p w14:paraId="1A215F27">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w:t>
            </w:r>
            <w:r>
              <w:rPr>
                <w:rFonts w:hint="eastAsia" w:ascii="Times New Roman" w:hAnsi="Times New Roman" w:eastAsia="宋体" w:cs="Times New Roman"/>
                <w:bCs/>
                <w:color w:val="FF0000"/>
                <w:sz w:val="21"/>
                <w:szCs w:val="21"/>
                <w:lang w:val="en-US" w:eastAsia="zh-CN"/>
              </w:rPr>
              <w:t>5</w:t>
            </w:r>
            <w:r>
              <w:rPr>
                <w:rFonts w:hint="default" w:ascii="Times New Roman" w:hAnsi="Times New Roman" w:eastAsia="宋体" w:cs="Times New Roman"/>
                <w:bCs/>
                <w:color w:val="FF0000"/>
                <w:sz w:val="21"/>
                <w:szCs w:val="21"/>
                <w:lang w:val="en-US" w:eastAsia="zh-CN"/>
              </w:rPr>
              <w:t>′</w:t>
            </w:r>
            <w:r>
              <w:rPr>
                <w:rFonts w:hint="eastAsia" w:ascii="Times New Roman" w:hAnsi="Times New Roman" w:eastAsia="宋体" w:cs="Times New Roman"/>
                <w:bCs/>
                <w:color w:val="FF0000"/>
                <w:sz w:val="21"/>
                <w:szCs w:val="21"/>
                <w:lang w:val="en-US" w:eastAsia="zh-CN"/>
              </w:rPr>
              <w:t>23.16</w:t>
            </w:r>
          </w:p>
        </w:tc>
        <w:tc>
          <w:tcPr>
            <w:tcW w:w="1350" w:type="dxa"/>
            <w:noWrap w:val="0"/>
            <w:vAlign w:val="center"/>
          </w:tcPr>
          <w:p w14:paraId="2B931EC5">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120°64′7</w:t>
            </w:r>
            <w:r>
              <w:rPr>
                <w:rFonts w:hint="eastAsia" w:ascii="Times New Roman" w:hAnsi="Times New Roman" w:eastAsia="宋体" w:cs="Times New Roman"/>
                <w:bCs/>
                <w:color w:val="FF0000"/>
                <w:sz w:val="21"/>
                <w:szCs w:val="21"/>
                <w:lang w:val="en-US" w:eastAsia="zh-CN"/>
              </w:rPr>
              <w:t>3.80</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677FC206">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lang w:eastAsia="zh-CN"/>
              </w:rPr>
            </w:pPr>
            <w:r>
              <w:rPr>
                <w:rFonts w:hint="eastAsia" w:ascii="Times New Roman" w:eastAsia="宋体" w:cs="Times New Roman"/>
                <w:b w:val="0"/>
                <w:bCs/>
                <w:color w:val="FF0000"/>
                <w:sz w:val="21"/>
                <w:szCs w:val="21"/>
                <w:lang w:val="en-US" w:eastAsia="zh-CN"/>
              </w:rPr>
              <w:t>学校</w:t>
            </w:r>
          </w:p>
        </w:tc>
        <w:tc>
          <w:tcPr>
            <w:tcW w:w="868" w:type="dxa"/>
            <w:noWrap w:val="0"/>
            <w:vAlign w:val="center"/>
          </w:tcPr>
          <w:p w14:paraId="0EEF3A8A">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044D552A">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E</w:t>
            </w:r>
          </w:p>
        </w:tc>
        <w:tc>
          <w:tcPr>
            <w:tcW w:w="1081" w:type="dxa"/>
            <w:noWrap w:val="0"/>
            <w:vAlign w:val="center"/>
          </w:tcPr>
          <w:p w14:paraId="0DEC8A43">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200</w:t>
            </w:r>
          </w:p>
        </w:tc>
        <w:tc>
          <w:tcPr>
            <w:tcW w:w="1034" w:type="dxa"/>
            <w:noWrap w:val="0"/>
            <w:vAlign w:val="center"/>
          </w:tcPr>
          <w:p w14:paraId="2FB6141B">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1000</w:t>
            </w:r>
          </w:p>
        </w:tc>
      </w:tr>
      <w:tr w14:paraId="71234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2D0F8856">
            <w:pPr>
              <w:keepNext w:val="0"/>
              <w:keepLines w:val="0"/>
              <w:pageBreakBefore w:val="0"/>
              <w:kinsoku/>
              <w:wordWrap/>
              <w:overflowPunct/>
              <w:topLinePunct w:val="0"/>
              <w:bidi w:val="0"/>
              <w:adjustRightInd w:val="0"/>
              <w:snapToGrid w:val="0"/>
              <w:ind w:firstLine="0" w:firstLineChars="0"/>
              <w:jc w:val="center"/>
              <w:textAlignment w:val="auto"/>
              <w:rPr>
                <w:rFonts w:hint="default"/>
                <w:bCs/>
                <w:color w:val="FF0000"/>
                <w:sz w:val="21"/>
                <w:szCs w:val="21"/>
                <w:lang w:val="en-US" w:eastAsia="zh-CN"/>
              </w:rPr>
            </w:pPr>
            <w:r>
              <w:rPr>
                <w:rFonts w:hint="eastAsia"/>
                <w:bCs/>
                <w:color w:val="FF0000"/>
                <w:sz w:val="21"/>
                <w:szCs w:val="21"/>
                <w:lang w:val="en-US" w:eastAsia="zh-CN"/>
              </w:rPr>
              <w:t>九华镇马桥幼儿园</w:t>
            </w:r>
          </w:p>
        </w:tc>
        <w:tc>
          <w:tcPr>
            <w:tcW w:w="1259" w:type="dxa"/>
            <w:noWrap w:val="0"/>
            <w:vAlign w:val="center"/>
          </w:tcPr>
          <w:p w14:paraId="16C9246F">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bCs/>
                <w:color w:val="FF0000"/>
                <w:sz w:val="21"/>
                <w:szCs w:val="21"/>
                <w:lang w:val="en-US" w:eastAsia="zh-CN"/>
              </w:rPr>
              <w:t>120°6</w:t>
            </w:r>
            <w:r>
              <w:rPr>
                <w:rFonts w:hint="eastAsia" w:ascii="Times New Roman" w:hAnsi="Times New Roman" w:eastAsia="宋体" w:cs="Times New Roman"/>
                <w:bCs/>
                <w:color w:val="FF0000"/>
                <w:sz w:val="21"/>
                <w:szCs w:val="21"/>
                <w:lang w:val="en-US" w:eastAsia="zh-CN"/>
              </w:rPr>
              <w:t>5</w:t>
            </w:r>
            <w:r>
              <w:rPr>
                <w:rFonts w:hint="default" w:ascii="Times New Roman" w:hAnsi="Times New Roman" w:eastAsia="宋体" w:cs="Times New Roman"/>
                <w:bCs/>
                <w:color w:val="FF0000"/>
                <w:sz w:val="21"/>
                <w:szCs w:val="21"/>
                <w:lang w:val="en-US" w:eastAsia="zh-CN"/>
              </w:rPr>
              <w:t>′</w:t>
            </w:r>
            <w:r>
              <w:rPr>
                <w:rFonts w:hint="eastAsia" w:ascii="Times New Roman" w:hAnsi="Times New Roman" w:eastAsia="宋体" w:cs="Times New Roman"/>
                <w:bCs/>
                <w:color w:val="FF0000"/>
                <w:sz w:val="21"/>
                <w:szCs w:val="21"/>
                <w:lang w:val="en-US" w:eastAsia="zh-CN"/>
              </w:rPr>
              <w:t>33.25</w:t>
            </w:r>
          </w:p>
        </w:tc>
        <w:tc>
          <w:tcPr>
            <w:tcW w:w="1350" w:type="dxa"/>
            <w:noWrap w:val="0"/>
            <w:vAlign w:val="center"/>
          </w:tcPr>
          <w:p w14:paraId="30CB65D3">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65.70</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1849A224">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hint="eastAsia" w:ascii="Times New Roman" w:eastAsia="宋体" w:cs="Times New Roman"/>
                <w:b w:val="0"/>
                <w:bCs/>
                <w:color w:val="FF0000"/>
                <w:sz w:val="21"/>
                <w:szCs w:val="21"/>
                <w:lang w:val="en-US" w:eastAsia="zh-CN"/>
              </w:rPr>
              <w:t>学校</w:t>
            </w:r>
          </w:p>
        </w:tc>
        <w:tc>
          <w:tcPr>
            <w:tcW w:w="868" w:type="dxa"/>
            <w:noWrap w:val="0"/>
            <w:vAlign w:val="center"/>
          </w:tcPr>
          <w:p w14:paraId="756A9004">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2434EFB9">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SE</w:t>
            </w:r>
          </w:p>
        </w:tc>
        <w:tc>
          <w:tcPr>
            <w:tcW w:w="1081" w:type="dxa"/>
            <w:noWrap w:val="0"/>
            <w:vAlign w:val="center"/>
          </w:tcPr>
          <w:p w14:paraId="3724783C">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140</w:t>
            </w:r>
          </w:p>
        </w:tc>
        <w:tc>
          <w:tcPr>
            <w:tcW w:w="1034" w:type="dxa"/>
            <w:noWrap w:val="0"/>
            <w:vAlign w:val="center"/>
          </w:tcPr>
          <w:p w14:paraId="14B6E49E">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120</w:t>
            </w:r>
          </w:p>
        </w:tc>
      </w:tr>
      <w:tr w14:paraId="46CEA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46BE9563">
            <w:pPr>
              <w:keepNext w:val="0"/>
              <w:keepLines w:val="0"/>
              <w:pageBreakBefore w:val="0"/>
              <w:kinsoku/>
              <w:wordWrap/>
              <w:overflowPunct/>
              <w:topLinePunct w:val="0"/>
              <w:bidi w:val="0"/>
              <w:adjustRightInd w:val="0"/>
              <w:snapToGrid w:val="0"/>
              <w:ind w:firstLine="0" w:firstLineChars="0"/>
              <w:jc w:val="center"/>
              <w:textAlignment w:val="auto"/>
              <w:rPr>
                <w:rFonts w:hint="default"/>
                <w:bCs/>
                <w:color w:val="FF0000"/>
                <w:sz w:val="21"/>
                <w:szCs w:val="21"/>
                <w:lang w:val="en-US" w:eastAsia="zh-CN"/>
              </w:rPr>
            </w:pPr>
            <w:r>
              <w:rPr>
                <w:rFonts w:hint="eastAsia"/>
                <w:bCs/>
                <w:color w:val="FF0000"/>
                <w:sz w:val="21"/>
                <w:szCs w:val="21"/>
                <w:lang w:val="en-US" w:eastAsia="zh-CN"/>
              </w:rPr>
              <w:t>九华镇马桥小学</w:t>
            </w:r>
          </w:p>
        </w:tc>
        <w:tc>
          <w:tcPr>
            <w:tcW w:w="1259" w:type="dxa"/>
            <w:noWrap w:val="0"/>
            <w:vAlign w:val="center"/>
          </w:tcPr>
          <w:p w14:paraId="618D1F2A">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bCs/>
                <w:color w:val="FF0000"/>
                <w:sz w:val="21"/>
                <w:szCs w:val="21"/>
                <w:lang w:val="en-US" w:eastAsia="zh-CN"/>
              </w:rPr>
              <w:t>120°6</w:t>
            </w:r>
            <w:r>
              <w:rPr>
                <w:rFonts w:hint="eastAsia" w:ascii="Times New Roman" w:hAnsi="Times New Roman" w:eastAsia="宋体" w:cs="Times New Roman"/>
                <w:bCs/>
                <w:color w:val="FF0000"/>
                <w:sz w:val="21"/>
                <w:szCs w:val="21"/>
                <w:lang w:val="en-US" w:eastAsia="zh-CN"/>
              </w:rPr>
              <w:t>5</w:t>
            </w:r>
            <w:r>
              <w:rPr>
                <w:rFonts w:hint="default" w:ascii="Times New Roman" w:hAnsi="Times New Roman" w:eastAsia="宋体" w:cs="Times New Roman"/>
                <w:bCs/>
                <w:color w:val="FF0000"/>
                <w:sz w:val="21"/>
                <w:szCs w:val="21"/>
                <w:lang w:val="en-US" w:eastAsia="zh-CN"/>
              </w:rPr>
              <w:t>′</w:t>
            </w:r>
            <w:r>
              <w:rPr>
                <w:rFonts w:hint="eastAsia" w:ascii="Times New Roman" w:hAnsi="Times New Roman" w:eastAsia="宋体" w:cs="Times New Roman"/>
                <w:bCs/>
                <w:color w:val="FF0000"/>
                <w:sz w:val="21"/>
                <w:szCs w:val="21"/>
                <w:lang w:val="en-US" w:eastAsia="zh-CN"/>
              </w:rPr>
              <w:t>46.77</w:t>
            </w:r>
          </w:p>
        </w:tc>
        <w:tc>
          <w:tcPr>
            <w:tcW w:w="1350" w:type="dxa"/>
            <w:noWrap w:val="0"/>
            <w:vAlign w:val="center"/>
          </w:tcPr>
          <w:p w14:paraId="1C0BD69F">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1"/>
                <w:szCs w:val="21"/>
                <w:lang w:val="en-US" w:eastAsia="zh-CN"/>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43.55</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6B91BA99">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hint="eastAsia" w:ascii="Times New Roman" w:eastAsia="宋体" w:cs="Times New Roman"/>
                <w:b w:val="0"/>
                <w:bCs/>
                <w:color w:val="FF0000"/>
                <w:sz w:val="21"/>
                <w:szCs w:val="21"/>
                <w:lang w:val="en-US" w:eastAsia="zh-CN"/>
              </w:rPr>
              <w:t>学校</w:t>
            </w:r>
          </w:p>
        </w:tc>
        <w:tc>
          <w:tcPr>
            <w:tcW w:w="868" w:type="dxa"/>
            <w:noWrap w:val="0"/>
            <w:vAlign w:val="center"/>
          </w:tcPr>
          <w:p w14:paraId="1475DFC3">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04C62CE0">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SE</w:t>
            </w:r>
          </w:p>
        </w:tc>
        <w:tc>
          <w:tcPr>
            <w:tcW w:w="1081" w:type="dxa"/>
            <w:noWrap w:val="0"/>
            <w:vAlign w:val="center"/>
          </w:tcPr>
          <w:p w14:paraId="29653B4C">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145</w:t>
            </w:r>
          </w:p>
        </w:tc>
        <w:tc>
          <w:tcPr>
            <w:tcW w:w="1034" w:type="dxa"/>
            <w:noWrap w:val="0"/>
            <w:vAlign w:val="center"/>
          </w:tcPr>
          <w:p w14:paraId="1479971F">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250</w:t>
            </w:r>
          </w:p>
        </w:tc>
      </w:tr>
      <w:tr w14:paraId="4F2C4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0E0FD391">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eastAsia="宋体"/>
                <w:bCs/>
                <w:color w:val="FF0000"/>
                <w:sz w:val="21"/>
                <w:szCs w:val="21"/>
                <w:lang w:val="en-US" w:eastAsia="zh-CN"/>
              </w:rPr>
            </w:pPr>
            <w:r>
              <w:rPr>
                <w:rFonts w:hint="eastAsia" w:ascii="Times New Roman" w:hAnsi="Times New Roman" w:eastAsia="宋体" w:cs="Times New Roman"/>
                <w:bCs/>
                <w:color w:val="FF0000"/>
                <w:sz w:val="21"/>
                <w:szCs w:val="21"/>
                <w:lang w:val="en-US" w:eastAsia="zh-CN"/>
              </w:rPr>
              <w:t>田家埠</w:t>
            </w:r>
          </w:p>
        </w:tc>
        <w:tc>
          <w:tcPr>
            <w:tcW w:w="1259" w:type="dxa"/>
            <w:noWrap w:val="0"/>
            <w:vAlign w:val="center"/>
          </w:tcPr>
          <w:p w14:paraId="4F462387">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120°64′7</w:t>
            </w:r>
            <w:r>
              <w:rPr>
                <w:rFonts w:hint="eastAsia" w:ascii="Times New Roman" w:hAnsi="Times New Roman" w:eastAsia="宋体" w:cs="Times New Roman"/>
                <w:bCs/>
                <w:color w:val="FF0000"/>
                <w:sz w:val="21"/>
                <w:szCs w:val="21"/>
                <w:lang w:val="en-US" w:eastAsia="zh-CN"/>
              </w:rPr>
              <w:t>3.97</w:t>
            </w:r>
          </w:p>
        </w:tc>
        <w:tc>
          <w:tcPr>
            <w:tcW w:w="1350" w:type="dxa"/>
            <w:noWrap w:val="0"/>
            <w:vAlign w:val="center"/>
          </w:tcPr>
          <w:p w14:paraId="4A004FE8">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67.91</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33EA3E33">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居民区</w:t>
            </w:r>
          </w:p>
        </w:tc>
        <w:tc>
          <w:tcPr>
            <w:tcW w:w="868" w:type="dxa"/>
            <w:noWrap w:val="0"/>
            <w:vAlign w:val="center"/>
          </w:tcPr>
          <w:p w14:paraId="21B83CEA">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06A8E385">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SW</w:t>
            </w:r>
          </w:p>
        </w:tc>
        <w:tc>
          <w:tcPr>
            <w:tcW w:w="1081" w:type="dxa"/>
            <w:noWrap w:val="0"/>
            <w:vAlign w:val="center"/>
          </w:tcPr>
          <w:p w14:paraId="377D0570">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468</w:t>
            </w:r>
          </w:p>
        </w:tc>
        <w:tc>
          <w:tcPr>
            <w:tcW w:w="1034" w:type="dxa"/>
            <w:noWrap w:val="0"/>
            <w:vAlign w:val="center"/>
          </w:tcPr>
          <w:p w14:paraId="2E2D2757">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45</w:t>
            </w:r>
          </w:p>
        </w:tc>
      </w:tr>
      <w:tr w14:paraId="19466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68934F31">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1"/>
                <w:szCs w:val="21"/>
                <w:lang w:val="en-US" w:eastAsia="zh-CN"/>
              </w:rPr>
            </w:pPr>
            <w:r>
              <w:rPr>
                <w:rFonts w:hint="eastAsia"/>
                <w:bCs/>
                <w:color w:val="FF0000"/>
                <w:sz w:val="21"/>
                <w:szCs w:val="21"/>
                <w:lang w:val="en-US" w:eastAsia="zh-CN"/>
              </w:rPr>
              <w:t>管家圩</w:t>
            </w:r>
          </w:p>
        </w:tc>
        <w:tc>
          <w:tcPr>
            <w:tcW w:w="1259" w:type="dxa"/>
            <w:noWrap w:val="0"/>
            <w:vAlign w:val="center"/>
          </w:tcPr>
          <w:p w14:paraId="19EE05E5">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88.40</w:t>
            </w:r>
          </w:p>
        </w:tc>
        <w:tc>
          <w:tcPr>
            <w:tcW w:w="1350" w:type="dxa"/>
            <w:noWrap w:val="0"/>
            <w:vAlign w:val="center"/>
          </w:tcPr>
          <w:p w14:paraId="1D6A9D92">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57.10</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74311ADF">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居民区</w:t>
            </w:r>
          </w:p>
        </w:tc>
        <w:tc>
          <w:tcPr>
            <w:tcW w:w="868" w:type="dxa"/>
            <w:noWrap w:val="0"/>
            <w:vAlign w:val="center"/>
          </w:tcPr>
          <w:p w14:paraId="6BE74A9F">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38DB71A1">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SW</w:t>
            </w:r>
          </w:p>
        </w:tc>
        <w:tc>
          <w:tcPr>
            <w:tcW w:w="1081" w:type="dxa"/>
            <w:noWrap w:val="0"/>
            <w:vAlign w:val="center"/>
          </w:tcPr>
          <w:p w14:paraId="4AD34427">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380</w:t>
            </w:r>
          </w:p>
        </w:tc>
        <w:tc>
          <w:tcPr>
            <w:tcW w:w="1034" w:type="dxa"/>
            <w:noWrap w:val="0"/>
            <w:vAlign w:val="center"/>
          </w:tcPr>
          <w:p w14:paraId="0C051135">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100</w:t>
            </w:r>
          </w:p>
        </w:tc>
      </w:tr>
      <w:tr w14:paraId="5B0D2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1E5D3E48">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1"/>
                <w:szCs w:val="21"/>
                <w:lang w:val="en-US" w:eastAsia="zh-CN"/>
              </w:rPr>
            </w:pPr>
            <w:r>
              <w:rPr>
                <w:rFonts w:hint="eastAsia"/>
                <w:bCs/>
                <w:color w:val="FF0000"/>
                <w:sz w:val="21"/>
                <w:szCs w:val="21"/>
                <w:lang w:val="en-US" w:eastAsia="zh-CN"/>
              </w:rPr>
              <w:t>马桥村十三组</w:t>
            </w:r>
          </w:p>
        </w:tc>
        <w:tc>
          <w:tcPr>
            <w:tcW w:w="1259" w:type="dxa"/>
            <w:noWrap w:val="0"/>
            <w:vAlign w:val="center"/>
          </w:tcPr>
          <w:p w14:paraId="20340D11">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69.95</w:t>
            </w:r>
          </w:p>
        </w:tc>
        <w:tc>
          <w:tcPr>
            <w:tcW w:w="1350" w:type="dxa"/>
            <w:noWrap w:val="0"/>
            <w:vAlign w:val="center"/>
          </w:tcPr>
          <w:p w14:paraId="02633F75">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09.79</w:t>
            </w:r>
            <w:r>
              <w:rPr>
                <w:rFonts w:hint="default" w:ascii="Times New Roman" w:hAnsi="Times New Roman" w:eastAsia="宋体" w:cs="Times New Roman"/>
                <w:bCs/>
                <w:color w:val="FF0000"/>
                <w:sz w:val="21"/>
                <w:szCs w:val="21"/>
                <w:lang w:val="en-US" w:eastAsia="zh-CN"/>
              </w:rPr>
              <w:t>0</w:t>
            </w:r>
          </w:p>
        </w:tc>
        <w:tc>
          <w:tcPr>
            <w:tcW w:w="938" w:type="dxa"/>
            <w:noWrap w:val="0"/>
            <w:vAlign w:val="center"/>
          </w:tcPr>
          <w:p w14:paraId="6A2AAE7D">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居民区</w:t>
            </w:r>
          </w:p>
        </w:tc>
        <w:tc>
          <w:tcPr>
            <w:tcW w:w="868" w:type="dxa"/>
            <w:noWrap w:val="0"/>
            <w:vAlign w:val="center"/>
          </w:tcPr>
          <w:p w14:paraId="37EF48CE">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4D7EF6DD">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NW</w:t>
            </w:r>
          </w:p>
        </w:tc>
        <w:tc>
          <w:tcPr>
            <w:tcW w:w="1081" w:type="dxa"/>
            <w:noWrap w:val="0"/>
            <w:vAlign w:val="center"/>
          </w:tcPr>
          <w:p w14:paraId="04B5CB03">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279</w:t>
            </w:r>
          </w:p>
        </w:tc>
        <w:tc>
          <w:tcPr>
            <w:tcW w:w="1034" w:type="dxa"/>
            <w:noWrap w:val="0"/>
            <w:vAlign w:val="center"/>
          </w:tcPr>
          <w:p w14:paraId="2A0AFB27">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150</w:t>
            </w:r>
          </w:p>
        </w:tc>
      </w:tr>
      <w:tr w14:paraId="2FADA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2F40276B">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1"/>
                <w:szCs w:val="21"/>
                <w:lang w:val="en-US" w:eastAsia="zh-CN"/>
              </w:rPr>
            </w:pPr>
            <w:r>
              <w:rPr>
                <w:rFonts w:hint="eastAsia"/>
                <w:bCs/>
                <w:color w:val="FF0000"/>
                <w:sz w:val="21"/>
                <w:szCs w:val="21"/>
                <w:lang w:val="en-US" w:eastAsia="zh-CN"/>
              </w:rPr>
              <w:t>马桥中心小区</w:t>
            </w:r>
          </w:p>
        </w:tc>
        <w:tc>
          <w:tcPr>
            <w:tcW w:w="1259" w:type="dxa"/>
            <w:noWrap w:val="0"/>
            <w:vAlign w:val="center"/>
          </w:tcPr>
          <w:p w14:paraId="4282BA42">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14.69</w:t>
            </w:r>
          </w:p>
        </w:tc>
        <w:tc>
          <w:tcPr>
            <w:tcW w:w="1350" w:type="dxa"/>
            <w:noWrap w:val="0"/>
            <w:vAlign w:val="center"/>
          </w:tcPr>
          <w:p w14:paraId="26CB631C">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1"/>
                <w:szCs w:val="21"/>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37.14</w:t>
            </w:r>
            <w:r>
              <w:rPr>
                <w:rFonts w:hint="default" w:ascii="Times New Roman" w:hAnsi="Times New Roman" w:eastAsia="宋体" w:cs="Times New Roman"/>
                <w:bCs/>
                <w:color w:val="FF0000"/>
                <w:sz w:val="21"/>
                <w:szCs w:val="21"/>
                <w:lang w:val="en-US" w:eastAsia="zh-CN"/>
              </w:rPr>
              <w:t>″</w:t>
            </w:r>
          </w:p>
        </w:tc>
        <w:tc>
          <w:tcPr>
            <w:tcW w:w="938" w:type="dxa"/>
            <w:noWrap w:val="0"/>
            <w:vAlign w:val="center"/>
          </w:tcPr>
          <w:p w14:paraId="4A2DC1A2">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居民区</w:t>
            </w:r>
          </w:p>
        </w:tc>
        <w:tc>
          <w:tcPr>
            <w:tcW w:w="868" w:type="dxa"/>
            <w:noWrap w:val="0"/>
            <w:vAlign w:val="center"/>
          </w:tcPr>
          <w:p w14:paraId="2C0E602B">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1"/>
                <w:szCs w:val="21"/>
              </w:rPr>
            </w:pPr>
            <w:r>
              <w:rPr>
                <w:rFonts w:ascii="Times New Roman" w:eastAsia="宋体" w:cs="Times New Roman"/>
                <w:b w:val="0"/>
                <w:bCs/>
                <w:color w:val="FF0000"/>
                <w:sz w:val="21"/>
                <w:szCs w:val="21"/>
              </w:rPr>
              <w:t>二类区</w:t>
            </w:r>
          </w:p>
        </w:tc>
        <w:tc>
          <w:tcPr>
            <w:tcW w:w="885" w:type="dxa"/>
            <w:noWrap w:val="0"/>
            <w:vAlign w:val="center"/>
          </w:tcPr>
          <w:p w14:paraId="31E4C897">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NE</w:t>
            </w:r>
          </w:p>
        </w:tc>
        <w:tc>
          <w:tcPr>
            <w:tcW w:w="1081" w:type="dxa"/>
            <w:noWrap w:val="0"/>
            <w:vAlign w:val="center"/>
          </w:tcPr>
          <w:p w14:paraId="4891604F">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343</w:t>
            </w:r>
          </w:p>
        </w:tc>
        <w:tc>
          <w:tcPr>
            <w:tcW w:w="1034" w:type="dxa"/>
            <w:noWrap w:val="0"/>
            <w:vAlign w:val="center"/>
          </w:tcPr>
          <w:p w14:paraId="09A808F2">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800</w:t>
            </w:r>
          </w:p>
        </w:tc>
      </w:tr>
      <w:tr w14:paraId="60F9A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14:paraId="6524D045">
            <w:pPr>
              <w:keepNext w:val="0"/>
              <w:keepLines w:val="0"/>
              <w:pageBreakBefore w:val="0"/>
              <w:kinsoku/>
              <w:wordWrap/>
              <w:overflowPunct/>
              <w:topLinePunct w:val="0"/>
              <w:bidi w:val="0"/>
              <w:adjustRightInd w:val="0"/>
              <w:snapToGrid w:val="0"/>
              <w:ind w:firstLine="0" w:firstLineChars="0"/>
              <w:jc w:val="center"/>
              <w:textAlignment w:val="auto"/>
              <w:rPr>
                <w:rFonts w:hint="default"/>
                <w:bCs/>
                <w:color w:val="FF0000"/>
                <w:sz w:val="21"/>
                <w:szCs w:val="21"/>
                <w:lang w:val="en-US" w:eastAsia="zh-CN"/>
              </w:rPr>
            </w:pPr>
            <w:r>
              <w:rPr>
                <w:rFonts w:hint="eastAsia"/>
                <w:bCs/>
                <w:color w:val="FF0000"/>
                <w:sz w:val="21"/>
                <w:szCs w:val="21"/>
                <w:lang w:val="en-US" w:eastAsia="zh-CN"/>
              </w:rPr>
              <w:t>马桥小区</w:t>
            </w:r>
          </w:p>
        </w:tc>
        <w:tc>
          <w:tcPr>
            <w:tcW w:w="1259" w:type="dxa"/>
            <w:shd w:val="clear" w:color="auto" w:fill="auto"/>
            <w:noWrap w:val="0"/>
            <w:vAlign w:val="center"/>
          </w:tcPr>
          <w:p w14:paraId="7E320C3F">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15.79</w:t>
            </w:r>
          </w:p>
        </w:tc>
        <w:tc>
          <w:tcPr>
            <w:tcW w:w="1350" w:type="dxa"/>
            <w:shd w:val="clear" w:color="auto" w:fill="auto"/>
            <w:noWrap w:val="0"/>
            <w:vAlign w:val="center"/>
          </w:tcPr>
          <w:p w14:paraId="41A430C8">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Cs/>
                <w:color w:val="FF0000"/>
                <w:sz w:val="21"/>
                <w:szCs w:val="21"/>
                <w:lang w:val="en-US" w:eastAsia="zh-CN"/>
              </w:rPr>
              <w:t>120°64′</w:t>
            </w:r>
            <w:r>
              <w:rPr>
                <w:rFonts w:hint="eastAsia" w:ascii="Times New Roman" w:hAnsi="Times New Roman" w:eastAsia="宋体" w:cs="Times New Roman"/>
                <w:bCs/>
                <w:color w:val="FF0000"/>
                <w:sz w:val="21"/>
                <w:szCs w:val="21"/>
                <w:lang w:val="en-US" w:eastAsia="zh-CN"/>
              </w:rPr>
              <w:t>28.25</w:t>
            </w:r>
            <w:r>
              <w:rPr>
                <w:rFonts w:hint="default" w:ascii="Times New Roman" w:hAnsi="Times New Roman" w:eastAsia="宋体" w:cs="Times New Roman"/>
                <w:bCs/>
                <w:color w:val="FF0000"/>
                <w:sz w:val="21"/>
                <w:szCs w:val="21"/>
                <w:lang w:val="en-US" w:eastAsia="zh-CN"/>
              </w:rPr>
              <w:t>″</w:t>
            </w:r>
          </w:p>
        </w:tc>
        <w:tc>
          <w:tcPr>
            <w:tcW w:w="938" w:type="dxa"/>
            <w:shd w:val="clear" w:color="auto" w:fill="auto"/>
            <w:noWrap w:val="0"/>
            <w:vAlign w:val="center"/>
          </w:tcPr>
          <w:p w14:paraId="71B966E8">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hAnsi="Times New Roman" w:eastAsia="宋体" w:cs="Times New Roman"/>
                <w:b w:val="0"/>
                <w:bCs/>
                <w:color w:val="FF0000"/>
                <w:kern w:val="2"/>
                <w:sz w:val="21"/>
                <w:szCs w:val="21"/>
                <w:lang w:val="en-US" w:eastAsia="zh-CN" w:bidi="ar-SA"/>
              </w:rPr>
            </w:pPr>
            <w:r>
              <w:rPr>
                <w:rFonts w:ascii="Times New Roman" w:eastAsia="宋体" w:cs="Times New Roman"/>
                <w:b w:val="0"/>
                <w:bCs/>
                <w:color w:val="FF0000"/>
                <w:sz w:val="21"/>
                <w:szCs w:val="21"/>
              </w:rPr>
              <w:t>居民区</w:t>
            </w:r>
          </w:p>
        </w:tc>
        <w:tc>
          <w:tcPr>
            <w:tcW w:w="868" w:type="dxa"/>
            <w:shd w:val="clear" w:color="auto" w:fill="auto"/>
            <w:noWrap w:val="0"/>
            <w:vAlign w:val="center"/>
          </w:tcPr>
          <w:p w14:paraId="6B2EBEF4">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hAnsi="Times New Roman" w:eastAsia="宋体" w:cs="Times New Roman"/>
                <w:b w:val="0"/>
                <w:bCs/>
                <w:color w:val="FF0000"/>
                <w:kern w:val="2"/>
                <w:sz w:val="21"/>
                <w:szCs w:val="21"/>
                <w:lang w:val="en-US" w:eastAsia="zh-CN" w:bidi="ar-SA"/>
              </w:rPr>
            </w:pPr>
            <w:r>
              <w:rPr>
                <w:rFonts w:ascii="Times New Roman" w:eastAsia="宋体" w:cs="Times New Roman"/>
                <w:b w:val="0"/>
                <w:bCs/>
                <w:color w:val="FF0000"/>
                <w:sz w:val="21"/>
                <w:szCs w:val="21"/>
              </w:rPr>
              <w:t>二类区</w:t>
            </w:r>
          </w:p>
        </w:tc>
        <w:tc>
          <w:tcPr>
            <w:tcW w:w="885" w:type="dxa"/>
            <w:shd w:val="clear" w:color="auto" w:fill="auto"/>
            <w:noWrap w:val="0"/>
            <w:vAlign w:val="center"/>
          </w:tcPr>
          <w:p w14:paraId="5B1EA8E6">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kern w:val="2"/>
                <w:sz w:val="21"/>
                <w:szCs w:val="21"/>
                <w:lang w:val="en-US" w:eastAsia="zh-CN" w:bidi="ar-SA"/>
              </w:rPr>
            </w:pPr>
            <w:r>
              <w:rPr>
                <w:rFonts w:hint="eastAsia" w:ascii="Times New Roman" w:eastAsia="宋体" w:cs="Times New Roman"/>
                <w:b w:val="0"/>
                <w:bCs/>
                <w:color w:val="FF0000"/>
                <w:sz w:val="21"/>
                <w:szCs w:val="21"/>
                <w:lang w:val="en-US" w:eastAsia="zh-CN"/>
              </w:rPr>
              <w:t>NE</w:t>
            </w:r>
          </w:p>
        </w:tc>
        <w:tc>
          <w:tcPr>
            <w:tcW w:w="1081" w:type="dxa"/>
            <w:shd w:val="clear" w:color="auto" w:fill="auto"/>
            <w:noWrap w:val="0"/>
            <w:vAlign w:val="center"/>
          </w:tcPr>
          <w:p w14:paraId="6037142B">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eastAsia="宋体" w:cs="Times New Roman"/>
                <w:b w:val="0"/>
                <w:bCs/>
                <w:color w:val="FF0000"/>
                <w:sz w:val="21"/>
                <w:szCs w:val="21"/>
                <w:lang w:val="en-US" w:eastAsia="zh-CN"/>
              </w:rPr>
              <w:t>370</w:t>
            </w:r>
          </w:p>
        </w:tc>
        <w:tc>
          <w:tcPr>
            <w:tcW w:w="1034" w:type="dxa"/>
            <w:noWrap w:val="0"/>
            <w:vAlign w:val="center"/>
          </w:tcPr>
          <w:p w14:paraId="0209730F">
            <w:pPr>
              <w:pStyle w:val="51"/>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1"/>
                <w:szCs w:val="21"/>
                <w:lang w:val="en-US" w:eastAsia="zh-CN"/>
              </w:rPr>
            </w:pPr>
            <w:r>
              <w:rPr>
                <w:rFonts w:hint="eastAsia" w:ascii="Times New Roman" w:eastAsia="宋体" w:cs="Times New Roman"/>
                <w:b w:val="0"/>
                <w:bCs/>
                <w:color w:val="FF0000"/>
                <w:sz w:val="21"/>
                <w:szCs w:val="21"/>
                <w:lang w:val="en-US" w:eastAsia="zh-CN"/>
              </w:rPr>
              <w:t>600</w:t>
            </w:r>
          </w:p>
        </w:tc>
      </w:tr>
    </w:tbl>
    <w:p w14:paraId="3F468AF2">
      <w:pPr>
        <w:spacing w:line="360" w:lineRule="auto"/>
        <w:rPr>
          <w:rFonts w:hint="default" w:ascii="Times New Roman" w:hAnsi="Times New Roman" w:eastAsia="宋体" w:cs="Times New Roman"/>
          <w:b/>
          <w:bCs/>
          <w:color w:val="auto"/>
          <w:sz w:val="20"/>
          <w:szCs w:val="20"/>
          <w:lang w:val="en-US" w:eastAsia="zh-CN"/>
        </w:rPr>
      </w:pPr>
      <w:r>
        <w:rPr>
          <w:rFonts w:hint="eastAsia" w:cs="Times New Roman"/>
          <w:b/>
          <w:bCs/>
          <w:color w:val="FF0000"/>
          <w:sz w:val="20"/>
          <w:szCs w:val="20"/>
          <w:lang w:val="en-US" w:eastAsia="zh-CN"/>
        </w:rPr>
        <w:t>注：[1]</w:t>
      </w:r>
      <w:r>
        <w:rPr>
          <w:rFonts w:hint="eastAsia" w:ascii="Times New Roman" w:hAnsi="Times New Roman" w:eastAsia="宋体" w:cs="Times New Roman"/>
          <w:b/>
          <w:bCs/>
          <w:color w:val="FF0000"/>
          <w:sz w:val="20"/>
          <w:szCs w:val="20"/>
          <w:lang w:val="en-US" w:eastAsia="zh-CN"/>
        </w:rPr>
        <w:t>本报告</w:t>
      </w:r>
      <w:r>
        <w:rPr>
          <w:rFonts w:hint="eastAsia" w:cs="Times New Roman"/>
          <w:b/>
          <w:bCs/>
          <w:color w:val="FF0000"/>
          <w:sz w:val="20"/>
          <w:szCs w:val="20"/>
          <w:lang w:val="en-US" w:eastAsia="zh-CN"/>
        </w:rPr>
        <w:t>以生产车间和锅炉房</w:t>
      </w:r>
      <w:r>
        <w:rPr>
          <w:rFonts w:hint="eastAsia" w:ascii="Times New Roman" w:hAnsi="Times New Roman" w:eastAsia="宋体" w:cs="Times New Roman"/>
          <w:b/>
          <w:bCs/>
          <w:color w:val="FF0000"/>
          <w:sz w:val="20"/>
          <w:szCs w:val="20"/>
          <w:lang w:val="en-US" w:eastAsia="zh-CN"/>
        </w:rPr>
        <w:t>作为本项目厂界，九华镇卫生院距离最近生产车间112m，马桥幼儿园距离最近锅炉房140m</w:t>
      </w:r>
    </w:p>
    <w:p w14:paraId="543AE35A">
      <w:pPr>
        <w:pStyle w:val="2"/>
        <w:adjustRightInd w:val="0"/>
        <w:snapToGrid w:val="0"/>
        <w:rPr>
          <w:rFonts w:eastAsia="宋体"/>
          <w:color w:val="auto"/>
          <w:sz w:val="30"/>
          <w:szCs w:val="30"/>
        </w:rPr>
      </w:pPr>
      <w:bookmarkStart w:id="47" w:name="_Toc9306"/>
      <w:r>
        <w:rPr>
          <w:rFonts w:hint="eastAsia" w:eastAsia="宋体"/>
          <w:color w:val="auto"/>
          <w:sz w:val="30"/>
          <w:szCs w:val="30"/>
        </w:rPr>
        <w:t>2</w:t>
      </w:r>
      <w:r>
        <w:rPr>
          <w:rFonts w:eastAsia="宋体"/>
          <w:color w:val="auto"/>
          <w:sz w:val="30"/>
          <w:szCs w:val="30"/>
        </w:rPr>
        <w:t>项目</w:t>
      </w:r>
      <w:bookmarkEnd w:id="33"/>
      <w:bookmarkEnd w:id="34"/>
      <w:bookmarkEnd w:id="35"/>
      <w:bookmarkEnd w:id="36"/>
      <w:bookmarkEnd w:id="37"/>
      <w:bookmarkEnd w:id="38"/>
      <w:bookmarkEnd w:id="39"/>
      <w:bookmarkEnd w:id="40"/>
      <w:bookmarkEnd w:id="41"/>
      <w:bookmarkEnd w:id="42"/>
      <w:bookmarkEnd w:id="43"/>
      <w:bookmarkEnd w:id="44"/>
      <w:r>
        <w:rPr>
          <w:rFonts w:eastAsia="宋体"/>
          <w:color w:val="auto"/>
          <w:sz w:val="30"/>
          <w:szCs w:val="30"/>
        </w:rPr>
        <w:t>工程</w:t>
      </w:r>
      <w:bookmarkEnd w:id="45"/>
      <w:r>
        <w:rPr>
          <w:rFonts w:hint="eastAsia" w:eastAsia="宋体"/>
          <w:color w:val="auto"/>
          <w:sz w:val="30"/>
          <w:szCs w:val="30"/>
        </w:rPr>
        <w:t>分析</w:t>
      </w:r>
      <w:bookmarkEnd w:id="46"/>
      <w:bookmarkEnd w:id="47"/>
    </w:p>
    <w:p w14:paraId="52F88FFC">
      <w:pPr>
        <w:pStyle w:val="3"/>
        <w:spacing w:before="0" w:after="0" w:line="360" w:lineRule="auto"/>
        <w:rPr>
          <w:rFonts w:hint="default" w:eastAsia="宋体"/>
          <w:color w:val="FF0000"/>
          <w:kern w:val="0"/>
          <w:szCs w:val="28"/>
          <w:lang w:val="en-US" w:eastAsia="zh-CN"/>
        </w:rPr>
      </w:pPr>
      <w:bookmarkStart w:id="48" w:name="_Toc17418"/>
      <w:bookmarkStart w:id="49" w:name="_Toc509323952"/>
      <w:bookmarkStart w:id="50" w:name="_Toc32414"/>
      <w:r>
        <w:rPr>
          <w:rFonts w:hint="eastAsia" w:eastAsia="宋体"/>
          <w:color w:val="FF0000"/>
          <w:kern w:val="0"/>
          <w:szCs w:val="28"/>
        </w:rPr>
        <w:t>2.1</w:t>
      </w:r>
      <w:bookmarkEnd w:id="48"/>
      <w:bookmarkEnd w:id="49"/>
      <w:r>
        <w:rPr>
          <w:rFonts w:hint="eastAsia" w:eastAsia="宋体"/>
          <w:color w:val="FF0000"/>
          <w:kern w:val="0"/>
          <w:szCs w:val="28"/>
          <w:lang w:val="en-US" w:eastAsia="zh-CN"/>
        </w:rPr>
        <w:t>大气污染物调查</w:t>
      </w:r>
      <w:bookmarkEnd w:id="50"/>
    </w:p>
    <w:p w14:paraId="41B6E44D">
      <w:pPr>
        <w:spacing w:line="360" w:lineRule="auto"/>
        <w:ind w:firstLine="480" w:firstLineChars="200"/>
        <w:outlineLvl w:val="9"/>
        <w:rPr>
          <w:rFonts w:hint="eastAsia" w:ascii="Times New Roman" w:hAnsi="Times New Roman" w:eastAsia="宋体" w:cs="Times New Roman"/>
          <w:color w:val="FF0000"/>
          <w:sz w:val="24"/>
          <w:szCs w:val="24"/>
          <w:lang w:val="en-US" w:eastAsia="zh-CN"/>
        </w:rPr>
      </w:pPr>
      <w:bookmarkStart w:id="51" w:name="_Toc509323959"/>
      <w:bookmarkStart w:id="52" w:name="_Toc389"/>
      <w:r>
        <w:rPr>
          <w:rFonts w:hint="eastAsia" w:ascii="Times New Roman" w:hAnsi="Times New Roman" w:eastAsia="宋体" w:cs="Times New Roman"/>
          <w:color w:val="FF0000"/>
          <w:sz w:val="24"/>
          <w:szCs w:val="24"/>
          <w:lang w:val="en-US" w:eastAsia="zh-CN"/>
        </w:rPr>
        <w:t>对照《环境影响评价技术导则大气环境》（HJ2.2-2018），三级评价项目，三级评价项目，只调查本项目新增污染源和拟被替代的污染源。</w:t>
      </w:r>
    </w:p>
    <w:p w14:paraId="0F2D54AE">
      <w:pPr>
        <w:pStyle w:val="3"/>
        <w:spacing w:before="0" w:after="0" w:line="360" w:lineRule="auto"/>
        <w:rPr>
          <w:rFonts w:hint="default" w:eastAsia="宋体"/>
          <w:color w:val="FF0000"/>
          <w:kern w:val="0"/>
          <w:szCs w:val="28"/>
          <w:lang w:val="en-US" w:eastAsia="zh-CN"/>
        </w:rPr>
      </w:pPr>
      <w:bookmarkStart w:id="53" w:name="_Toc12729"/>
      <w:r>
        <w:rPr>
          <w:rFonts w:hint="eastAsia" w:eastAsia="宋体"/>
          <w:color w:val="FF0000"/>
          <w:kern w:val="0"/>
          <w:szCs w:val="28"/>
        </w:rPr>
        <w:t>2.2</w:t>
      </w:r>
      <w:bookmarkEnd w:id="51"/>
      <w:bookmarkEnd w:id="52"/>
      <w:r>
        <w:rPr>
          <w:rFonts w:hint="eastAsia" w:eastAsia="宋体"/>
          <w:color w:val="FF0000"/>
          <w:kern w:val="0"/>
          <w:szCs w:val="28"/>
          <w:lang w:val="en-US" w:eastAsia="zh-CN"/>
        </w:rPr>
        <w:t>大气污染源数据来源</w:t>
      </w:r>
      <w:bookmarkEnd w:id="53"/>
    </w:p>
    <w:p w14:paraId="4D3F7C56">
      <w:pPr>
        <w:spacing w:line="360" w:lineRule="auto"/>
        <w:ind w:firstLine="480" w:firstLineChars="200"/>
        <w:outlineLvl w:val="9"/>
        <w:rPr>
          <w:rFonts w:hint="eastAsia" w:ascii="Times New Roman" w:hAnsi="Times New Roman" w:eastAsia="宋体" w:cs="Times New Roman"/>
          <w:color w:val="FF0000"/>
          <w:sz w:val="24"/>
          <w:szCs w:val="24"/>
          <w:lang w:val="en-US" w:eastAsia="zh-CN"/>
        </w:rPr>
      </w:pPr>
      <w:bookmarkStart w:id="54" w:name="_Toc22042"/>
      <w:r>
        <w:rPr>
          <w:rFonts w:hint="eastAsia" w:ascii="Times New Roman" w:hAnsi="Times New Roman" w:eastAsia="宋体" w:cs="Times New Roman"/>
          <w:color w:val="FF0000"/>
          <w:sz w:val="24"/>
          <w:szCs w:val="24"/>
          <w:lang w:val="en-US" w:eastAsia="zh-CN"/>
        </w:rPr>
        <w:t>根据《污染源源强核算技术指南准则》（HJ884-2018）：污染源源强核算可采用实测法、物料衡算法、产污系数法、排污系数法、类比法、实验法等方法，本项目废气产排污系数选取依据见下表。</w:t>
      </w:r>
    </w:p>
    <w:p w14:paraId="663C1590">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FF0000"/>
          <w:kern w:val="2"/>
          <w:sz w:val="24"/>
          <w:szCs w:val="24"/>
        </w:rPr>
      </w:pPr>
      <w:r>
        <w:rPr>
          <w:rFonts w:hint="eastAsia" w:ascii="Times New Roman" w:hAnsi="Times New Roman" w:eastAsia="宋体" w:cs="Times New Roman"/>
          <w:b/>
          <w:bCs/>
          <w:color w:val="FF0000"/>
          <w:kern w:val="2"/>
          <w:sz w:val="24"/>
          <w:szCs w:val="24"/>
        </w:rPr>
        <w:t>表</w:t>
      </w:r>
      <w:r>
        <w:rPr>
          <w:rFonts w:hint="eastAsia" w:ascii="Times New Roman" w:hAnsi="Times New Roman" w:eastAsia="宋体" w:cs="Times New Roman"/>
          <w:b/>
          <w:bCs/>
          <w:color w:val="FF0000"/>
          <w:kern w:val="2"/>
          <w:sz w:val="24"/>
          <w:szCs w:val="24"/>
          <w:lang w:val="en-US" w:eastAsia="zh-CN"/>
        </w:rPr>
        <w:t>2-1</w:t>
      </w:r>
      <w:r>
        <w:rPr>
          <w:rFonts w:hint="eastAsia" w:ascii="Times New Roman" w:hAnsi="Times New Roman" w:eastAsia="宋体" w:cs="Times New Roman"/>
          <w:b/>
          <w:bCs/>
          <w:color w:val="FF0000"/>
          <w:kern w:val="2"/>
          <w:sz w:val="24"/>
          <w:szCs w:val="24"/>
        </w:rPr>
        <w:t xml:space="preserve">   项目废气核算依据</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895"/>
        <w:gridCol w:w="900"/>
        <w:gridCol w:w="869"/>
        <w:gridCol w:w="927"/>
        <w:gridCol w:w="3384"/>
      </w:tblGrid>
      <w:tr w14:paraId="625CE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99" w:type="pct"/>
            <w:noWrap w:val="0"/>
            <w:vAlign w:val="center"/>
          </w:tcPr>
          <w:p w14:paraId="59FE1303">
            <w:pPr>
              <w:adjustRightInd w:val="0"/>
              <w:snapToGrid w:val="0"/>
              <w:jc w:val="center"/>
              <w:rPr>
                <w:b/>
                <w:bCs/>
                <w:color w:val="FF0000"/>
                <w:szCs w:val="21"/>
              </w:rPr>
            </w:pPr>
            <w:r>
              <w:rPr>
                <w:rFonts w:hint="eastAsia"/>
                <w:b/>
                <w:bCs/>
                <w:color w:val="FF0000"/>
                <w:szCs w:val="21"/>
              </w:rPr>
              <w:t>污染源</w:t>
            </w:r>
          </w:p>
        </w:tc>
        <w:tc>
          <w:tcPr>
            <w:tcW w:w="538" w:type="pct"/>
            <w:noWrap w:val="0"/>
            <w:vAlign w:val="center"/>
          </w:tcPr>
          <w:p w14:paraId="6A8CAE42">
            <w:pPr>
              <w:adjustRightInd w:val="0"/>
              <w:snapToGrid w:val="0"/>
              <w:jc w:val="center"/>
              <w:rPr>
                <w:b/>
                <w:bCs/>
                <w:color w:val="FF0000"/>
                <w:szCs w:val="21"/>
              </w:rPr>
            </w:pPr>
            <w:r>
              <w:rPr>
                <w:rFonts w:hint="eastAsia"/>
                <w:b/>
                <w:bCs/>
                <w:color w:val="FF0000"/>
                <w:szCs w:val="21"/>
              </w:rPr>
              <w:t>污染源编号</w:t>
            </w:r>
          </w:p>
        </w:tc>
        <w:tc>
          <w:tcPr>
            <w:tcW w:w="541" w:type="pct"/>
            <w:noWrap w:val="0"/>
            <w:vAlign w:val="center"/>
          </w:tcPr>
          <w:p w14:paraId="1B93A514">
            <w:pPr>
              <w:adjustRightInd w:val="0"/>
              <w:snapToGrid w:val="0"/>
              <w:jc w:val="center"/>
              <w:rPr>
                <w:b/>
                <w:bCs/>
                <w:color w:val="FF0000"/>
                <w:szCs w:val="21"/>
              </w:rPr>
            </w:pPr>
            <w:r>
              <w:rPr>
                <w:rFonts w:hint="eastAsia"/>
                <w:b/>
                <w:bCs/>
                <w:color w:val="FF0000"/>
                <w:szCs w:val="21"/>
              </w:rPr>
              <w:t>污染源位置</w:t>
            </w:r>
          </w:p>
        </w:tc>
        <w:tc>
          <w:tcPr>
            <w:tcW w:w="523" w:type="pct"/>
            <w:noWrap w:val="0"/>
            <w:vAlign w:val="center"/>
          </w:tcPr>
          <w:p w14:paraId="6386C2A7">
            <w:pPr>
              <w:adjustRightInd w:val="0"/>
              <w:snapToGrid w:val="0"/>
              <w:jc w:val="center"/>
              <w:rPr>
                <w:b/>
                <w:bCs/>
                <w:color w:val="FF0000"/>
                <w:szCs w:val="21"/>
              </w:rPr>
            </w:pPr>
            <w:r>
              <w:rPr>
                <w:rFonts w:hint="eastAsia"/>
                <w:b/>
                <w:bCs/>
                <w:color w:val="FF0000"/>
                <w:szCs w:val="21"/>
              </w:rPr>
              <w:t>污染物种类</w:t>
            </w:r>
          </w:p>
        </w:tc>
        <w:tc>
          <w:tcPr>
            <w:tcW w:w="558" w:type="pct"/>
            <w:noWrap w:val="0"/>
            <w:vAlign w:val="center"/>
          </w:tcPr>
          <w:p w14:paraId="7A7704AD">
            <w:pPr>
              <w:adjustRightInd w:val="0"/>
              <w:snapToGrid w:val="0"/>
              <w:jc w:val="center"/>
              <w:rPr>
                <w:b/>
                <w:bCs/>
                <w:color w:val="FF0000"/>
                <w:szCs w:val="21"/>
              </w:rPr>
            </w:pPr>
            <w:r>
              <w:rPr>
                <w:rFonts w:hint="eastAsia"/>
                <w:b/>
                <w:bCs/>
                <w:color w:val="FF0000"/>
                <w:szCs w:val="21"/>
              </w:rPr>
              <w:t>产生量（t/a）</w:t>
            </w:r>
          </w:p>
        </w:tc>
        <w:tc>
          <w:tcPr>
            <w:tcW w:w="2037" w:type="pct"/>
            <w:noWrap w:val="0"/>
            <w:vAlign w:val="center"/>
          </w:tcPr>
          <w:p w14:paraId="2F9666A1">
            <w:pPr>
              <w:adjustRightInd w:val="0"/>
              <w:snapToGrid w:val="0"/>
              <w:jc w:val="center"/>
              <w:rPr>
                <w:b/>
                <w:bCs/>
                <w:color w:val="FF0000"/>
                <w:szCs w:val="21"/>
              </w:rPr>
            </w:pPr>
            <w:r>
              <w:rPr>
                <w:rFonts w:hint="eastAsia"/>
                <w:b/>
                <w:bCs/>
                <w:color w:val="FF0000"/>
                <w:szCs w:val="21"/>
              </w:rPr>
              <w:t>核算依据</w:t>
            </w:r>
          </w:p>
        </w:tc>
      </w:tr>
      <w:tr w14:paraId="651D9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noWrap w:val="0"/>
            <w:vAlign w:val="center"/>
          </w:tcPr>
          <w:p w14:paraId="44A6550E">
            <w:pPr>
              <w:pStyle w:val="50"/>
              <w:widowControl w:val="0"/>
              <w:adjustRightInd w:val="0"/>
              <w:snapToGrid w:val="0"/>
              <w:ind w:firstLine="0"/>
              <w:jc w:val="center"/>
              <w:rPr>
                <w:bCs/>
                <w:snapToGrid w:val="0"/>
                <w:color w:val="FF0000"/>
                <w:sz w:val="21"/>
                <w:szCs w:val="21"/>
              </w:rPr>
            </w:pPr>
            <w:r>
              <w:rPr>
                <w:rFonts w:hint="eastAsia"/>
                <w:color w:val="FF0000"/>
                <w:kern w:val="0"/>
                <w:sz w:val="24"/>
                <w:szCs w:val="24"/>
              </w:rPr>
              <w:t>拉毛、刷呢、剪毛、烫光、揺粒</w:t>
            </w:r>
            <w:r>
              <w:rPr>
                <w:rFonts w:hint="eastAsia"/>
                <w:bCs/>
                <w:snapToGrid w:val="0"/>
                <w:color w:val="FF0000"/>
                <w:sz w:val="21"/>
                <w:szCs w:val="21"/>
              </w:rPr>
              <w:t>废气</w:t>
            </w:r>
          </w:p>
        </w:tc>
        <w:tc>
          <w:tcPr>
            <w:tcW w:w="538" w:type="pct"/>
            <w:noWrap w:val="0"/>
            <w:vAlign w:val="center"/>
          </w:tcPr>
          <w:p w14:paraId="6AA684A5">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rPr>
              <w:t>G1、G</w:t>
            </w:r>
            <w:r>
              <w:rPr>
                <w:rFonts w:hint="eastAsia"/>
                <w:bCs/>
                <w:snapToGrid w:val="0"/>
                <w:color w:val="FF0000"/>
                <w:sz w:val="21"/>
                <w:szCs w:val="21"/>
                <w:lang w:val="en-US" w:eastAsia="zh-CN"/>
              </w:rPr>
              <w:t>3、G4、G5、G6</w:t>
            </w:r>
          </w:p>
        </w:tc>
        <w:tc>
          <w:tcPr>
            <w:tcW w:w="541" w:type="pct"/>
            <w:noWrap w:val="0"/>
            <w:vAlign w:val="center"/>
          </w:tcPr>
          <w:p w14:paraId="689EA927">
            <w:pPr>
              <w:adjustRightInd w:val="0"/>
              <w:snapToGrid w:val="0"/>
              <w:jc w:val="center"/>
              <w:rPr>
                <w:rFonts w:hint="eastAsia"/>
                <w:bCs/>
                <w:snapToGrid w:val="0"/>
                <w:color w:val="FF0000"/>
                <w:szCs w:val="21"/>
              </w:rPr>
            </w:pPr>
            <w:r>
              <w:rPr>
                <w:rFonts w:hint="eastAsia"/>
                <w:bCs/>
                <w:snapToGrid w:val="0"/>
                <w:color w:val="FF0000"/>
                <w:szCs w:val="21"/>
              </w:rPr>
              <w:t>生产车间</w:t>
            </w:r>
          </w:p>
        </w:tc>
        <w:tc>
          <w:tcPr>
            <w:tcW w:w="523" w:type="pct"/>
            <w:noWrap w:val="0"/>
            <w:vAlign w:val="center"/>
          </w:tcPr>
          <w:p w14:paraId="7DF52DBB">
            <w:pPr>
              <w:adjustRightInd w:val="0"/>
              <w:snapToGrid w:val="0"/>
              <w:jc w:val="center"/>
              <w:rPr>
                <w:rFonts w:hint="eastAsia" w:eastAsia="宋体"/>
                <w:bCs/>
                <w:snapToGrid w:val="0"/>
                <w:color w:val="FF0000"/>
                <w:szCs w:val="21"/>
                <w:lang w:eastAsia="zh-CN"/>
              </w:rPr>
            </w:pPr>
            <w:r>
              <w:rPr>
                <w:rFonts w:hint="eastAsia"/>
                <w:bCs/>
                <w:snapToGrid w:val="0"/>
                <w:color w:val="FF0000"/>
                <w:szCs w:val="21"/>
              </w:rPr>
              <w:t>颗粒物</w:t>
            </w:r>
          </w:p>
        </w:tc>
        <w:tc>
          <w:tcPr>
            <w:tcW w:w="558" w:type="pct"/>
            <w:noWrap w:val="0"/>
            <w:vAlign w:val="center"/>
          </w:tcPr>
          <w:p w14:paraId="1418651A">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7.7</w:t>
            </w:r>
          </w:p>
        </w:tc>
        <w:tc>
          <w:tcPr>
            <w:tcW w:w="2037" w:type="pct"/>
            <w:noWrap w:val="0"/>
            <w:vAlign w:val="center"/>
          </w:tcPr>
          <w:p w14:paraId="2194435E">
            <w:pPr>
              <w:pStyle w:val="50"/>
              <w:widowControl w:val="0"/>
              <w:adjustRightInd w:val="0"/>
              <w:snapToGrid w:val="0"/>
              <w:ind w:firstLine="0"/>
              <w:jc w:val="center"/>
              <w:rPr>
                <w:rFonts w:hint="eastAsia"/>
                <w:bCs/>
                <w:snapToGrid w:val="0"/>
                <w:color w:val="FF0000"/>
                <w:sz w:val="21"/>
                <w:szCs w:val="21"/>
              </w:rPr>
            </w:pPr>
            <w:r>
              <w:rPr>
                <w:rFonts w:hint="eastAsia" w:ascii="Times New Roman" w:hAnsi="Times New Roman" w:eastAsia="宋体" w:cs="宋体"/>
                <w:bCs/>
                <w:snapToGrid w:val="0"/>
                <w:color w:val="FF0000"/>
                <w:sz w:val="21"/>
                <w:szCs w:val="21"/>
                <w:lang w:val="en-US" w:eastAsia="zh-CN"/>
              </w:rPr>
              <w:t>根据企业提供资料，</w:t>
            </w:r>
            <w:r>
              <w:rPr>
                <w:rFonts w:hint="eastAsia" w:ascii="Times New Roman" w:hAnsi="Times New Roman" w:eastAsia="宋体" w:cs="宋体"/>
                <w:bCs/>
                <w:snapToGrid w:val="0"/>
                <w:color w:val="FF0000"/>
                <w:sz w:val="21"/>
                <w:szCs w:val="21"/>
              </w:rPr>
              <w:t>拉毛、刷呢、剪毛、烫光、揺粒过程中颗粒物产生量以坯布量的0.05%计</w:t>
            </w:r>
          </w:p>
        </w:tc>
      </w:tr>
      <w:tr w14:paraId="06BDD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99" w:type="pct"/>
            <w:vMerge w:val="restart"/>
            <w:noWrap w:val="0"/>
            <w:vAlign w:val="center"/>
          </w:tcPr>
          <w:p w14:paraId="4CBFB27A">
            <w:pPr>
              <w:pStyle w:val="50"/>
              <w:widowControl w:val="0"/>
              <w:adjustRightInd w:val="0"/>
              <w:snapToGrid w:val="0"/>
              <w:ind w:firstLine="0"/>
              <w:jc w:val="center"/>
              <w:rPr>
                <w:rFonts w:hint="eastAsia"/>
                <w:bCs/>
                <w:snapToGrid w:val="0"/>
                <w:color w:val="FF0000"/>
                <w:sz w:val="21"/>
                <w:szCs w:val="21"/>
              </w:rPr>
            </w:pPr>
            <w:r>
              <w:rPr>
                <w:rFonts w:hint="eastAsia"/>
                <w:bCs/>
                <w:snapToGrid w:val="0"/>
                <w:color w:val="FF0000"/>
                <w:sz w:val="21"/>
                <w:szCs w:val="21"/>
                <w:lang w:val="en-US" w:eastAsia="zh-CN"/>
              </w:rPr>
              <w:t>定型、蒸呢</w:t>
            </w:r>
            <w:r>
              <w:rPr>
                <w:rFonts w:hint="eastAsia"/>
                <w:bCs/>
                <w:snapToGrid w:val="0"/>
                <w:color w:val="FF0000"/>
                <w:sz w:val="21"/>
                <w:szCs w:val="21"/>
              </w:rPr>
              <w:t>废气</w:t>
            </w:r>
          </w:p>
        </w:tc>
        <w:tc>
          <w:tcPr>
            <w:tcW w:w="538" w:type="pct"/>
            <w:vMerge w:val="restart"/>
            <w:noWrap w:val="0"/>
            <w:vAlign w:val="center"/>
          </w:tcPr>
          <w:p w14:paraId="0AF0592B">
            <w:pPr>
              <w:pStyle w:val="50"/>
              <w:widowControl w:val="0"/>
              <w:adjustRightInd w:val="0"/>
              <w:snapToGrid w:val="0"/>
              <w:ind w:firstLine="0"/>
              <w:jc w:val="center"/>
              <w:rPr>
                <w:rFonts w:hint="eastAsia" w:eastAsia="宋体"/>
                <w:bCs/>
                <w:snapToGrid w:val="0"/>
                <w:color w:val="FF0000"/>
                <w:sz w:val="21"/>
                <w:szCs w:val="21"/>
                <w:lang w:eastAsia="zh-CN"/>
              </w:rPr>
            </w:pPr>
            <w:r>
              <w:rPr>
                <w:rFonts w:hint="eastAsia"/>
                <w:bCs/>
                <w:snapToGrid w:val="0"/>
                <w:color w:val="FF0000"/>
                <w:sz w:val="21"/>
                <w:szCs w:val="21"/>
              </w:rPr>
              <w:t>G2、G</w:t>
            </w:r>
            <w:r>
              <w:rPr>
                <w:rFonts w:hint="eastAsia"/>
                <w:bCs/>
                <w:snapToGrid w:val="0"/>
                <w:color w:val="FF0000"/>
                <w:sz w:val="21"/>
                <w:szCs w:val="21"/>
                <w:lang w:val="en-US" w:eastAsia="zh-CN"/>
              </w:rPr>
              <w:t>7</w:t>
            </w:r>
          </w:p>
        </w:tc>
        <w:tc>
          <w:tcPr>
            <w:tcW w:w="541" w:type="pct"/>
            <w:vMerge w:val="restart"/>
            <w:noWrap w:val="0"/>
            <w:vAlign w:val="center"/>
          </w:tcPr>
          <w:p w14:paraId="4A57B7DB">
            <w:pPr>
              <w:adjustRightInd w:val="0"/>
              <w:snapToGrid w:val="0"/>
              <w:jc w:val="center"/>
              <w:rPr>
                <w:rFonts w:hint="eastAsia"/>
                <w:bCs/>
                <w:snapToGrid w:val="0"/>
                <w:color w:val="FF0000"/>
                <w:szCs w:val="21"/>
              </w:rPr>
            </w:pPr>
            <w:r>
              <w:rPr>
                <w:rFonts w:hint="eastAsia"/>
                <w:bCs/>
                <w:snapToGrid w:val="0"/>
                <w:color w:val="FF0000"/>
                <w:szCs w:val="21"/>
              </w:rPr>
              <w:t>生产车间</w:t>
            </w:r>
          </w:p>
        </w:tc>
        <w:tc>
          <w:tcPr>
            <w:tcW w:w="523" w:type="pct"/>
            <w:noWrap w:val="0"/>
            <w:vAlign w:val="center"/>
          </w:tcPr>
          <w:p w14:paraId="74250B88">
            <w:pPr>
              <w:adjustRightInd w:val="0"/>
              <w:snapToGrid w:val="0"/>
              <w:jc w:val="center"/>
              <w:rPr>
                <w:rFonts w:hint="default" w:eastAsia="宋体"/>
                <w:bCs/>
                <w:snapToGrid w:val="0"/>
                <w:color w:val="FF0000"/>
                <w:szCs w:val="21"/>
                <w:lang w:val="en-US" w:eastAsia="zh-CN"/>
              </w:rPr>
            </w:pPr>
            <w:r>
              <w:rPr>
                <w:rFonts w:hint="eastAsia"/>
                <w:bCs/>
                <w:snapToGrid w:val="0"/>
                <w:color w:val="FF0000"/>
                <w:szCs w:val="21"/>
                <w:lang w:val="en-US" w:eastAsia="zh-CN"/>
              </w:rPr>
              <w:t>颗粒物</w:t>
            </w:r>
          </w:p>
        </w:tc>
        <w:tc>
          <w:tcPr>
            <w:tcW w:w="558" w:type="pct"/>
            <w:noWrap w:val="0"/>
            <w:vAlign w:val="center"/>
          </w:tcPr>
          <w:p w14:paraId="02F60398">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0.246</w:t>
            </w:r>
          </w:p>
        </w:tc>
        <w:tc>
          <w:tcPr>
            <w:tcW w:w="2037" w:type="pct"/>
            <w:noWrap w:val="0"/>
            <w:vAlign w:val="center"/>
          </w:tcPr>
          <w:p w14:paraId="0B94C988">
            <w:pPr>
              <w:pStyle w:val="50"/>
              <w:widowControl w:val="0"/>
              <w:adjustRightInd w:val="0"/>
              <w:snapToGrid w:val="0"/>
              <w:ind w:firstLine="0"/>
              <w:jc w:val="center"/>
              <w:rPr>
                <w:rFonts w:hint="eastAsia"/>
                <w:bCs/>
                <w:snapToGrid w:val="0"/>
                <w:color w:val="FF0000"/>
                <w:sz w:val="21"/>
                <w:szCs w:val="21"/>
              </w:rPr>
            </w:pPr>
            <w:r>
              <w:rPr>
                <w:rFonts w:hint="eastAsia" w:ascii="Times New Roman" w:hAnsi="Times New Roman" w:eastAsia="宋体" w:cs="宋体"/>
                <w:bCs/>
                <w:snapToGrid w:val="0"/>
                <w:color w:val="FF0000"/>
                <w:sz w:val="21"/>
                <w:szCs w:val="21"/>
                <w:lang w:val="en-US" w:eastAsia="zh-CN"/>
              </w:rPr>
              <w:t>参照《排放源统计调查产排污核算方法和系数手册》中《1723毛染整精加工行业系数手册》，羊毛布料定型过程中颗粒物排污系数为80克/吨产品</w:t>
            </w:r>
          </w:p>
        </w:tc>
      </w:tr>
      <w:tr w14:paraId="5EC16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99" w:type="pct"/>
            <w:vMerge w:val="continue"/>
            <w:noWrap w:val="0"/>
            <w:vAlign w:val="center"/>
          </w:tcPr>
          <w:p w14:paraId="2773B5F7">
            <w:pPr>
              <w:pStyle w:val="50"/>
              <w:widowControl w:val="0"/>
              <w:adjustRightInd w:val="0"/>
              <w:snapToGrid w:val="0"/>
              <w:ind w:firstLine="0"/>
              <w:jc w:val="center"/>
            </w:pPr>
          </w:p>
        </w:tc>
        <w:tc>
          <w:tcPr>
            <w:tcW w:w="538" w:type="pct"/>
            <w:vMerge w:val="continue"/>
            <w:noWrap w:val="0"/>
            <w:vAlign w:val="center"/>
          </w:tcPr>
          <w:p w14:paraId="72EF93DB">
            <w:pPr>
              <w:pStyle w:val="50"/>
              <w:widowControl w:val="0"/>
              <w:adjustRightInd w:val="0"/>
              <w:snapToGrid w:val="0"/>
              <w:ind w:firstLine="0"/>
              <w:jc w:val="center"/>
            </w:pPr>
          </w:p>
        </w:tc>
        <w:tc>
          <w:tcPr>
            <w:tcW w:w="541" w:type="pct"/>
            <w:vMerge w:val="continue"/>
            <w:noWrap w:val="0"/>
            <w:vAlign w:val="center"/>
          </w:tcPr>
          <w:p w14:paraId="6866A344">
            <w:pPr>
              <w:pStyle w:val="50"/>
              <w:widowControl w:val="0"/>
              <w:adjustRightInd w:val="0"/>
              <w:snapToGrid w:val="0"/>
              <w:ind w:firstLine="0"/>
              <w:jc w:val="center"/>
            </w:pPr>
          </w:p>
        </w:tc>
        <w:tc>
          <w:tcPr>
            <w:tcW w:w="523" w:type="pct"/>
            <w:noWrap w:val="0"/>
            <w:vAlign w:val="center"/>
          </w:tcPr>
          <w:p w14:paraId="1619EF4B">
            <w:pPr>
              <w:pStyle w:val="50"/>
              <w:widowControl w:val="0"/>
              <w:adjustRightInd w:val="0"/>
              <w:snapToGrid w:val="0"/>
              <w:ind w:firstLine="0"/>
              <w:jc w:val="center"/>
              <w:rPr>
                <w:rFonts w:hint="default" w:ascii="Times New Roman" w:hAnsi="Times New Roman" w:eastAsia="宋体" w:cs="宋体"/>
                <w:bCs/>
                <w:snapToGrid w:val="0"/>
                <w:color w:val="FF0000"/>
                <w:sz w:val="21"/>
                <w:szCs w:val="21"/>
                <w:lang w:val="en-US" w:eastAsia="zh-CN"/>
              </w:rPr>
            </w:pPr>
            <w:r>
              <w:rPr>
                <w:rFonts w:hint="eastAsia" w:ascii="Times New Roman" w:hAnsi="Times New Roman" w:eastAsia="宋体" w:cs="宋体"/>
                <w:bCs/>
                <w:snapToGrid w:val="0"/>
                <w:color w:val="FF0000"/>
                <w:sz w:val="21"/>
                <w:szCs w:val="21"/>
                <w:lang w:val="en-US" w:eastAsia="zh-CN"/>
              </w:rPr>
              <w:t>非甲烷总烃</w:t>
            </w:r>
          </w:p>
        </w:tc>
        <w:tc>
          <w:tcPr>
            <w:tcW w:w="558" w:type="pct"/>
            <w:noWrap w:val="0"/>
            <w:vAlign w:val="center"/>
          </w:tcPr>
          <w:p w14:paraId="720EBFA6">
            <w:pPr>
              <w:pStyle w:val="50"/>
              <w:widowControl w:val="0"/>
              <w:adjustRightInd w:val="0"/>
              <w:snapToGrid w:val="0"/>
              <w:ind w:firstLine="0"/>
              <w:jc w:val="center"/>
              <w:rPr>
                <w:rFonts w:hint="default" w:ascii="Times New Roman" w:hAnsi="Times New Roman" w:eastAsia="宋体" w:cs="宋体"/>
                <w:bCs/>
                <w:snapToGrid w:val="0"/>
                <w:color w:val="FF0000"/>
                <w:sz w:val="21"/>
                <w:szCs w:val="21"/>
                <w:lang w:val="en-US" w:eastAsia="zh-CN"/>
              </w:rPr>
            </w:pPr>
            <w:r>
              <w:rPr>
                <w:rFonts w:hint="eastAsia" w:ascii="Times New Roman" w:hAnsi="Times New Roman" w:eastAsia="宋体" w:cs="宋体"/>
                <w:bCs/>
                <w:snapToGrid w:val="0"/>
                <w:color w:val="FF0000"/>
                <w:sz w:val="21"/>
                <w:szCs w:val="21"/>
                <w:lang w:val="en-US" w:eastAsia="zh-CN"/>
              </w:rPr>
              <w:t>1.62</w:t>
            </w:r>
          </w:p>
        </w:tc>
        <w:tc>
          <w:tcPr>
            <w:tcW w:w="2037" w:type="pct"/>
            <w:noWrap w:val="0"/>
            <w:vAlign w:val="center"/>
          </w:tcPr>
          <w:p w14:paraId="5610963F">
            <w:pPr>
              <w:pStyle w:val="50"/>
              <w:widowControl w:val="0"/>
              <w:adjustRightInd w:val="0"/>
              <w:snapToGrid w:val="0"/>
              <w:ind w:firstLine="0"/>
              <w:jc w:val="center"/>
              <w:rPr>
                <w:rFonts w:hint="eastAsia"/>
                <w:bCs/>
                <w:snapToGrid w:val="0"/>
                <w:color w:val="FF0000"/>
                <w:szCs w:val="21"/>
                <w:lang w:val="en-US" w:eastAsia="zh-CN"/>
              </w:rPr>
            </w:pPr>
            <w:r>
              <w:rPr>
                <w:rFonts w:hint="eastAsia" w:ascii="Times New Roman" w:hAnsi="Times New Roman" w:eastAsia="宋体" w:cs="宋体"/>
                <w:bCs/>
                <w:snapToGrid w:val="0"/>
                <w:color w:val="FF0000"/>
                <w:sz w:val="21"/>
                <w:szCs w:val="21"/>
                <w:lang w:val="en-US" w:eastAsia="zh-CN"/>
              </w:rPr>
              <w:t>本项目羊毛布料含油率为0.0526%</w:t>
            </w:r>
          </w:p>
        </w:tc>
      </w:tr>
      <w:tr w14:paraId="31E5F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99" w:type="pct"/>
            <w:vMerge w:val="restart"/>
            <w:noWrap w:val="0"/>
            <w:vAlign w:val="center"/>
          </w:tcPr>
          <w:p w14:paraId="13AEF30E">
            <w:pPr>
              <w:pStyle w:val="50"/>
              <w:widowControl w:val="0"/>
              <w:adjustRightInd w:val="0"/>
              <w:snapToGrid w:val="0"/>
              <w:ind w:firstLine="0"/>
              <w:jc w:val="center"/>
              <w:rPr>
                <w:rFonts w:hint="eastAsia"/>
                <w:bCs/>
                <w:snapToGrid w:val="0"/>
                <w:color w:val="FF0000"/>
                <w:sz w:val="21"/>
                <w:szCs w:val="21"/>
              </w:rPr>
            </w:pPr>
            <w:r>
              <w:rPr>
                <w:rFonts w:hint="eastAsia"/>
                <w:bCs/>
                <w:snapToGrid w:val="0"/>
                <w:color w:val="FF0000"/>
                <w:sz w:val="21"/>
                <w:szCs w:val="21"/>
                <w:lang w:val="en-US" w:eastAsia="zh-CN"/>
              </w:rPr>
              <w:t>生物质燃料</w:t>
            </w:r>
            <w:r>
              <w:rPr>
                <w:rFonts w:hint="eastAsia"/>
                <w:bCs/>
                <w:snapToGrid w:val="0"/>
                <w:color w:val="FF0000"/>
                <w:sz w:val="21"/>
                <w:szCs w:val="21"/>
              </w:rPr>
              <w:t>废气</w:t>
            </w:r>
          </w:p>
        </w:tc>
        <w:tc>
          <w:tcPr>
            <w:tcW w:w="538" w:type="pct"/>
            <w:vMerge w:val="restart"/>
            <w:noWrap w:val="0"/>
            <w:vAlign w:val="center"/>
          </w:tcPr>
          <w:p w14:paraId="59E20357">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rPr>
              <w:t>G</w:t>
            </w:r>
            <w:r>
              <w:rPr>
                <w:rFonts w:hint="eastAsia"/>
                <w:bCs/>
                <w:snapToGrid w:val="0"/>
                <w:color w:val="FF0000"/>
                <w:sz w:val="21"/>
                <w:szCs w:val="21"/>
                <w:lang w:val="en-US" w:eastAsia="zh-CN"/>
              </w:rPr>
              <w:t>8、G9</w:t>
            </w:r>
          </w:p>
        </w:tc>
        <w:tc>
          <w:tcPr>
            <w:tcW w:w="541" w:type="pct"/>
            <w:vMerge w:val="restart"/>
            <w:noWrap w:val="0"/>
            <w:vAlign w:val="center"/>
          </w:tcPr>
          <w:p w14:paraId="6A940C40">
            <w:pPr>
              <w:adjustRightInd w:val="0"/>
              <w:snapToGrid w:val="0"/>
              <w:jc w:val="center"/>
              <w:rPr>
                <w:rFonts w:hint="eastAsia" w:eastAsia="宋体"/>
                <w:bCs/>
                <w:snapToGrid w:val="0"/>
                <w:color w:val="FF0000"/>
                <w:szCs w:val="21"/>
                <w:lang w:eastAsia="zh-CN"/>
              </w:rPr>
            </w:pPr>
            <w:r>
              <w:rPr>
                <w:rFonts w:hint="eastAsia"/>
                <w:bCs/>
                <w:snapToGrid w:val="0"/>
                <w:color w:val="FF0000"/>
                <w:szCs w:val="21"/>
                <w:lang w:val="en-US" w:eastAsia="zh-CN"/>
              </w:rPr>
              <w:t>锅炉房</w:t>
            </w:r>
          </w:p>
        </w:tc>
        <w:tc>
          <w:tcPr>
            <w:tcW w:w="523" w:type="pct"/>
            <w:noWrap w:val="0"/>
            <w:vAlign w:val="center"/>
          </w:tcPr>
          <w:p w14:paraId="122BA319">
            <w:pPr>
              <w:adjustRightInd w:val="0"/>
              <w:snapToGrid w:val="0"/>
              <w:jc w:val="center"/>
              <w:rPr>
                <w:rFonts w:hint="eastAsia" w:eastAsia="宋体"/>
                <w:bCs/>
                <w:snapToGrid w:val="0"/>
                <w:color w:val="FF0000"/>
                <w:sz w:val="21"/>
                <w:szCs w:val="21"/>
                <w:lang w:val="en-US" w:eastAsia="zh-CN"/>
              </w:rPr>
            </w:pPr>
            <w:r>
              <w:rPr>
                <w:rFonts w:hint="eastAsia"/>
                <w:bCs/>
                <w:snapToGrid w:val="0"/>
                <w:color w:val="FF0000"/>
                <w:sz w:val="21"/>
                <w:szCs w:val="21"/>
                <w:lang w:val="en-US" w:eastAsia="zh-CN"/>
              </w:rPr>
              <w:t>颗粒物</w:t>
            </w:r>
          </w:p>
        </w:tc>
        <w:tc>
          <w:tcPr>
            <w:tcW w:w="558" w:type="pct"/>
            <w:noWrap w:val="0"/>
            <w:vAlign w:val="center"/>
          </w:tcPr>
          <w:p w14:paraId="585CC3F0">
            <w:pPr>
              <w:pStyle w:val="50"/>
              <w:widowControl w:val="0"/>
              <w:adjustRightInd w:val="0"/>
              <w:snapToGrid w:val="0"/>
              <w:ind w:firstLine="0"/>
              <w:jc w:val="center"/>
              <w:rPr>
                <w:rFonts w:hint="eastAsia" w:eastAsia="宋体"/>
                <w:bCs/>
                <w:snapToGrid w:val="0"/>
                <w:color w:val="FF0000"/>
                <w:sz w:val="21"/>
                <w:szCs w:val="21"/>
                <w:lang w:eastAsia="zh-CN"/>
              </w:rPr>
            </w:pPr>
            <w:r>
              <w:rPr>
                <w:rFonts w:hint="eastAsia"/>
                <w:bCs/>
                <w:snapToGrid w:val="0"/>
                <w:color w:val="FF0000"/>
                <w:sz w:val="21"/>
                <w:szCs w:val="21"/>
                <w:lang w:val="en-US" w:eastAsia="zh-CN"/>
              </w:rPr>
              <w:t>7</w:t>
            </w:r>
          </w:p>
        </w:tc>
        <w:tc>
          <w:tcPr>
            <w:tcW w:w="2037" w:type="pct"/>
            <w:vMerge w:val="restart"/>
            <w:noWrap w:val="0"/>
            <w:vAlign w:val="center"/>
          </w:tcPr>
          <w:p w14:paraId="71A2277D">
            <w:pPr>
              <w:pStyle w:val="50"/>
              <w:widowControl w:val="0"/>
              <w:adjustRightInd w:val="0"/>
              <w:snapToGrid w:val="0"/>
              <w:ind w:firstLine="0"/>
              <w:jc w:val="center"/>
              <w:rPr>
                <w:rFonts w:hint="eastAsia" w:eastAsia="宋体"/>
                <w:bCs/>
                <w:snapToGrid w:val="0"/>
                <w:color w:val="FF0000"/>
                <w:sz w:val="21"/>
                <w:szCs w:val="21"/>
                <w:lang w:val="en-US" w:eastAsia="zh-CN"/>
              </w:rPr>
            </w:pPr>
            <w:r>
              <w:rPr>
                <w:rFonts w:hint="eastAsia"/>
                <w:color w:val="FF0000"/>
                <w:kern w:val="2"/>
                <w:sz w:val="21"/>
                <w:szCs w:val="21"/>
                <w:lang w:val="en-US" w:eastAsia="zh-CN"/>
              </w:rPr>
              <w:t>参照</w:t>
            </w:r>
            <w:r>
              <w:rPr>
                <w:color w:val="FF0000"/>
                <w:kern w:val="2"/>
                <w:sz w:val="21"/>
                <w:szCs w:val="21"/>
              </w:rPr>
              <w:t>《排放源统计调查产排污核算方法和系数手册》“4430工业锅炉（热力生产和供应行业）产污系数表-</w:t>
            </w:r>
            <w:r>
              <w:rPr>
                <w:rFonts w:hint="eastAsia"/>
                <w:color w:val="FF0000"/>
                <w:kern w:val="2"/>
                <w:sz w:val="21"/>
                <w:szCs w:val="21"/>
              </w:rPr>
              <w:t>生物质工业</w:t>
            </w:r>
            <w:r>
              <w:rPr>
                <w:color w:val="FF0000"/>
                <w:kern w:val="2"/>
                <w:sz w:val="21"/>
                <w:szCs w:val="21"/>
              </w:rPr>
              <w:t>锅炉”</w:t>
            </w:r>
            <w:r>
              <w:rPr>
                <w:rFonts w:hint="eastAsia"/>
                <w:color w:val="FF0000"/>
                <w:kern w:val="2"/>
                <w:sz w:val="21"/>
                <w:szCs w:val="21"/>
                <w:lang w:val="en-US" w:eastAsia="zh-CN"/>
              </w:rPr>
              <w:t>系数、</w:t>
            </w:r>
            <w:r>
              <w:rPr>
                <w:rFonts w:hint="eastAsia" w:eastAsia="宋体" w:cs="宋体"/>
                <w:color w:val="FF0000"/>
                <w:kern w:val="2"/>
                <w:sz w:val="21"/>
                <w:szCs w:val="21"/>
                <w:lang w:eastAsia="zh-CN"/>
              </w:rPr>
              <w:t>《排污许可证申请与核发技术规范锅炉》（</w:t>
            </w:r>
            <w:r>
              <w:rPr>
                <w:rFonts w:hint="eastAsia" w:eastAsia="宋体" w:cs="宋体"/>
                <w:color w:val="FF0000"/>
                <w:kern w:val="2"/>
                <w:sz w:val="21"/>
                <w:szCs w:val="21"/>
                <w:lang w:val="en-US" w:eastAsia="zh-CN"/>
              </w:rPr>
              <w:t>HJ953-2018）</w:t>
            </w:r>
          </w:p>
        </w:tc>
      </w:tr>
      <w:tr w14:paraId="20E48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99" w:type="pct"/>
            <w:vMerge w:val="continue"/>
            <w:noWrap w:val="0"/>
            <w:vAlign w:val="center"/>
          </w:tcPr>
          <w:p w14:paraId="0D776AA9">
            <w:pPr>
              <w:pStyle w:val="50"/>
              <w:widowControl w:val="0"/>
              <w:adjustRightInd w:val="0"/>
              <w:snapToGrid w:val="0"/>
              <w:ind w:firstLine="0"/>
              <w:jc w:val="center"/>
            </w:pPr>
          </w:p>
        </w:tc>
        <w:tc>
          <w:tcPr>
            <w:tcW w:w="538" w:type="pct"/>
            <w:vMerge w:val="continue"/>
            <w:noWrap w:val="0"/>
            <w:vAlign w:val="center"/>
          </w:tcPr>
          <w:p w14:paraId="45F5136D">
            <w:pPr>
              <w:pStyle w:val="50"/>
              <w:widowControl w:val="0"/>
              <w:adjustRightInd w:val="0"/>
              <w:snapToGrid w:val="0"/>
              <w:ind w:firstLine="0"/>
              <w:jc w:val="center"/>
            </w:pPr>
          </w:p>
        </w:tc>
        <w:tc>
          <w:tcPr>
            <w:tcW w:w="541" w:type="pct"/>
            <w:vMerge w:val="continue"/>
            <w:noWrap w:val="0"/>
            <w:vAlign w:val="center"/>
          </w:tcPr>
          <w:p w14:paraId="2B200218">
            <w:pPr>
              <w:pStyle w:val="50"/>
              <w:widowControl w:val="0"/>
              <w:adjustRightInd w:val="0"/>
              <w:snapToGrid w:val="0"/>
              <w:ind w:firstLine="0"/>
              <w:jc w:val="center"/>
            </w:pPr>
          </w:p>
        </w:tc>
        <w:tc>
          <w:tcPr>
            <w:tcW w:w="523" w:type="pct"/>
            <w:noWrap w:val="0"/>
            <w:vAlign w:val="center"/>
          </w:tcPr>
          <w:p w14:paraId="30797CCC">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SO</w:t>
            </w:r>
            <w:r>
              <w:rPr>
                <w:rFonts w:hint="eastAsia"/>
                <w:bCs/>
                <w:snapToGrid w:val="0"/>
                <w:color w:val="FF0000"/>
                <w:sz w:val="21"/>
                <w:szCs w:val="21"/>
                <w:vertAlign w:val="subscript"/>
                <w:lang w:val="en-US" w:eastAsia="zh-CN"/>
              </w:rPr>
              <w:t>2</w:t>
            </w:r>
          </w:p>
        </w:tc>
        <w:tc>
          <w:tcPr>
            <w:tcW w:w="558" w:type="pct"/>
            <w:noWrap w:val="0"/>
            <w:vAlign w:val="center"/>
          </w:tcPr>
          <w:p w14:paraId="28ABF198">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4.76</w:t>
            </w:r>
          </w:p>
        </w:tc>
        <w:tc>
          <w:tcPr>
            <w:tcW w:w="2037" w:type="pct"/>
            <w:vMerge w:val="continue"/>
            <w:noWrap w:val="0"/>
            <w:vAlign w:val="center"/>
          </w:tcPr>
          <w:p w14:paraId="468D8854">
            <w:pPr>
              <w:pStyle w:val="50"/>
              <w:widowControl w:val="0"/>
              <w:adjustRightInd w:val="0"/>
              <w:snapToGrid w:val="0"/>
              <w:ind w:firstLine="0"/>
              <w:jc w:val="center"/>
              <w:rPr>
                <w:rFonts w:hint="eastAsia"/>
                <w:bCs/>
                <w:snapToGrid w:val="0"/>
                <w:color w:val="FF0000"/>
                <w:szCs w:val="21"/>
              </w:rPr>
            </w:pPr>
          </w:p>
        </w:tc>
      </w:tr>
      <w:tr w14:paraId="0F792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99" w:type="pct"/>
            <w:vMerge w:val="continue"/>
            <w:noWrap w:val="0"/>
            <w:vAlign w:val="center"/>
          </w:tcPr>
          <w:p w14:paraId="5279435B">
            <w:pPr>
              <w:pStyle w:val="50"/>
              <w:widowControl w:val="0"/>
              <w:adjustRightInd w:val="0"/>
              <w:snapToGrid w:val="0"/>
              <w:ind w:firstLine="0"/>
              <w:jc w:val="center"/>
              <w:rPr>
                <w:rFonts w:hint="eastAsia"/>
                <w:bCs/>
                <w:snapToGrid w:val="0"/>
                <w:color w:val="FF0000"/>
                <w:szCs w:val="21"/>
              </w:rPr>
            </w:pPr>
          </w:p>
        </w:tc>
        <w:tc>
          <w:tcPr>
            <w:tcW w:w="538" w:type="pct"/>
            <w:vMerge w:val="continue"/>
            <w:noWrap w:val="0"/>
            <w:vAlign w:val="center"/>
          </w:tcPr>
          <w:p w14:paraId="63E5F1BE">
            <w:pPr>
              <w:pStyle w:val="50"/>
              <w:widowControl w:val="0"/>
              <w:adjustRightInd w:val="0"/>
              <w:snapToGrid w:val="0"/>
              <w:ind w:firstLine="0"/>
              <w:jc w:val="center"/>
              <w:rPr>
                <w:rFonts w:hint="eastAsia"/>
                <w:bCs/>
                <w:snapToGrid w:val="0"/>
                <w:color w:val="FF0000"/>
                <w:szCs w:val="21"/>
              </w:rPr>
            </w:pPr>
          </w:p>
        </w:tc>
        <w:tc>
          <w:tcPr>
            <w:tcW w:w="541" w:type="pct"/>
            <w:vMerge w:val="continue"/>
            <w:noWrap w:val="0"/>
            <w:vAlign w:val="center"/>
          </w:tcPr>
          <w:p w14:paraId="66318804">
            <w:pPr>
              <w:pStyle w:val="50"/>
              <w:widowControl w:val="0"/>
              <w:adjustRightInd w:val="0"/>
              <w:snapToGrid w:val="0"/>
              <w:ind w:firstLine="0"/>
              <w:jc w:val="center"/>
              <w:rPr>
                <w:rFonts w:hint="eastAsia"/>
                <w:bCs/>
                <w:snapToGrid w:val="0"/>
                <w:color w:val="FF0000"/>
                <w:szCs w:val="21"/>
              </w:rPr>
            </w:pPr>
          </w:p>
        </w:tc>
        <w:tc>
          <w:tcPr>
            <w:tcW w:w="523" w:type="pct"/>
            <w:noWrap w:val="0"/>
            <w:vAlign w:val="center"/>
          </w:tcPr>
          <w:p w14:paraId="6CF1235D">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NO</w:t>
            </w:r>
            <w:r>
              <w:rPr>
                <w:rFonts w:hint="eastAsia"/>
                <w:bCs/>
                <w:snapToGrid w:val="0"/>
                <w:color w:val="FF0000"/>
                <w:sz w:val="21"/>
                <w:szCs w:val="21"/>
                <w:vertAlign w:val="subscript"/>
                <w:lang w:val="en-US" w:eastAsia="zh-CN"/>
              </w:rPr>
              <w:t>x</w:t>
            </w:r>
          </w:p>
        </w:tc>
        <w:tc>
          <w:tcPr>
            <w:tcW w:w="558" w:type="pct"/>
            <w:noWrap w:val="0"/>
            <w:vAlign w:val="center"/>
          </w:tcPr>
          <w:p w14:paraId="376C9F8D">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9.94</w:t>
            </w:r>
          </w:p>
        </w:tc>
        <w:tc>
          <w:tcPr>
            <w:tcW w:w="2037" w:type="pct"/>
            <w:vMerge w:val="continue"/>
            <w:noWrap w:val="0"/>
            <w:vAlign w:val="center"/>
          </w:tcPr>
          <w:p w14:paraId="35B7B9E4">
            <w:pPr>
              <w:pStyle w:val="50"/>
              <w:widowControl w:val="0"/>
              <w:adjustRightInd w:val="0"/>
              <w:snapToGrid w:val="0"/>
              <w:ind w:firstLine="0"/>
              <w:jc w:val="center"/>
              <w:rPr>
                <w:rFonts w:hint="eastAsia"/>
                <w:bCs/>
                <w:snapToGrid w:val="0"/>
                <w:color w:val="FF0000"/>
                <w:szCs w:val="21"/>
              </w:rPr>
            </w:pPr>
          </w:p>
        </w:tc>
      </w:tr>
      <w:tr w14:paraId="31A14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99" w:type="pct"/>
            <w:vMerge w:val="continue"/>
            <w:noWrap w:val="0"/>
            <w:vAlign w:val="center"/>
          </w:tcPr>
          <w:p w14:paraId="712A42AF">
            <w:pPr>
              <w:pStyle w:val="50"/>
              <w:widowControl w:val="0"/>
              <w:adjustRightInd w:val="0"/>
              <w:snapToGrid w:val="0"/>
              <w:ind w:firstLine="0"/>
              <w:jc w:val="center"/>
              <w:rPr>
                <w:rFonts w:hint="eastAsia"/>
                <w:bCs/>
                <w:snapToGrid w:val="0"/>
                <w:color w:val="FF0000"/>
                <w:szCs w:val="21"/>
              </w:rPr>
            </w:pPr>
          </w:p>
        </w:tc>
        <w:tc>
          <w:tcPr>
            <w:tcW w:w="538" w:type="pct"/>
            <w:vMerge w:val="continue"/>
            <w:noWrap w:val="0"/>
            <w:vAlign w:val="center"/>
          </w:tcPr>
          <w:p w14:paraId="2970861B">
            <w:pPr>
              <w:pStyle w:val="50"/>
              <w:widowControl w:val="0"/>
              <w:adjustRightInd w:val="0"/>
              <w:snapToGrid w:val="0"/>
              <w:ind w:firstLine="0"/>
              <w:jc w:val="center"/>
              <w:rPr>
                <w:rFonts w:hint="eastAsia"/>
                <w:bCs/>
                <w:snapToGrid w:val="0"/>
                <w:color w:val="FF0000"/>
                <w:szCs w:val="21"/>
              </w:rPr>
            </w:pPr>
          </w:p>
        </w:tc>
        <w:tc>
          <w:tcPr>
            <w:tcW w:w="541" w:type="pct"/>
            <w:vMerge w:val="continue"/>
            <w:noWrap w:val="0"/>
            <w:vAlign w:val="center"/>
          </w:tcPr>
          <w:p w14:paraId="3E5A27A5">
            <w:pPr>
              <w:pStyle w:val="50"/>
              <w:widowControl w:val="0"/>
              <w:adjustRightInd w:val="0"/>
              <w:snapToGrid w:val="0"/>
              <w:ind w:firstLine="0"/>
              <w:jc w:val="center"/>
              <w:rPr>
                <w:rFonts w:hint="eastAsia"/>
                <w:bCs/>
                <w:snapToGrid w:val="0"/>
                <w:color w:val="FF0000"/>
                <w:szCs w:val="21"/>
              </w:rPr>
            </w:pPr>
          </w:p>
        </w:tc>
        <w:tc>
          <w:tcPr>
            <w:tcW w:w="523" w:type="pct"/>
            <w:noWrap w:val="0"/>
            <w:vAlign w:val="center"/>
          </w:tcPr>
          <w:p w14:paraId="1EC89A1C">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Hg</w:t>
            </w:r>
          </w:p>
        </w:tc>
        <w:tc>
          <w:tcPr>
            <w:tcW w:w="558" w:type="pct"/>
            <w:noWrap w:val="0"/>
            <w:vAlign w:val="center"/>
          </w:tcPr>
          <w:p w14:paraId="06E36CA7">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lang w:val="en-US" w:eastAsia="zh-CN"/>
              </w:rPr>
              <w:t>5.374kg</w:t>
            </w:r>
          </w:p>
        </w:tc>
        <w:tc>
          <w:tcPr>
            <w:tcW w:w="2037" w:type="pct"/>
            <w:noWrap w:val="0"/>
            <w:vAlign w:val="center"/>
          </w:tcPr>
          <w:p w14:paraId="04E231A2">
            <w:pPr>
              <w:pStyle w:val="50"/>
              <w:widowControl w:val="0"/>
              <w:adjustRightInd w:val="0"/>
              <w:snapToGrid w:val="0"/>
              <w:ind w:firstLine="0"/>
              <w:jc w:val="center"/>
              <w:rPr>
                <w:rFonts w:hint="eastAsia"/>
                <w:bCs/>
                <w:snapToGrid w:val="0"/>
                <w:color w:val="FF0000"/>
                <w:szCs w:val="21"/>
              </w:rPr>
            </w:pPr>
            <w:r>
              <w:rPr>
                <w:rFonts w:hint="eastAsia" w:ascii="Times New Roman" w:hAnsi="Times New Roman" w:eastAsia="宋体" w:cs="宋体"/>
                <w:color w:val="FF0000"/>
                <w:kern w:val="2"/>
                <w:sz w:val="21"/>
                <w:szCs w:val="21"/>
                <w:lang w:val="en-US" w:eastAsia="zh-CN"/>
              </w:rPr>
              <w:t>参考《</w:t>
            </w:r>
            <w:r>
              <w:rPr>
                <w:rFonts w:hint="default" w:ascii="Times New Roman" w:hAnsi="Times New Roman" w:eastAsia="宋体" w:cs="宋体"/>
                <w:color w:val="FF0000"/>
                <w:kern w:val="2"/>
                <w:sz w:val="21"/>
                <w:szCs w:val="21"/>
                <w:lang w:val="en-US" w:eastAsia="zh-CN"/>
              </w:rPr>
              <w:t>锅炉大气污染物排放标准</w:t>
            </w:r>
            <w:r>
              <w:rPr>
                <w:rFonts w:hint="eastAsia" w:ascii="Times New Roman" w:hAnsi="Times New Roman" w:eastAsia="宋体" w:cs="宋体"/>
                <w:color w:val="FF0000"/>
                <w:kern w:val="2"/>
                <w:sz w:val="21"/>
                <w:szCs w:val="21"/>
                <w:lang w:val="en-US" w:eastAsia="zh-CN"/>
              </w:rPr>
              <w:t>》</w:t>
            </w:r>
            <w:r>
              <w:rPr>
                <w:rFonts w:hint="default" w:ascii="Times New Roman" w:hAnsi="Times New Roman" w:eastAsia="宋体" w:cs="宋体"/>
                <w:color w:val="FF0000"/>
                <w:kern w:val="2"/>
                <w:sz w:val="21"/>
                <w:szCs w:val="21"/>
                <w:lang w:val="en-US" w:eastAsia="zh-CN"/>
              </w:rPr>
              <w:t>（DB32/4385-2022）编制说明</w:t>
            </w:r>
            <w:r>
              <w:rPr>
                <w:rFonts w:hint="eastAsia" w:ascii="Times New Roman" w:hAnsi="Times New Roman" w:eastAsia="宋体" w:cs="宋体"/>
                <w:color w:val="FF0000"/>
                <w:kern w:val="2"/>
                <w:sz w:val="21"/>
                <w:szCs w:val="21"/>
                <w:lang w:val="en-US" w:eastAsia="zh-CN"/>
              </w:rPr>
              <w:t>中对非常规污染物汞排放现状调查</w:t>
            </w:r>
          </w:p>
        </w:tc>
      </w:tr>
      <w:tr w14:paraId="57982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noWrap w:val="0"/>
            <w:vAlign w:val="center"/>
          </w:tcPr>
          <w:p w14:paraId="44AC56DC">
            <w:pPr>
              <w:pStyle w:val="50"/>
              <w:widowControl w:val="0"/>
              <w:adjustRightInd w:val="0"/>
              <w:snapToGrid w:val="0"/>
              <w:ind w:firstLine="0"/>
              <w:jc w:val="center"/>
              <w:rPr>
                <w:rFonts w:hint="eastAsia" w:eastAsia="宋体"/>
                <w:bCs/>
                <w:snapToGrid w:val="0"/>
                <w:color w:val="FF0000"/>
                <w:sz w:val="21"/>
                <w:szCs w:val="21"/>
                <w:lang w:eastAsia="zh-CN"/>
              </w:rPr>
            </w:pPr>
            <w:r>
              <w:rPr>
                <w:rFonts w:hint="eastAsia"/>
                <w:bCs/>
                <w:snapToGrid w:val="0"/>
                <w:color w:val="FF0000"/>
                <w:sz w:val="21"/>
                <w:szCs w:val="21"/>
                <w:lang w:val="en-US" w:eastAsia="zh-CN"/>
              </w:rPr>
              <w:t>氨逃逸</w:t>
            </w:r>
          </w:p>
        </w:tc>
        <w:tc>
          <w:tcPr>
            <w:tcW w:w="538" w:type="pct"/>
            <w:noWrap w:val="0"/>
            <w:vAlign w:val="center"/>
          </w:tcPr>
          <w:p w14:paraId="344BC1FA">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rPr>
              <w:t>G</w:t>
            </w:r>
            <w:r>
              <w:rPr>
                <w:rFonts w:hint="eastAsia"/>
                <w:bCs/>
                <w:snapToGrid w:val="0"/>
                <w:color w:val="FF0000"/>
                <w:sz w:val="21"/>
                <w:szCs w:val="21"/>
                <w:lang w:val="en-US" w:eastAsia="zh-CN"/>
              </w:rPr>
              <w:t>10</w:t>
            </w:r>
          </w:p>
        </w:tc>
        <w:tc>
          <w:tcPr>
            <w:tcW w:w="541" w:type="pct"/>
            <w:noWrap w:val="0"/>
            <w:vAlign w:val="center"/>
          </w:tcPr>
          <w:p w14:paraId="50284212">
            <w:pPr>
              <w:adjustRightInd w:val="0"/>
              <w:snapToGrid w:val="0"/>
              <w:jc w:val="center"/>
              <w:rPr>
                <w:rFonts w:hint="eastAsia" w:eastAsia="宋体"/>
                <w:bCs/>
                <w:snapToGrid w:val="0"/>
                <w:color w:val="FF0000"/>
                <w:szCs w:val="21"/>
                <w:lang w:eastAsia="zh-CN"/>
              </w:rPr>
            </w:pPr>
            <w:r>
              <w:rPr>
                <w:rFonts w:hint="eastAsia"/>
                <w:bCs/>
                <w:snapToGrid w:val="0"/>
                <w:color w:val="FF0000"/>
                <w:szCs w:val="21"/>
                <w:lang w:val="en-US" w:eastAsia="zh-CN"/>
              </w:rPr>
              <w:t>锅炉房</w:t>
            </w:r>
          </w:p>
        </w:tc>
        <w:tc>
          <w:tcPr>
            <w:tcW w:w="523" w:type="pct"/>
            <w:noWrap w:val="0"/>
            <w:vAlign w:val="center"/>
          </w:tcPr>
          <w:p w14:paraId="49BF60F0">
            <w:pPr>
              <w:adjustRightInd w:val="0"/>
              <w:snapToGrid w:val="0"/>
              <w:jc w:val="center"/>
              <w:rPr>
                <w:rFonts w:hint="default" w:eastAsia="宋体"/>
                <w:bCs/>
                <w:snapToGrid w:val="0"/>
                <w:color w:val="FF0000"/>
                <w:szCs w:val="21"/>
                <w:vertAlign w:val="subscript"/>
                <w:lang w:val="en-US" w:eastAsia="zh-CN"/>
              </w:rPr>
            </w:pPr>
            <w:r>
              <w:rPr>
                <w:rFonts w:hint="eastAsia"/>
                <w:bCs/>
                <w:snapToGrid w:val="0"/>
                <w:color w:val="FF0000"/>
                <w:szCs w:val="21"/>
                <w:lang w:val="en-US" w:eastAsia="zh-CN"/>
              </w:rPr>
              <w:t>NH</w:t>
            </w:r>
            <w:r>
              <w:rPr>
                <w:rFonts w:hint="eastAsia"/>
                <w:bCs/>
                <w:snapToGrid w:val="0"/>
                <w:color w:val="FF0000"/>
                <w:szCs w:val="21"/>
                <w:vertAlign w:val="subscript"/>
                <w:lang w:val="en-US" w:eastAsia="zh-CN"/>
              </w:rPr>
              <w:t>3</w:t>
            </w:r>
          </w:p>
        </w:tc>
        <w:tc>
          <w:tcPr>
            <w:tcW w:w="558" w:type="pct"/>
            <w:noWrap w:val="0"/>
            <w:vAlign w:val="center"/>
          </w:tcPr>
          <w:p w14:paraId="72611B37">
            <w:pPr>
              <w:pStyle w:val="50"/>
              <w:widowControl w:val="0"/>
              <w:adjustRightInd w:val="0"/>
              <w:snapToGrid w:val="0"/>
              <w:ind w:firstLine="0"/>
              <w:jc w:val="center"/>
              <w:rPr>
                <w:rFonts w:hint="default" w:ascii="Times New Roman" w:hAnsi="Times New Roman" w:eastAsia="宋体" w:cs="宋体"/>
                <w:color w:val="FF0000"/>
                <w:kern w:val="2"/>
                <w:sz w:val="21"/>
                <w:szCs w:val="21"/>
                <w:lang w:val="en-US" w:eastAsia="zh-CN"/>
              </w:rPr>
            </w:pPr>
            <w:r>
              <w:rPr>
                <w:rFonts w:hint="eastAsia" w:ascii="Times New Roman" w:hAnsi="Times New Roman" w:eastAsia="宋体" w:cs="宋体"/>
                <w:color w:val="FF0000"/>
                <w:kern w:val="2"/>
                <w:sz w:val="21"/>
                <w:szCs w:val="21"/>
                <w:lang w:val="en-US" w:eastAsia="zh-CN"/>
              </w:rPr>
              <w:t>/</w:t>
            </w:r>
          </w:p>
        </w:tc>
        <w:tc>
          <w:tcPr>
            <w:tcW w:w="2037" w:type="pct"/>
            <w:noWrap w:val="0"/>
            <w:vAlign w:val="center"/>
          </w:tcPr>
          <w:p w14:paraId="0D94426B">
            <w:pPr>
              <w:pStyle w:val="50"/>
              <w:widowControl w:val="0"/>
              <w:adjustRightInd w:val="0"/>
              <w:snapToGrid w:val="0"/>
              <w:ind w:firstLine="0"/>
              <w:jc w:val="center"/>
              <w:rPr>
                <w:rFonts w:hint="eastAsia" w:ascii="Times New Roman" w:hAnsi="Times New Roman" w:eastAsia="宋体" w:cs="宋体"/>
                <w:color w:val="FF0000"/>
                <w:kern w:val="2"/>
                <w:sz w:val="21"/>
                <w:szCs w:val="21"/>
                <w:lang w:val="en-US" w:eastAsia="zh-CN"/>
              </w:rPr>
            </w:pPr>
            <w:r>
              <w:rPr>
                <w:rFonts w:hint="eastAsia" w:ascii="Times New Roman" w:hAnsi="Times New Roman" w:eastAsia="宋体" w:cs="宋体"/>
                <w:color w:val="FF0000"/>
                <w:kern w:val="2"/>
                <w:sz w:val="21"/>
                <w:szCs w:val="21"/>
                <w:lang w:val="en-US" w:eastAsia="zh-CN"/>
              </w:rPr>
              <w:t>烟气出口氨逃逸浓度参照《工业锅炉污染防治可行技术指南》（报批稿</w:t>
            </w:r>
            <w:r>
              <w:rPr>
                <w:rFonts w:hint="default" w:ascii="Times New Roman" w:hAnsi="Times New Roman" w:eastAsia="宋体" w:cs="宋体"/>
                <w:color w:val="FF0000"/>
                <w:kern w:val="2"/>
                <w:sz w:val="21"/>
                <w:szCs w:val="21"/>
                <w:lang w:val="en-US" w:eastAsia="zh-CN"/>
              </w:rPr>
              <w:t>）准规定≤3ppm</w:t>
            </w:r>
          </w:p>
        </w:tc>
      </w:tr>
      <w:tr w14:paraId="543E0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 w:type="pct"/>
            <w:noWrap w:val="0"/>
            <w:vAlign w:val="center"/>
          </w:tcPr>
          <w:p w14:paraId="2AC88E33">
            <w:pPr>
              <w:pStyle w:val="50"/>
              <w:widowControl w:val="0"/>
              <w:adjustRightInd w:val="0"/>
              <w:snapToGrid w:val="0"/>
              <w:ind w:firstLine="0"/>
              <w:jc w:val="center"/>
              <w:rPr>
                <w:rFonts w:hint="eastAsia" w:eastAsia="宋体"/>
                <w:bCs/>
                <w:snapToGrid w:val="0"/>
                <w:color w:val="FF0000"/>
                <w:sz w:val="21"/>
                <w:szCs w:val="21"/>
                <w:lang w:eastAsia="zh-CN"/>
              </w:rPr>
            </w:pPr>
            <w:r>
              <w:rPr>
                <w:rFonts w:hint="eastAsia"/>
                <w:bCs/>
                <w:snapToGrid w:val="0"/>
                <w:color w:val="FF0000"/>
                <w:sz w:val="21"/>
                <w:szCs w:val="21"/>
                <w:lang w:val="en-US" w:eastAsia="zh-CN"/>
              </w:rPr>
              <w:t>危废仓库</w:t>
            </w:r>
          </w:p>
        </w:tc>
        <w:tc>
          <w:tcPr>
            <w:tcW w:w="538" w:type="pct"/>
            <w:noWrap w:val="0"/>
            <w:vAlign w:val="center"/>
          </w:tcPr>
          <w:p w14:paraId="349AB94D">
            <w:pPr>
              <w:pStyle w:val="50"/>
              <w:widowControl w:val="0"/>
              <w:adjustRightInd w:val="0"/>
              <w:snapToGrid w:val="0"/>
              <w:ind w:firstLine="0"/>
              <w:jc w:val="center"/>
              <w:rPr>
                <w:rFonts w:hint="default" w:eastAsia="宋体"/>
                <w:bCs/>
                <w:snapToGrid w:val="0"/>
                <w:color w:val="FF0000"/>
                <w:sz w:val="21"/>
                <w:szCs w:val="21"/>
                <w:lang w:val="en-US" w:eastAsia="zh-CN"/>
              </w:rPr>
            </w:pPr>
            <w:r>
              <w:rPr>
                <w:rFonts w:hint="eastAsia"/>
                <w:bCs/>
                <w:snapToGrid w:val="0"/>
                <w:color w:val="FF0000"/>
                <w:sz w:val="21"/>
                <w:szCs w:val="21"/>
              </w:rPr>
              <w:t>G</w:t>
            </w:r>
            <w:r>
              <w:rPr>
                <w:rFonts w:hint="eastAsia"/>
                <w:bCs/>
                <w:snapToGrid w:val="0"/>
                <w:color w:val="FF0000"/>
                <w:sz w:val="21"/>
                <w:szCs w:val="21"/>
                <w:lang w:val="en-US" w:eastAsia="zh-CN"/>
              </w:rPr>
              <w:t>11</w:t>
            </w:r>
          </w:p>
        </w:tc>
        <w:tc>
          <w:tcPr>
            <w:tcW w:w="541" w:type="pct"/>
            <w:noWrap w:val="0"/>
            <w:vAlign w:val="center"/>
          </w:tcPr>
          <w:p w14:paraId="74FD89E6">
            <w:pPr>
              <w:adjustRightInd w:val="0"/>
              <w:snapToGrid w:val="0"/>
              <w:jc w:val="center"/>
              <w:rPr>
                <w:rFonts w:hint="eastAsia" w:eastAsia="宋体"/>
                <w:bCs/>
                <w:snapToGrid w:val="0"/>
                <w:color w:val="FF0000"/>
                <w:szCs w:val="21"/>
                <w:lang w:eastAsia="zh-CN"/>
              </w:rPr>
            </w:pPr>
            <w:r>
              <w:rPr>
                <w:rFonts w:hint="eastAsia"/>
                <w:bCs/>
                <w:snapToGrid w:val="0"/>
                <w:color w:val="FF0000"/>
                <w:szCs w:val="21"/>
                <w:lang w:val="en-US" w:eastAsia="zh-CN"/>
              </w:rPr>
              <w:t>危废库</w:t>
            </w:r>
          </w:p>
        </w:tc>
        <w:tc>
          <w:tcPr>
            <w:tcW w:w="523" w:type="pct"/>
            <w:noWrap w:val="0"/>
            <w:vAlign w:val="center"/>
          </w:tcPr>
          <w:p w14:paraId="3D17D358">
            <w:pPr>
              <w:pStyle w:val="50"/>
              <w:widowControl w:val="0"/>
              <w:adjustRightInd w:val="0"/>
              <w:snapToGrid w:val="0"/>
              <w:ind w:firstLine="0"/>
              <w:jc w:val="center"/>
              <w:rPr>
                <w:bCs/>
                <w:snapToGrid w:val="0"/>
                <w:color w:val="FF0000"/>
                <w:sz w:val="21"/>
                <w:szCs w:val="21"/>
              </w:rPr>
            </w:pPr>
            <w:r>
              <w:rPr>
                <w:rFonts w:hint="eastAsia"/>
                <w:bCs/>
                <w:snapToGrid w:val="0"/>
                <w:color w:val="FF0000"/>
                <w:sz w:val="21"/>
                <w:szCs w:val="21"/>
              </w:rPr>
              <w:t>非甲烷总烃</w:t>
            </w:r>
          </w:p>
        </w:tc>
        <w:tc>
          <w:tcPr>
            <w:tcW w:w="558" w:type="pct"/>
            <w:noWrap w:val="0"/>
            <w:vAlign w:val="center"/>
          </w:tcPr>
          <w:p w14:paraId="6905DE61">
            <w:pPr>
              <w:pStyle w:val="50"/>
              <w:widowControl w:val="0"/>
              <w:adjustRightInd w:val="0"/>
              <w:snapToGrid w:val="0"/>
              <w:ind w:firstLine="0"/>
              <w:jc w:val="center"/>
              <w:rPr>
                <w:rFonts w:hint="eastAsia" w:ascii="Times New Roman" w:hAnsi="Times New Roman" w:eastAsia="宋体" w:cs="宋体"/>
                <w:bCs/>
                <w:snapToGrid w:val="0"/>
                <w:color w:val="FF0000"/>
                <w:sz w:val="21"/>
                <w:szCs w:val="21"/>
              </w:rPr>
            </w:pPr>
            <w:r>
              <w:rPr>
                <w:rFonts w:hint="eastAsia" w:ascii="Times New Roman" w:hAnsi="Times New Roman" w:eastAsia="宋体" w:cs="宋体"/>
                <w:bCs/>
                <w:snapToGrid w:val="0"/>
                <w:color w:val="FF0000"/>
                <w:sz w:val="21"/>
                <w:szCs w:val="21"/>
                <w:lang w:val="en-US" w:eastAsia="zh-CN"/>
              </w:rPr>
              <w:t>0.075</w:t>
            </w:r>
            <w:r>
              <w:rPr>
                <w:rFonts w:hint="eastAsia" w:ascii="Times New Roman" w:hAnsi="Times New Roman" w:eastAsia="宋体" w:cs="宋体"/>
                <w:bCs/>
                <w:snapToGrid w:val="0"/>
                <w:color w:val="FF0000"/>
                <w:sz w:val="21"/>
                <w:szCs w:val="21"/>
              </w:rPr>
              <w:t>kg</w:t>
            </w:r>
          </w:p>
        </w:tc>
        <w:tc>
          <w:tcPr>
            <w:tcW w:w="2037" w:type="pct"/>
            <w:noWrap w:val="0"/>
            <w:vAlign w:val="center"/>
          </w:tcPr>
          <w:p w14:paraId="6733114A">
            <w:pPr>
              <w:pStyle w:val="50"/>
              <w:widowControl w:val="0"/>
              <w:adjustRightInd w:val="0"/>
              <w:snapToGrid w:val="0"/>
              <w:ind w:firstLine="0"/>
              <w:jc w:val="center"/>
              <w:rPr>
                <w:rFonts w:hint="eastAsia" w:ascii="Times New Roman" w:hAnsi="Times New Roman" w:eastAsia="宋体" w:cs="宋体"/>
                <w:bCs/>
                <w:snapToGrid w:val="0"/>
                <w:color w:val="FF0000"/>
                <w:sz w:val="21"/>
                <w:szCs w:val="21"/>
              </w:rPr>
            </w:pPr>
            <w:r>
              <w:rPr>
                <w:rFonts w:hint="default" w:ascii="Times New Roman" w:hAnsi="Times New Roman" w:eastAsia="宋体" w:cs="宋体"/>
                <w:bCs/>
                <w:snapToGrid w:val="0"/>
                <w:color w:val="FF0000"/>
                <w:sz w:val="21"/>
                <w:szCs w:val="21"/>
                <w:lang w:val="en-US" w:eastAsia="zh-CN"/>
              </w:rPr>
              <w:t>参照美国环保局网站AP-42空气排放因子汇编，0.5035kg/t固</w:t>
            </w:r>
            <w:r>
              <w:rPr>
                <w:rFonts w:hint="default" w:ascii="Times New Roman" w:hAnsi="Times New Roman" w:eastAsia="宋体" w:cs="Times New Roman"/>
                <w:bCs/>
                <w:snapToGrid w:val="0"/>
                <w:color w:val="FF0000"/>
                <w:sz w:val="21"/>
                <w:szCs w:val="21"/>
                <w:lang w:val="en-US" w:eastAsia="zh-CN"/>
              </w:rPr>
              <w:t>废•年</w:t>
            </w:r>
          </w:p>
        </w:tc>
      </w:tr>
    </w:tbl>
    <w:p w14:paraId="45857F8D">
      <w:pPr>
        <w:pStyle w:val="3"/>
        <w:spacing w:before="0" w:after="0" w:line="360" w:lineRule="auto"/>
        <w:rPr>
          <w:rFonts w:hint="eastAsia" w:ascii="Times New Roman" w:hAnsi="Times New Roman" w:eastAsia="宋体" w:cs="Times New Roman"/>
          <w:color w:val="auto"/>
          <w:kern w:val="0"/>
          <w:szCs w:val="28"/>
        </w:rPr>
      </w:pPr>
      <w:bookmarkStart w:id="55" w:name="_Toc13984"/>
      <w:r>
        <w:rPr>
          <w:rFonts w:hint="eastAsia" w:ascii="Times New Roman" w:hAnsi="Times New Roman" w:eastAsia="宋体" w:cs="Times New Roman"/>
          <w:color w:val="auto"/>
          <w:kern w:val="0"/>
          <w:szCs w:val="28"/>
        </w:rPr>
        <w:t>2.3污染源源强核算</w:t>
      </w:r>
      <w:bookmarkEnd w:id="54"/>
      <w:bookmarkEnd w:id="55"/>
    </w:p>
    <w:p w14:paraId="3701AAE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kern w:val="0"/>
          <w:sz w:val="24"/>
          <w:szCs w:val="24"/>
          <w:lang w:val="en-US" w:eastAsia="zh-CN"/>
        </w:rPr>
      </w:pPr>
      <w:bookmarkStart w:id="56" w:name="_Toc18747"/>
      <w:r>
        <w:rPr>
          <w:rFonts w:hint="default" w:ascii="Times New Roman" w:hAnsi="Times New Roman" w:cs="Times New Roman"/>
          <w:b/>
          <w:bCs/>
          <w:color w:val="auto"/>
          <w:kern w:val="0"/>
          <w:sz w:val="24"/>
          <w:szCs w:val="24"/>
          <w:lang w:val="en-US" w:eastAsia="zh-CN"/>
        </w:rPr>
        <w:t>（1）</w:t>
      </w:r>
      <w:r>
        <w:rPr>
          <w:rFonts w:hint="default" w:ascii="Times New Roman" w:hAnsi="Times New Roman" w:eastAsia="宋体" w:cs="Times New Roman"/>
          <w:b/>
          <w:bCs/>
          <w:color w:val="auto"/>
          <w:sz w:val="24"/>
          <w:szCs w:val="24"/>
          <w:lang w:val="en-US" w:eastAsia="zh-CN"/>
        </w:rPr>
        <w:t>废气污染物排放源情况</w:t>
      </w:r>
    </w:p>
    <w:p w14:paraId="7E65B8A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szCs w:val="24"/>
          <w:lang w:val="en-US" w:eastAsia="zh-CN"/>
        </w:rPr>
      </w:pPr>
      <w:r>
        <w:rPr>
          <w:rFonts w:hint="eastAsia"/>
          <w:color w:val="auto"/>
          <w:kern w:val="0"/>
          <w:sz w:val="24"/>
          <w:szCs w:val="24"/>
          <w:lang w:val="en-US" w:eastAsia="zh-CN"/>
        </w:rPr>
        <w:t>本项目废气主要为拉毛废气G1、定型废气G2、刷呢废气G3、剪毛废气G4、烫光废气G5、摇粒废气G6、蒸呢废气G7和生物质燃烧废气G8、G9。</w:t>
      </w:r>
    </w:p>
    <w:p w14:paraId="0BA6C3A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0"/>
          <w:sz w:val="24"/>
          <w:szCs w:val="24"/>
          <w:lang w:val="en-US" w:eastAsia="zh-CN"/>
        </w:rPr>
      </w:pPr>
      <w:bookmarkStart w:id="57" w:name="_Hlk86923320"/>
      <w:r>
        <w:rPr>
          <w:rFonts w:hint="eastAsia"/>
          <w:color w:val="FF0000"/>
          <w:kern w:val="0"/>
          <w:sz w:val="24"/>
          <w:szCs w:val="24"/>
          <w:lang w:val="en-US" w:eastAsia="zh-CN"/>
        </w:rPr>
        <w:t>①拉毛废气G1、刷呢废气G3、剪毛废气G4、烫光废气G5、摇粒废气G6</w:t>
      </w:r>
    </w:p>
    <w:p w14:paraId="2BA769B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ins w:id="0" w:author="zx" w:date="2026-04-30T00:32:26Z"/>
          <w:rFonts w:hint="eastAsia"/>
          <w:color w:val="FF0000"/>
          <w:kern w:val="0"/>
          <w:sz w:val="24"/>
          <w:szCs w:val="24"/>
        </w:rPr>
      </w:pPr>
      <w:r>
        <w:rPr>
          <w:rFonts w:hint="eastAsia"/>
          <w:color w:val="FF0000"/>
          <w:kern w:val="0"/>
          <w:sz w:val="24"/>
          <w:szCs w:val="24"/>
        </w:rPr>
        <w:t>经查实，源强核算指南、排污许可、系数手册无上述废气产生系数，</w:t>
      </w:r>
      <w:r>
        <w:rPr>
          <w:rFonts w:hint="eastAsia"/>
          <w:color w:val="FF0000"/>
          <w:kern w:val="0"/>
          <w:sz w:val="24"/>
          <w:szCs w:val="24"/>
          <w:lang w:val="en-US" w:eastAsia="zh-CN"/>
        </w:rPr>
        <w:t>根据企业提供资料，</w:t>
      </w:r>
      <w:r>
        <w:rPr>
          <w:rFonts w:hint="eastAsia"/>
          <w:color w:val="FF0000"/>
          <w:kern w:val="0"/>
          <w:sz w:val="24"/>
          <w:szCs w:val="24"/>
        </w:rPr>
        <w:t>拉毛、刷呢、剪毛、烫光、揺粒过程中颗粒物产生量以坯布量的0.05%计</w:t>
      </w:r>
      <w:r>
        <w:rPr>
          <w:rFonts w:hint="eastAsia" w:ascii="Times New Roman" w:hAnsi="Times New Roman" w:eastAsia="宋体" w:cs="Times New Roman"/>
          <w:color w:val="FF0000"/>
          <w:kern w:val="0"/>
          <w:sz w:val="24"/>
          <w:szCs w:val="24"/>
          <w:lang w:eastAsia="zh-CN"/>
        </w:rPr>
        <w:t>（</w:t>
      </w:r>
      <w:r>
        <w:rPr>
          <w:rFonts w:hint="eastAsia" w:ascii="Times New Roman" w:hAnsi="Times New Roman" w:eastAsia="宋体" w:cs="Times New Roman"/>
          <w:color w:val="FF0000"/>
          <w:kern w:val="0"/>
          <w:sz w:val="24"/>
          <w:szCs w:val="24"/>
          <w:lang w:val="en-US" w:eastAsia="zh-CN"/>
        </w:rPr>
        <w:t>本项目原料用布3100t/</w:t>
      </w:r>
      <w:r>
        <w:rPr>
          <w:rFonts w:hint="eastAsia" w:ascii="Times New Roman" w:hAnsi="Times New Roman" w:eastAsia="宋体" w:cs="Times New Roman"/>
          <w:color w:val="FF0000"/>
          <w:sz w:val="24"/>
          <w:szCs w:val="24"/>
          <w:lang w:val="en-US" w:eastAsia="zh-CN"/>
        </w:rPr>
        <w:t>a</w:t>
      </w:r>
      <w:r>
        <w:rPr>
          <w:rFonts w:hint="eastAsia" w:ascii="Times New Roman" w:hAnsi="Times New Roman" w:eastAsia="宋体" w:cs="Times New Roman"/>
          <w:color w:val="FF0000"/>
          <w:sz w:val="24"/>
          <w:szCs w:val="24"/>
          <w:lang w:eastAsia="zh-CN"/>
        </w:rPr>
        <w:t>）</w:t>
      </w:r>
      <w:r>
        <w:rPr>
          <w:rFonts w:hint="eastAsia"/>
          <w:color w:val="FF0000"/>
          <w:kern w:val="0"/>
          <w:sz w:val="24"/>
          <w:szCs w:val="24"/>
        </w:rPr>
        <w:t>，本项目</w:t>
      </w:r>
      <w:r>
        <w:rPr>
          <w:rFonts w:hint="eastAsia"/>
          <w:color w:val="FF0000"/>
          <w:kern w:val="0"/>
          <w:sz w:val="24"/>
          <w:szCs w:val="24"/>
          <w:lang w:val="en-US" w:eastAsia="zh-CN"/>
        </w:rPr>
        <w:t>类比该项目产污系数，颗粒物</w:t>
      </w:r>
      <w:r>
        <w:rPr>
          <w:rFonts w:hint="eastAsia"/>
          <w:color w:val="FF0000"/>
          <w:kern w:val="0"/>
          <w:sz w:val="24"/>
          <w:szCs w:val="24"/>
        </w:rPr>
        <w:t>产生量为7.7t/a。拉毛机、刷呢机、剪毛机、烫光机、揺粒机进行封闭生产，布料进出口为空气进气口，产生的废气经封闭车间</w:t>
      </w:r>
      <w:r>
        <w:rPr>
          <w:color w:val="FF0000"/>
          <w:sz w:val="24"/>
          <w:szCs w:val="24"/>
        </w:rPr>
        <w:t>负压抽风</w:t>
      </w:r>
      <w:r>
        <w:rPr>
          <w:rFonts w:hint="eastAsia"/>
          <w:color w:val="FF0000"/>
          <w:sz w:val="24"/>
          <w:szCs w:val="24"/>
        </w:rPr>
        <w:t>+集气罩</w:t>
      </w:r>
      <w:r>
        <w:rPr>
          <w:color w:val="FF0000"/>
          <w:sz w:val="24"/>
          <w:szCs w:val="24"/>
        </w:rPr>
        <w:t>收集，捕集率9</w:t>
      </w:r>
      <w:r>
        <w:rPr>
          <w:rFonts w:hint="eastAsia"/>
          <w:color w:val="FF0000"/>
          <w:sz w:val="24"/>
          <w:szCs w:val="24"/>
        </w:rPr>
        <w:t>9</w:t>
      </w:r>
      <w:r>
        <w:rPr>
          <w:color w:val="FF0000"/>
          <w:sz w:val="24"/>
          <w:szCs w:val="24"/>
        </w:rPr>
        <w:t>%</w:t>
      </w:r>
      <w:r>
        <w:rPr>
          <w:rFonts w:hint="eastAsia"/>
          <w:color w:val="FF0000"/>
          <w:kern w:val="0"/>
          <w:sz w:val="24"/>
          <w:szCs w:val="24"/>
        </w:rPr>
        <w:t>，收集后送</w:t>
      </w:r>
      <w:r>
        <w:rPr>
          <w:rFonts w:hint="eastAsia"/>
          <w:color w:val="FF0000"/>
          <w:kern w:val="0"/>
          <w:sz w:val="24"/>
          <w:szCs w:val="24"/>
          <w:lang w:val="en-US" w:eastAsia="zh-CN"/>
        </w:rPr>
        <w:t>布袋除尘</w:t>
      </w:r>
      <w:r>
        <w:rPr>
          <w:rFonts w:hint="eastAsia"/>
          <w:color w:val="FF0000"/>
          <w:kern w:val="0"/>
          <w:sz w:val="24"/>
          <w:szCs w:val="24"/>
        </w:rPr>
        <w:t>装置收集处理，处理效率为</w:t>
      </w:r>
      <w:r>
        <w:rPr>
          <w:rFonts w:hint="eastAsia"/>
          <w:color w:val="FF0000"/>
          <w:kern w:val="0"/>
          <w:sz w:val="24"/>
          <w:szCs w:val="24"/>
          <w:lang w:val="en-US" w:eastAsia="zh-CN"/>
        </w:rPr>
        <w:t>99</w:t>
      </w:r>
      <w:r>
        <w:rPr>
          <w:rFonts w:hint="eastAsia"/>
          <w:color w:val="FF0000"/>
          <w:kern w:val="0"/>
          <w:sz w:val="24"/>
          <w:szCs w:val="24"/>
        </w:rPr>
        <w:t>%，则拉毛、刷呢、剪毛、烫光、揺粒过程有组织颗粒物排放量为</w:t>
      </w:r>
      <w:r>
        <w:rPr>
          <w:rFonts w:hint="eastAsia"/>
          <w:color w:val="FF0000"/>
          <w:kern w:val="0"/>
          <w:sz w:val="24"/>
          <w:szCs w:val="24"/>
          <w:lang w:val="en-US" w:eastAsia="zh-CN"/>
        </w:rPr>
        <w:t>0.076</w:t>
      </w:r>
      <w:r>
        <w:rPr>
          <w:rFonts w:hint="eastAsia"/>
          <w:color w:val="FF0000"/>
          <w:kern w:val="0"/>
          <w:sz w:val="24"/>
          <w:szCs w:val="24"/>
        </w:rPr>
        <w:t>t/a，则无组织颗粒物排放量为0.077t/a。</w:t>
      </w:r>
    </w:p>
    <w:p w14:paraId="6E878C5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0"/>
          <w:sz w:val="24"/>
          <w:szCs w:val="24"/>
          <w:lang w:val="en-US" w:eastAsia="zh-CN"/>
        </w:rPr>
      </w:pPr>
      <w:r>
        <w:rPr>
          <w:rFonts w:hint="eastAsia"/>
          <w:color w:val="FF0000"/>
          <w:kern w:val="0"/>
          <w:sz w:val="24"/>
          <w:szCs w:val="24"/>
          <w:lang w:val="en-US" w:eastAsia="zh-CN"/>
        </w:rPr>
        <w:t>②定型废气G2、蒸呢废气G7</w:t>
      </w:r>
    </w:p>
    <w:p w14:paraId="6A81488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FF0000"/>
          <w:kern w:val="0"/>
          <w:sz w:val="24"/>
          <w:szCs w:val="24"/>
          <w:lang w:val="en-US" w:eastAsia="zh-CN"/>
        </w:rPr>
        <w:t>蒸呢特指利用‌湿热蒸汽‌对毛织物（及仿毛织物）进行定型处理的专有工艺，也属于定型工艺。本项目定型工序产生颗粒物、油烟（以非甲烷总烃计），本项目为羊毛布料。本项目颗粒物参照《排放源统计调查产排污核算方法和系数手册》中《1723毛染整精加工行业系数手册》，羊毛布料定型过程中颗粒物排污系数为80克/吨产品，本项目产品量约为3080t/a，则定型过程中颗粒物产生量约为0.246t/a。本项目通过密闭管道收集废气，废气收集效率取95%，通过水喷淋+静电净化装置处理。参考《“喷淋洗涤+湿式电除尘技术”在定型机废气治理中的性能研究》（陈瑶姬等）：“喷淋塔除尘效率较高，在不同实验条件下，除尘效率均可达80%以上”，本项目去除效率取80%，则定型过程有组织颗粒物排放量为0.047t/a，无组织颗粒物排放量为0.0025t/a。</w:t>
      </w:r>
    </w:p>
    <w:bookmarkEnd w:id="57"/>
    <w:p w14:paraId="2B4DF59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FF0000"/>
          <w:kern w:val="0"/>
          <w:sz w:val="24"/>
          <w:szCs w:val="24"/>
        </w:rPr>
      </w:pPr>
      <w:r>
        <w:rPr>
          <w:rFonts w:hint="eastAsia"/>
          <w:color w:val="FF0000"/>
          <w:kern w:val="0"/>
          <w:sz w:val="24"/>
          <w:szCs w:val="24"/>
        </w:rPr>
        <w:t>本项目定型过程有机废气主要来自织物表面残留的油脂</w:t>
      </w:r>
      <w:r>
        <w:rPr>
          <w:rFonts w:hint="eastAsia"/>
          <w:color w:val="FF0000"/>
          <w:kern w:val="0"/>
          <w:sz w:val="24"/>
          <w:szCs w:val="24"/>
          <w:lang w:val="en-US" w:eastAsia="zh-CN"/>
        </w:rPr>
        <w:t>高温定型</w:t>
      </w:r>
      <w:r>
        <w:rPr>
          <w:rFonts w:hint="default"/>
          <w:color w:val="FF0000"/>
          <w:kern w:val="0"/>
          <w:sz w:val="24"/>
          <w:szCs w:val="24"/>
        </w:rPr>
        <w:t>‌</w:t>
      </w:r>
      <w:r>
        <w:rPr>
          <w:rFonts w:hint="eastAsia"/>
          <w:color w:val="FF0000"/>
          <w:kern w:val="0"/>
          <w:sz w:val="24"/>
          <w:szCs w:val="24"/>
        </w:rPr>
        <w:t>产生的挥发性有机废气，以非甲烷总烃表征。</w:t>
      </w:r>
      <w:r>
        <w:rPr>
          <w:rFonts w:hint="eastAsia"/>
          <w:color w:val="FF0000"/>
          <w:kern w:val="0"/>
          <w:sz w:val="24"/>
          <w:szCs w:val="24"/>
          <w:lang w:val="en-US" w:eastAsia="zh-CN"/>
        </w:rPr>
        <w:t>本项目羊毛布料含油率为0.0526%，经计算，定型和蒸呢过程产生的非甲烷总烃量约为1.62t/a，</w:t>
      </w:r>
      <w:r>
        <w:rPr>
          <w:rFonts w:hint="eastAsia"/>
          <w:color w:val="FF0000"/>
          <w:kern w:val="0"/>
          <w:sz w:val="24"/>
          <w:szCs w:val="24"/>
        </w:rPr>
        <w:t>参照浙江省《纺织染整工业大气污染物排放标准》编制说明：“定型废气中的油雾废气水喷淋+静电净化装置平均去除率约80%”，本项目建设方采购先进的定型机设备，配套静电净化装置，本项目去除效率取80%</w:t>
      </w:r>
      <w:r>
        <w:rPr>
          <w:rFonts w:hint="eastAsia"/>
          <w:color w:val="FF0000"/>
          <w:kern w:val="0"/>
          <w:sz w:val="24"/>
          <w:szCs w:val="24"/>
          <w:lang w:eastAsia="zh-CN"/>
        </w:rPr>
        <w:t>，</w:t>
      </w:r>
      <w:r>
        <w:rPr>
          <w:rFonts w:hint="eastAsia"/>
          <w:color w:val="FF0000"/>
          <w:kern w:val="0"/>
          <w:sz w:val="24"/>
          <w:szCs w:val="24"/>
        </w:rPr>
        <w:t>据此估算，本项目定型废气有组织非甲烷总烃废气量</w:t>
      </w:r>
      <w:r>
        <w:rPr>
          <w:rFonts w:hint="eastAsia"/>
          <w:color w:val="FF0000"/>
          <w:kern w:val="0"/>
          <w:sz w:val="24"/>
          <w:szCs w:val="24"/>
          <w:lang w:val="en-US" w:eastAsia="zh-CN"/>
        </w:rPr>
        <w:t>0.308</w:t>
      </w:r>
      <w:r>
        <w:rPr>
          <w:rFonts w:hint="eastAsia"/>
          <w:color w:val="FF0000"/>
          <w:kern w:val="0"/>
          <w:sz w:val="24"/>
          <w:szCs w:val="24"/>
        </w:rPr>
        <w:t>t/a，未被收集的</w:t>
      </w:r>
      <w:r>
        <w:rPr>
          <w:rFonts w:hint="eastAsia"/>
          <w:color w:val="FF0000"/>
          <w:kern w:val="0"/>
          <w:sz w:val="24"/>
          <w:szCs w:val="24"/>
          <w:lang w:val="en-US" w:eastAsia="zh-CN"/>
        </w:rPr>
        <w:t>0.081</w:t>
      </w:r>
      <w:r>
        <w:rPr>
          <w:rFonts w:hint="eastAsia"/>
          <w:color w:val="FF0000"/>
          <w:kern w:val="0"/>
          <w:sz w:val="24"/>
          <w:szCs w:val="24"/>
        </w:rPr>
        <w:t>t/a无组织排放。</w:t>
      </w:r>
    </w:p>
    <w:p w14:paraId="19967F2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sz w:val="24"/>
          <w:szCs w:val="24"/>
        </w:rPr>
      </w:pPr>
      <w:r>
        <w:rPr>
          <w:rFonts w:hint="eastAsia"/>
          <w:color w:val="auto"/>
          <w:kern w:val="0"/>
          <w:sz w:val="24"/>
          <w:szCs w:val="24"/>
          <w:lang w:val="en-US" w:eastAsia="zh-CN"/>
        </w:rPr>
        <w:t>风量核算：本项目共2台定型机和3台蒸呢机，参考《挥发性有机物治理实用手册（第二版）》（生态环境部大气环境司、生态环境部环境规划院编制）中通过式烘干室，断面控制风速取值范围为0.5~1.0m/s，本项目风速取0.5m/s，断面尺寸为1.5m×0.5m，则单台风量Q计算为：Q=控制风速×横截面面积=0.5m/s×0.75m</w:t>
      </w:r>
      <w:r>
        <w:rPr>
          <w:rFonts w:hint="eastAsia"/>
          <w:color w:val="auto"/>
          <w:kern w:val="0"/>
          <w:sz w:val="24"/>
          <w:szCs w:val="24"/>
          <w:vertAlign w:val="superscript"/>
          <w:lang w:val="en-US" w:eastAsia="zh-CN"/>
        </w:rPr>
        <w:t>2</w:t>
      </w:r>
      <w:r>
        <w:rPr>
          <w:rFonts w:hint="eastAsia"/>
          <w:color w:val="auto"/>
          <w:kern w:val="0"/>
          <w:sz w:val="24"/>
          <w:szCs w:val="24"/>
          <w:lang w:val="en-US" w:eastAsia="zh-CN"/>
        </w:rPr>
        <w:t>×3600=1350m</w:t>
      </w:r>
      <w:r>
        <w:rPr>
          <w:rFonts w:hint="eastAsia"/>
          <w:color w:val="auto"/>
          <w:kern w:val="0"/>
          <w:sz w:val="24"/>
          <w:szCs w:val="24"/>
          <w:vertAlign w:val="superscript"/>
          <w:lang w:val="en-US" w:eastAsia="zh-CN"/>
        </w:rPr>
        <w:t>3</w:t>
      </w:r>
      <w:r>
        <w:rPr>
          <w:rFonts w:hint="eastAsia"/>
          <w:color w:val="auto"/>
          <w:kern w:val="0"/>
          <w:sz w:val="24"/>
          <w:szCs w:val="24"/>
          <w:lang w:val="en-US" w:eastAsia="zh-CN"/>
        </w:rPr>
        <w:t>/h，考虑风压损失、管道距离等因素，单台定型机风量取1500m</w:t>
      </w:r>
      <w:r>
        <w:rPr>
          <w:rFonts w:hint="eastAsia"/>
          <w:color w:val="auto"/>
          <w:kern w:val="0"/>
          <w:sz w:val="24"/>
          <w:szCs w:val="24"/>
          <w:vertAlign w:val="superscript"/>
          <w:lang w:val="en-US" w:eastAsia="zh-CN"/>
        </w:rPr>
        <w:t>3</w:t>
      </w:r>
      <w:r>
        <w:rPr>
          <w:rFonts w:hint="eastAsia"/>
          <w:color w:val="auto"/>
          <w:kern w:val="0"/>
          <w:sz w:val="24"/>
          <w:szCs w:val="24"/>
          <w:lang w:val="en-US" w:eastAsia="zh-CN"/>
        </w:rPr>
        <w:t>/h，2台定型机和3台蒸呢机合并一个排气筒（风量共7500m</w:t>
      </w:r>
      <w:r>
        <w:rPr>
          <w:rFonts w:hint="eastAsia"/>
          <w:color w:val="auto"/>
          <w:kern w:val="0"/>
          <w:sz w:val="24"/>
          <w:szCs w:val="24"/>
          <w:vertAlign w:val="superscript"/>
          <w:lang w:val="en-US" w:eastAsia="zh-CN"/>
        </w:rPr>
        <w:t>3</w:t>
      </w:r>
      <w:r>
        <w:rPr>
          <w:rFonts w:hint="eastAsia"/>
          <w:color w:val="auto"/>
          <w:kern w:val="0"/>
          <w:sz w:val="24"/>
          <w:szCs w:val="24"/>
          <w:lang w:val="en-US" w:eastAsia="zh-CN"/>
        </w:rPr>
        <w:t>/h）。</w:t>
      </w:r>
    </w:p>
    <w:p w14:paraId="65245A5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0"/>
          <w:sz w:val="24"/>
          <w:szCs w:val="24"/>
          <w:highlight w:val="none"/>
          <w:lang w:val="en-US" w:eastAsia="zh-CN"/>
        </w:rPr>
      </w:pPr>
      <w:r>
        <w:rPr>
          <w:rFonts w:hint="eastAsia"/>
          <w:color w:val="FF0000"/>
          <w:kern w:val="0"/>
          <w:sz w:val="24"/>
          <w:szCs w:val="24"/>
          <w:highlight w:val="none"/>
          <w:lang w:val="en-US" w:eastAsia="zh-CN"/>
        </w:rPr>
        <w:t>③生物质</w:t>
      </w:r>
      <w:r>
        <w:rPr>
          <w:rFonts w:hint="eastAsia" w:cs="Times New Roman"/>
          <w:bCs/>
          <w:color w:val="FF0000"/>
          <w:sz w:val="24"/>
          <w:szCs w:val="24"/>
          <w:lang w:val="en-US" w:eastAsia="zh-CN"/>
        </w:rPr>
        <w:t>蒸汽锅炉</w:t>
      </w:r>
      <w:r>
        <w:rPr>
          <w:rFonts w:hint="eastAsia"/>
          <w:color w:val="FF0000"/>
          <w:kern w:val="0"/>
          <w:sz w:val="24"/>
          <w:szCs w:val="24"/>
          <w:highlight w:val="none"/>
          <w:lang w:val="en-US" w:eastAsia="zh-CN"/>
        </w:rPr>
        <w:t>废气G8、</w:t>
      </w:r>
    </w:p>
    <w:p w14:paraId="1859194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0"/>
          <w:sz w:val="24"/>
          <w:szCs w:val="24"/>
          <w:highlight w:val="none"/>
          <w:lang w:val="en-US" w:eastAsia="zh-CN"/>
        </w:rPr>
      </w:pPr>
      <w:r>
        <w:rPr>
          <w:rFonts w:hint="eastAsia"/>
          <w:color w:val="FF0000"/>
          <w:kern w:val="0"/>
          <w:sz w:val="24"/>
          <w:szCs w:val="24"/>
          <w:lang w:val="en-US" w:eastAsia="zh-CN"/>
        </w:rPr>
        <w:t>根据建设方提供数据，本项目购置</w:t>
      </w:r>
      <w:r>
        <w:rPr>
          <w:rFonts w:hint="eastAsia" w:cs="Times New Roman"/>
          <w:bCs/>
          <w:color w:val="FF0000"/>
          <w:sz w:val="24"/>
          <w:szCs w:val="24"/>
          <w:lang w:val="en-US" w:eastAsia="zh-CN"/>
        </w:rPr>
        <w:t>一台6t/h生物质蒸汽锅炉，</w:t>
      </w:r>
      <w:r>
        <w:rPr>
          <w:rFonts w:hint="eastAsia"/>
          <w:color w:val="FF0000"/>
          <w:kern w:val="0"/>
          <w:sz w:val="24"/>
          <w:szCs w:val="24"/>
          <w:lang w:val="en-US" w:eastAsia="zh-CN"/>
        </w:rPr>
        <w:t>采用生物质颗粒作为燃料，主要燃烧</w:t>
      </w:r>
      <w:r>
        <w:rPr>
          <w:rFonts w:hint="eastAsia"/>
          <w:color w:val="FF0000"/>
          <w:sz w:val="24"/>
          <w:szCs w:val="24"/>
          <w:lang w:val="en-US" w:eastAsia="zh-CN"/>
        </w:rPr>
        <w:t>加热</w:t>
      </w:r>
      <w:r>
        <w:rPr>
          <w:rFonts w:hint="eastAsia"/>
          <w:color w:val="FF0000"/>
          <w:kern w:val="0"/>
          <w:sz w:val="24"/>
          <w:szCs w:val="24"/>
          <w:lang w:val="en-US" w:eastAsia="zh-CN"/>
        </w:rPr>
        <w:t>介质为纯水，</w:t>
      </w:r>
      <w:r>
        <w:rPr>
          <w:rFonts w:hint="eastAsia" w:ascii="Times New Roman" w:hAnsi="Times New Roman" w:eastAsia="宋体" w:cs="Times New Roman"/>
          <w:color w:val="FF0000"/>
          <w:kern w:val="0"/>
          <w:sz w:val="24"/>
          <w:szCs w:val="24"/>
          <w:lang w:val="en-US" w:eastAsia="zh-CN"/>
        </w:rPr>
        <w:t>在满负荷运行时，每小时的燃料消耗量通常在1000~1200kg，经计算本项目</w:t>
      </w:r>
      <w:r>
        <w:rPr>
          <w:rFonts w:hint="eastAsia"/>
          <w:color w:val="FF0000"/>
          <w:kern w:val="0"/>
          <w:sz w:val="24"/>
          <w:szCs w:val="24"/>
          <w:highlight w:val="none"/>
          <w:lang w:val="en-US" w:eastAsia="zh-CN"/>
        </w:rPr>
        <w:t>生物质</w:t>
      </w:r>
      <w:r>
        <w:rPr>
          <w:rFonts w:hint="eastAsia" w:cs="Times New Roman"/>
          <w:bCs/>
          <w:color w:val="FF0000"/>
          <w:sz w:val="24"/>
          <w:szCs w:val="24"/>
          <w:lang w:val="en-US" w:eastAsia="zh-CN"/>
        </w:rPr>
        <w:t>蒸汽锅炉</w:t>
      </w:r>
      <w:r>
        <w:rPr>
          <w:rFonts w:hint="eastAsia"/>
          <w:color w:val="FF0000"/>
          <w:kern w:val="0"/>
          <w:sz w:val="24"/>
          <w:szCs w:val="24"/>
          <w:lang w:val="en-US" w:eastAsia="zh-CN"/>
        </w:rPr>
        <w:t>燃料年用量为7000t，锅炉工作时间约为7200h/a。</w:t>
      </w:r>
    </w:p>
    <w:p w14:paraId="5B3873AF">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b/>
          <w:bCs/>
          <w:color w:val="FF0000"/>
          <w:kern w:val="2"/>
          <w:sz w:val="24"/>
          <w:szCs w:val="24"/>
        </w:rPr>
      </w:pPr>
      <w:r>
        <w:rPr>
          <w:rFonts w:hint="eastAsia"/>
          <w:b/>
          <w:bCs/>
          <w:color w:val="FF0000"/>
          <w:kern w:val="2"/>
          <w:sz w:val="24"/>
          <w:szCs w:val="24"/>
        </w:rPr>
        <w:t>表</w:t>
      </w:r>
      <w:r>
        <w:rPr>
          <w:rFonts w:hint="eastAsia"/>
          <w:b/>
          <w:bCs/>
          <w:color w:val="FF0000"/>
          <w:kern w:val="2"/>
          <w:sz w:val="24"/>
          <w:szCs w:val="24"/>
          <w:lang w:val="en-US" w:eastAsia="zh-CN"/>
        </w:rPr>
        <w:t>2-2</w:t>
      </w:r>
      <w:r>
        <w:rPr>
          <w:rFonts w:hint="eastAsia"/>
          <w:b/>
          <w:bCs/>
          <w:color w:val="FF0000"/>
          <w:kern w:val="2"/>
          <w:sz w:val="24"/>
          <w:szCs w:val="24"/>
        </w:rPr>
        <w:t xml:space="preserve">  生物质锅炉工业的废气产排污系数</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661"/>
        <w:gridCol w:w="4154"/>
        <w:gridCol w:w="1262"/>
      </w:tblGrid>
      <w:tr w14:paraId="32EB7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bottom w:val="single" w:color="auto" w:sz="12" w:space="0"/>
            </w:tcBorders>
            <w:noWrap w:val="0"/>
            <w:vAlign w:val="center"/>
          </w:tcPr>
          <w:p w14:paraId="6FF524E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污染指标</w:t>
            </w:r>
          </w:p>
        </w:tc>
        <w:tc>
          <w:tcPr>
            <w:tcW w:w="1000" w:type="pct"/>
            <w:tcBorders>
              <w:bottom w:val="single" w:color="auto" w:sz="12" w:space="0"/>
            </w:tcBorders>
            <w:noWrap w:val="0"/>
            <w:vAlign w:val="center"/>
          </w:tcPr>
          <w:p w14:paraId="43A8C8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产污系数</w:t>
            </w:r>
          </w:p>
        </w:tc>
        <w:tc>
          <w:tcPr>
            <w:tcW w:w="2500" w:type="pct"/>
            <w:tcBorders>
              <w:bottom w:val="single" w:color="auto" w:sz="12" w:space="0"/>
            </w:tcBorders>
            <w:noWrap w:val="0"/>
            <w:vAlign w:val="center"/>
          </w:tcPr>
          <w:p w14:paraId="7DD7EAB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核算依据</w:t>
            </w:r>
          </w:p>
        </w:tc>
        <w:tc>
          <w:tcPr>
            <w:tcW w:w="760" w:type="pct"/>
            <w:tcBorders>
              <w:bottom w:val="single" w:color="auto" w:sz="12" w:space="0"/>
            </w:tcBorders>
            <w:noWrap w:val="0"/>
            <w:vAlign w:val="center"/>
          </w:tcPr>
          <w:p w14:paraId="666207C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单位</w:t>
            </w:r>
          </w:p>
        </w:tc>
      </w:tr>
      <w:tr w14:paraId="0A801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top w:val="single" w:color="auto" w:sz="12" w:space="0"/>
            </w:tcBorders>
            <w:noWrap w:val="0"/>
            <w:vAlign w:val="center"/>
          </w:tcPr>
          <w:p w14:paraId="4DAA4D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工业废气量</w:t>
            </w:r>
          </w:p>
        </w:tc>
        <w:tc>
          <w:tcPr>
            <w:tcW w:w="1000" w:type="pct"/>
            <w:tcBorders>
              <w:top w:val="single" w:color="auto" w:sz="12" w:space="0"/>
            </w:tcBorders>
            <w:noWrap w:val="0"/>
            <w:vAlign w:val="center"/>
          </w:tcPr>
          <w:p w14:paraId="740E9CD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rFonts w:hint="eastAsia"/>
                <w:color w:val="FF0000"/>
                <w:kern w:val="2"/>
                <w:sz w:val="21"/>
                <w:szCs w:val="21"/>
              </w:rPr>
              <w:t>6240</w:t>
            </w:r>
          </w:p>
        </w:tc>
        <w:tc>
          <w:tcPr>
            <w:tcW w:w="2500" w:type="pct"/>
            <w:vMerge w:val="restart"/>
            <w:tcBorders>
              <w:top w:val="single" w:color="auto" w:sz="12" w:space="0"/>
            </w:tcBorders>
            <w:noWrap w:val="0"/>
            <w:vAlign w:val="center"/>
          </w:tcPr>
          <w:p w14:paraId="1A7E8C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1"/>
                <w:szCs w:val="21"/>
                <w:lang w:eastAsia="zh-CN"/>
              </w:rPr>
            </w:pPr>
            <w:r>
              <w:rPr>
                <w:color w:val="FF0000"/>
                <w:kern w:val="2"/>
                <w:sz w:val="21"/>
                <w:szCs w:val="21"/>
              </w:rPr>
              <w:t>《排放源统计调查产排污核算方法和系数手册》“4430工业锅炉（热力生产和供应行业）产污系数表-</w:t>
            </w:r>
            <w:r>
              <w:rPr>
                <w:rFonts w:hint="eastAsia"/>
                <w:color w:val="FF0000"/>
                <w:kern w:val="2"/>
                <w:sz w:val="21"/>
                <w:szCs w:val="21"/>
              </w:rPr>
              <w:t>生物质工业</w:t>
            </w:r>
            <w:r>
              <w:rPr>
                <w:color w:val="FF0000"/>
                <w:kern w:val="2"/>
                <w:sz w:val="21"/>
                <w:szCs w:val="21"/>
              </w:rPr>
              <w:t>锅炉</w:t>
            </w:r>
            <w:r>
              <w:rPr>
                <w:rFonts w:eastAsia="宋体"/>
                <w:color w:val="FF0000"/>
                <w:kern w:val="2"/>
                <w:sz w:val="21"/>
                <w:szCs w:val="21"/>
              </w:rPr>
              <w:t>”</w:t>
            </w:r>
            <w:r>
              <w:rPr>
                <w:rFonts w:hint="eastAsia" w:eastAsia="宋体"/>
                <w:color w:val="FF0000"/>
                <w:kern w:val="2"/>
                <w:sz w:val="21"/>
                <w:szCs w:val="21"/>
                <w:lang w:eastAsia="zh-CN"/>
              </w:rPr>
              <w:t>、《排污许可证申请与核发技术规范锅炉》（</w:t>
            </w:r>
            <w:r>
              <w:rPr>
                <w:rFonts w:hint="eastAsia" w:eastAsia="宋体"/>
                <w:color w:val="FF0000"/>
                <w:kern w:val="2"/>
                <w:sz w:val="21"/>
                <w:szCs w:val="21"/>
                <w:lang w:val="en-US" w:eastAsia="zh-CN"/>
              </w:rPr>
              <w:t>HJ953-2018）</w:t>
            </w:r>
          </w:p>
        </w:tc>
        <w:tc>
          <w:tcPr>
            <w:tcW w:w="760" w:type="pct"/>
            <w:tcBorders>
              <w:top w:val="single" w:color="auto" w:sz="12" w:space="0"/>
            </w:tcBorders>
            <w:noWrap w:val="0"/>
            <w:vAlign w:val="center"/>
          </w:tcPr>
          <w:p w14:paraId="41B695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Nm</w:t>
            </w:r>
            <w:r>
              <w:rPr>
                <w:color w:val="FF0000"/>
                <w:kern w:val="2"/>
                <w:sz w:val="21"/>
                <w:szCs w:val="21"/>
                <w:vertAlign w:val="superscript"/>
              </w:rPr>
              <w:t>3</w:t>
            </w:r>
            <w:r>
              <w:rPr>
                <w:color w:val="FF0000"/>
                <w:kern w:val="2"/>
                <w:sz w:val="21"/>
                <w:szCs w:val="21"/>
              </w:rPr>
              <w:t>/t-原料</w:t>
            </w:r>
          </w:p>
        </w:tc>
      </w:tr>
      <w:tr w14:paraId="1ACF1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14:paraId="0D8C25A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颗粒物</w:t>
            </w:r>
          </w:p>
        </w:tc>
        <w:tc>
          <w:tcPr>
            <w:tcW w:w="1000" w:type="pct"/>
            <w:noWrap w:val="0"/>
            <w:vAlign w:val="center"/>
          </w:tcPr>
          <w:p w14:paraId="3D95AC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1"/>
                <w:szCs w:val="21"/>
                <w:lang w:val="en-US"/>
              </w:rPr>
            </w:pPr>
            <w:r>
              <w:rPr>
                <w:rFonts w:hint="eastAsia"/>
                <w:color w:val="FF0000"/>
                <w:kern w:val="2"/>
                <w:sz w:val="21"/>
                <w:szCs w:val="21"/>
                <w:lang w:val="en-US" w:eastAsia="zh-CN"/>
              </w:rPr>
              <w:t>0.5</w:t>
            </w:r>
          </w:p>
        </w:tc>
        <w:tc>
          <w:tcPr>
            <w:tcW w:w="2500" w:type="pct"/>
            <w:vMerge w:val="continue"/>
            <w:noWrap w:val="0"/>
            <w:vAlign w:val="center"/>
          </w:tcPr>
          <w:p w14:paraId="67CCCC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p>
        </w:tc>
        <w:tc>
          <w:tcPr>
            <w:tcW w:w="760" w:type="pct"/>
            <w:noWrap w:val="0"/>
            <w:vAlign w:val="center"/>
          </w:tcPr>
          <w:p w14:paraId="468EEE5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kg/t-原料</w:t>
            </w:r>
          </w:p>
        </w:tc>
      </w:tr>
      <w:tr w14:paraId="3B170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14:paraId="548FEE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SO</w:t>
            </w:r>
            <w:r>
              <w:rPr>
                <w:color w:val="FF0000"/>
                <w:kern w:val="2"/>
                <w:sz w:val="21"/>
                <w:szCs w:val="21"/>
                <w:vertAlign w:val="subscript"/>
              </w:rPr>
              <w:t>2</w:t>
            </w:r>
          </w:p>
        </w:tc>
        <w:tc>
          <w:tcPr>
            <w:tcW w:w="1000" w:type="pct"/>
            <w:noWrap w:val="0"/>
            <w:vAlign w:val="center"/>
          </w:tcPr>
          <w:p w14:paraId="0C43393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rFonts w:hint="eastAsia"/>
                <w:color w:val="FF0000"/>
                <w:kern w:val="2"/>
                <w:sz w:val="21"/>
                <w:szCs w:val="21"/>
              </w:rPr>
              <w:t>17</w:t>
            </w:r>
            <w:r>
              <w:rPr>
                <w:color w:val="FF0000"/>
                <w:kern w:val="2"/>
                <w:sz w:val="21"/>
                <w:szCs w:val="21"/>
              </w:rPr>
              <w:t>S</w:t>
            </w:r>
            <w:r>
              <w:rPr>
                <w:rFonts w:hint="eastAsia"/>
                <w:color w:val="FF0000"/>
                <w:kern w:val="2"/>
                <w:sz w:val="21"/>
                <w:szCs w:val="21"/>
              </w:rPr>
              <w:t>①</w:t>
            </w:r>
          </w:p>
        </w:tc>
        <w:tc>
          <w:tcPr>
            <w:tcW w:w="2500" w:type="pct"/>
            <w:vMerge w:val="continue"/>
            <w:noWrap w:val="0"/>
            <w:vAlign w:val="center"/>
          </w:tcPr>
          <w:p w14:paraId="5B9CD46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p>
        </w:tc>
        <w:tc>
          <w:tcPr>
            <w:tcW w:w="760" w:type="pct"/>
            <w:noWrap w:val="0"/>
            <w:vAlign w:val="center"/>
          </w:tcPr>
          <w:p w14:paraId="2E4FC6F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kg/t-原料</w:t>
            </w:r>
          </w:p>
        </w:tc>
      </w:tr>
      <w:tr w14:paraId="1A053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14:paraId="24D22A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NO</w:t>
            </w:r>
            <w:r>
              <w:rPr>
                <w:rFonts w:hint="eastAsia"/>
                <w:color w:val="FF0000"/>
                <w:kern w:val="2"/>
                <w:sz w:val="21"/>
                <w:szCs w:val="21"/>
              </w:rPr>
              <w:t>x</w:t>
            </w:r>
          </w:p>
        </w:tc>
        <w:tc>
          <w:tcPr>
            <w:tcW w:w="1000" w:type="pct"/>
            <w:noWrap w:val="0"/>
            <w:vAlign w:val="center"/>
          </w:tcPr>
          <w:p w14:paraId="415E8CD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FF0000"/>
                <w:kern w:val="2"/>
                <w:sz w:val="21"/>
                <w:szCs w:val="21"/>
                <w:lang w:val="en-US" w:eastAsia="zh-CN"/>
              </w:rPr>
            </w:pPr>
            <w:r>
              <w:rPr>
                <w:rFonts w:hint="eastAsia"/>
                <w:color w:val="FF0000"/>
                <w:kern w:val="2"/>
                <w:sz w:val="21"/>
                <w:szCs w:val="21"/>
                <w:lang w:val="en-US" w:eastAsia="zh-CN"/>
              </w:rPr>
              <w:t>0.71</w:t>
            </w:r>
          </w:p>
        </w:tc>
        <w:tc>
          <w:tcPr>
            <w:tcW w:w="2500" w:type="pct"/>
            <w:vMerge w:val="continue"/>
            <w:noWrap w:val="0"/>
            <w:vAlign w:val="center"/>
          </w:tcPr>
          <w:p w14:paraId="7DEEFB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p>
        </w:tc>
        <w:tc>
          <w:tcPr>
            <w:tcW w:w="760" w:type="pct"/>
            <w:noWrap w:val="0"/>
            <w:vAlign w:val="center"/>
          </w:tcPr>
          <w:p w14:paraId="396744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kg/t-原料</w:t>
            </w:r>
          </w:p>
        </w:tc>
      </w:tr>
      <w:tr w14:paraId="30562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14:paraId="662069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含硫量（S%）是指</w:t>
            </w:r>
            <w:r>
              <w:rPr>
                <w:rFonts w:hint="eastAsia"/>
                <w:color w:val="FF0000"/>
                <w:kern w:val="2"/>
                <w:sz w:val="21"/>
                <w:szCs w:val="21"/>
              </w:rPr>
              <w:t>生物质</w:t>
            </w:r>
            <w:r>
              <w:rPr>
                <w:color w:val="FF0000"/>
                <w:kern w:val="2"/>
                <w:sz w:val="21"/>
                <w:szCs w:val="21"/>
              </w:rPr>
              <w:t>收到基硫含量，以质量百分数的形式表示。</w:t>
            </w:r>
          </w:p>
        </w:tc>
      </w:tr>
    </w:tbl>
    <w:p w14:paraId="36B626F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0"/>
          <w:sz w:val="24"/>
          <w:szCs w:val="24"/>
          <w:highlight w:val="none"/>
          <w:lang w:val="en-US" w:eastAsia="zh-CN"/>
        </w:rPr>
      </w:pPr>
      <w:r>
        <w:rPr>
          <w:rFonts w:hint="eastAsia"/>
          <w:color w:val="FF0000"/>
          <w:kern w:val="0"/>
          <w:sz w:val="24"/>
          <w:szCs w:val="24"/>
          <w:lang w:val="en-US" w:eastAsia="zh-CN"/>
        </w:rPr>
        <w:t>根据企业提供资料，</w:t>
      </w:r>
      <w:r>
        <w:rPr>
          <w:rFonts w:hint="eastAsia"/>
          <w:color w:val="FF0000"/>
          <w:kern w:val="2"/>
          <w:sz w:val="24"/>
          <w:szCs w:val="24"/>
        </w:rPr>
        <w:t>本项目生物质工业锅炉含硫量S为0</w:t>
      </w:r>
      <w:r>
        <w:rPr>
          <w:color w:val="FF0000"/>
          <w:kern w:val="2"/>
          <w:sz w:val="24"/>
          <w:szCs w:val="24"/>
        </w:rPr>
        <w:t>.0</w:t>
      </w:r>
      <w:r>
        <w:rPr>
          <w:rFonts w:hint="eastAsia"/>
          <w:color w:val="FF0000"/>
          <w:kern w:val="2"/>
          <w:sz w:val="24"/>
          <w:szCs w:val="24"/>
          <w:lang w:val="en-US" w:eastAsia="zh-CN"/>
        </w:rPr>
        <w:t>2%</w:t>
      </w:r>
      <w:r>
        <w:rPr>
          <w:rFonts w:hint="eastAsia"/>
          <w:color w:val="FF0000"/>
          <w:kern w:val="2"/>
          <w:sz w:val="24"/>
          <w:szCs w:val="24"/>
        </w:rPr>
        <w:t>，因此本项目生物质</w:t>
      </w:r>
      <w:r>
        <w:rPr>
          <w:rFonts w:hint="eastAsia"/>
          <w:color w:val="FF0000"/>
          <w:kern w:val="2"/>
          <w:sz w:val="24"/>
          <w:szCs w:val="24"/>
          <w:lang w:val="en-US" w:eastAsia="zh-CN"/>
        </w:rPr>
        <w:t>蒸汽</w:t>
      </w:r>
      <w:r>
        <w:rPr>
          <w:rFonts w:hint="eastAsia"/>
          <w:color w:val="FF0000"/>
          <w:kern w:val="2"/>
          <w:sz w:val="24"/>
          <w:szCs w:val="24"/>
        </w:rPr>
        <w:t>锅炉燃烧废气污染物产生量为：工业废气量</w:t>
      </w:r>
      <w:r>
        <w:rPr>
          <w:rFonts w:hint="eastAsia"/>
          <w:color w:val="FF0000"/>
          <w:kern w:val="2"/>
          <w:sz w:val="24"/>
          <w:szCs w:val="24"/>
          <w:lang w:val="en-US" w:eastAsia="zh-CN"/>
        </w:rPr>
        <w:t>4493</w:t>
      </w:r>
      <w:r>
        <w:rPr>
          <w:rFonts w:hint="eastAsia"/>
          <w:color w:val="FF0000"/>
          <w:kern w:val="2"/>
          <w:sz w:val="24"/>
          <w:szCs w:val="24"/>
        </w:rPr>
        <w:t>万Nm</w:t>
      </w:r>
      <w:r>
        <w:rPr>
          <w:color w:val="FF0000"/>
          <w:kern w:val="2"/>
          <w:sz w:val="24"/>
          <w:szCs w:val="24"/>
          <w:vertAlign w:val="superscript"/>
        </w:rPr>
        <w:t>3</w:t>
      </w:r>
      <w:r>
        <w:rPr>
          <w:rFonts w:hint="eastAsia"/>
          <w:color w:val="FF0000"/>
          <w:kern w:val="2"/>
          <w:sz w:val="24"/>
          <w:szCs w:val="24"/>
        </w:rPr>
        <w:t>（</w:t>
      </w:r>
      <w:r>
        <w:rPr>
          <w:rFonts w:hint="eastAsia"/>
          <w:color w:val="FF0000"/>
          <w:kern w:val="2"/>
          <w:sz w:val="24"/>
          <w:szCs w:val="24"/>
          <w:lang w:val="en-US" w:eastAsia="zh-CN"/>
        </w:rPr>
        <w:t>6240</w:t>
      </w:r>
      <w:r>
        <w:rPr>
          <w:rFonts w:hint="eastAsia"/>
          <w:color w:val="FF0000"/>
          <w:kern w:val="2"/>
          <w:sz w:val="24"/>
          <w:szCs w:val="24"/>
        </w:rPr>
        <w:t>m</w:t>
      </w:r>
      <w:r>
        <w:rPr>
          <w:color w:val="FF0000"/>
          <w:kern w:val="2"/>
          <w:sz w:val="24"/>
          <w:szCs w:val="24"/>
          <w:vertAlign w:val="superscript"/>
        </w:rPr>
        <w:t>3</w:t>
      </w:r>
      <w:r>
        <w:rPr>
          <w:color w:val="FF0000"/>
          <w:kern w:val="2"/>
          <w:sz w:val="24"/>
          <w:szCs w:val="24"/>
        </w:rPr>
        <w:t>/</w:t>
      </w:r>
      <w:r>
        <w:rPr>
          <w:rFonts w:hint="eastAsia"/>
          <w:color w:val="FF0000"/>
          <w:kern w:val="2"/>
          <w:sz w:val="24"/>
          <w:szCs w:val="24"/>
        </w:rPr>
        <w:t>h）、颗粒物</w:t>
      </w:r>
      <w:r>
        <w:rPr>
          <w:rFonts w:hint="eastAsia"/>
          <w:color w:val="FF0000"/>
          <w:kern w:val="2"/>
          <w:sz w:val="24"/>
          <w:szCs w:val="24"/>
          <w:lang w:val="en-US" w:eastAsia="zh-CN"/>
        </w:rPr>
        <w:t>3.5</w:t>
      </w:r>
      <w:r>
        <w:rPr>
          <w:rFonts w:hint="eastAsia"/>
          <w:color w:val="FF0000"/>
          <w:kern w:val="2"/>
          <w:sz w:val="24"/>
          <w:szCs w:val="24"/>
        </w:rPr>
        <w:t>t/a、SO</w:t>
      </w:r>
      <w:r>
        <w:rPr>
          <w:color w:val="FF0000"/>
          <w:kern w:val="2"/>
          <w:sz w:val="24"/>
          <w:szCs w:val="24"/>
          <w:vertAlign w:val="subscript"/>
        </w:rPr>
        <w:t>2</w:t>
      </w:r>
      <w:r>
        <w:rPr>
          <w:rFonts w:hint="eastAsia"/>
          <w:color w:val="FF0000"/>
          <w:kern w:val="2"/>
          <w:sz w:val="24"/>
          <w:szCs w:val="24"/>
          <w:vertAlign w:val="subscript"/>
          <w:lang w:val="en-US" w:eastAsia="zh-CN"/>
        </w:rPr>
        <w:t xml:space="preserve"> </w:t>
      </w:r>
      <w:r>
        <w:rPr>
          <w:rFonts w:hint="eastAsia"/>
          <w:color w:val="FF0000"/>
          <w:kern w:val="2"/>
          <w:sz w:val="24"/>
          <w:szCs w:val="24"/>
          <w:vertAlign w:val="baseline"/>
          <w:lang w:val="en-US" w:eastAsia="zh-CN"/>
        </w:rPr>
        <w:t>2.38</w:t>
      </w:r>
      <w:r>
        <w:rPr>
          <w:rFonts w:hint="eastAsia"/>
          <w:color w:val="FF0000"/>
          <w:kern w:val="2"/>
          <w:sz w:val="24"/>
          <w:szCs w:val="24"/>
        </w:rPr>
        <w:t>t/a、NO</w:t>
      </w:r>
      <w:r>
        <w:rPr>
          <w:rFonts w:hint="eastAsia"/>
          <w:color w:val="FF0000"/>
          <w:kern w:val="2"/>
          <w:sz w:val="24"/>
          <w:szCs w:val="24"/>
          <w:vertAlign w:val="subscript"/>
        </w:rPr>
        <w:t>x</w:t>
      </w:r>
      <w:r>
        <w:rPr>
          <w:rFonts w:hint="eastAsia"/>
          <w:color w:val="FF0000"/>
          <w:kern w:val="2"/>
          <w:sz w:val="24"/>
          <w:szCs w:val="24"/>
          <w:vertAlign w:val="baseline"/>
          <w:lang w:val="en-US" w:eastAsia="zh-CN"/>
        </w:rPr>
        <w:t>4.97</w:t>
      </w:r>
      <w:r>
        <w:rPr>
          <w:rFonts w:hint="eastAsia"/>
          <w:color w:val="FF0000"/>
          <w:kern w:val="2"/>
          <w:sz w:val="24"/>
          <w:szCs w:val="24"/>
        </w:rPr>
        <w:t>t/a。</w:t>
      </w:r>
    </w:p>
    <w:p w14:paraId="1EF3FFB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rPr>
      </w:pPr>
      <w:r>
        <w:rPr>
          <w:color w:val="FF0000"/>
          <w:kern w:val="2"/>
          <w:sz w:val="24"/>
          <w:szCs w:val="24"/>
        </w:rPr>
        <w:t>本项目采用</w:t>
      </w:r>
      <w:r>
        <w:rPr>
          <w:rFonts w:hint="eastAsia"/>
          <w:color w:val="FF0000"/>
          <w:kern w:val="2"/>
          <w:sz w:val="24"/>
          <w:szCs w:val="24"/>
          <w:highlight w:val="none"/>
        </w:rPr>
        <w:t>低氮</w:t>
      </w:r>
      <w:r>
        <w:rPr>
          <w:color w:val="FF0000"/>
          <w:kern w:val="2"/>
          <w:sz w:val="24"/>
          <w:szCs w:val="24"/>
          <w:highlight w:val="none"/>
        </w:rPr>
        <w:t>燃烧</w:t>
      </w:r>
      <w:r>
        <w:rPr>
          <w:color w:val="FF0000"/>
          <w:kern w:val="2"/>
          <w:sz w:val="24"/>
          <w:szCs w:val="24"/>
        </w:rPr>
        <w:t>，</w:t>
      </w:r>
      <w:r>
        <w:rPr>
          <w:rFonts w:hint="eastAsia"/>
          <w:color w:val="FF0000"/>
          <w:kern w:val="2"/>
          <w:sz w:val="24"/>
          <w:szCs w:val="24"/>
          <w:lang w:val="en-US" w:eastAsia="zh-CN"/>
        </w:rPr>
        <w:t>蒸汽锅炉废气经一套低氮燃烧+SNCR+石灰喷雾干燥+余热回收+旋风除尘+布袋除尘+水幕除尘</w:t>
      </w:r>
      <w:r>
        <w:rPr>
          <w:color w:val="FF0000"/>
          <w:kern w:val="2"/>
          <w:sz w:val="24"/>
          <w:szCs w:val="24"/>
        </w:rPr>
        <w:t>处理后</w:t>
      </w:r>
      <w:r>
        <w:rPr>
          <w:rFonts w:hint="eastAsia"/>
          <w:color w:val="FF0000"/>
          <w:kern w:val="2"/>
          <w:sz w:val="24"/>
          <w:szCs w:val="24"/>
          <w:lang w:val="en-US" w:eastAsia="zh-CN"/>
        </w:rPr>
        <w:t>合并</w:t>
      </w:r>
      <w:r>
        <w:rPr>
          <w:color w:val="FF0000"/>
          <w:kern w:val="2"/>
          <w:sz w:val="24"/>
          <w:szCs w:val="24"/>
        </w:rPr>
        <w:t>通过</w:t>
      </w:r>
      <w:r>
        <w:rPr>
          <w:rFonts w:hint="eastAsia"/>
          <w:color w:val="FF0000"/>
          <w:kern w:val="2"/>
          <w:sz w:val="24"/>
          <w:szCs w:val="24"/>
          <w:lang w:val="en-US" w:eastAsia="zh-CN"/>
        </w:rPr>
        <w:t>35</w:t>
      </w:r>
      <w:r>
        <w:rPr>
          <w:color w:val="FF0000"/>
          <w:kern w:val="2"/>
          <w:sz w:val="24"/>
          <w:szCs w:val="24"/>
        </w:rPr>
        <w:t>m高</w:t>
      </w:r>
      <w:r>
        <w:rPr>
          <w:rFonts w:hint="eastAsia"/>
          <w:color w:val="FF0000"/>
          <w:kern w:val="2"/>
          <w:sz w:val="24"/>
          <w:szCs w:val="24"/>
          <w:lang w:val="en-US" w:eastAsia="zh-CN"/>
        </w:rPr>
        <w:t>DA002</w:t>
      </w:r>
      <w:r>
        <w:rPr>
          <w:color w:val="FF0000"/>
          <w:kern w:val="2"/>
          <w:sz w:val="24"/>
          <w:szCs w:val="24"/>
        </w:rPr>
        <w:t>排气筒高空排放</w:t>
      </w:r>
      <w:r>
        <w:rPr>
          <w:rFonts w:hint="eastAsia"/>
          <w:color w:val="FF0000"/>
          <w:kern w:val="2"/>
          <w:sz w:val="24"/>
          <w:szCs w:val="24"/>
        </w:rPr>
        <w:t>。</w:t>
      </w:r>
    </w:p>
    <w:p w14:paraId="624B331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lang w:eastAsia="zh-CN"/>
        </w:rPr>
      </w:pPr>
      <w:r>
        <w:rPr>
          <w:rFonts w:hint="eastAsia"/>
          <w:color w:val="FF0000"/>
          <w:kern w:val="2"/>
          <w:sz w:val="24"/>
          <w:szCs w:val="24"/>
          <w:lang w:val="en-US" w:eastAsia="zh-CN"/>
        </w:rPr>
        <w:t>参考《生物质燃料锅炉低氮燃烧技术研究进展》（郭勇等）：“低氮燃烧技术研究，甄天雷</w:t>
      </w:r>
      <w:r>
        <w:rPr>
          <w:rFonts w:hint="default"/>
          <w:color w:val="FF0000"/>
          <w:kern w:val="2"/>
          <w:sz w:val="24"/>
          <w:szCs w:val="24"/>
          <w:lang w:val="en-US" w:eastAsia="zh-CN"/>
        </w:rPr>
        <w:t>等开展生物质再燃脱硝特性实验。研究表明，杨木屑、花生壳、玉米秆及稻壳均为较好的再燃燃料，脱硝率可达60%~70%</w:t>
      </w:r>
      <w:r>
        <w:rPr>
          <w:rFonts w:hint="eastAsia"/>
          <w:color w:val="FF0000"/>
          <w:kern w:val="2"/>
          <w:sz w:val="24"/>
          <w:szCs w:val="24"/>
          <w:lang w:val="en-US" w:eastAsia="zh-CN"/>
        </w:rPr>
        <w:t>”，本项目保守考虑低氮燃烧对氮氧化物的去除效率为60%，参考《</w:t>
      </w:r>
      <w:r>
        <w:rPr>
          <w:rFonts w:hint="default"/>
          <w:color w:val="FF0000"/>
          <w:kern w:val="2"/>
          <w:sz w:val="24"/>
          <w:szCs w:val="24"/>
          <w:lang w:val="en-US" w:eastAsia="zh-CN"/>
        </w:rPr>
        <w:t>生物质锅炉脱硝技术发展现状分析</w:t>
      </w:r>
      <w:r>
        <w:rPr>
          <w:rFonts w:hint="eastAsia"/>
          <w:color w:val="FF0000"/>
          <w:kern w:val="2"/>
          <w:sz w:val="24"/>
          <w:szCs w:val="24"/>
          <w:lang w:val="en-US" w:eastAsia="zh-CN"/>
        </w:rPr>
        <w:t>》（</w:t>
      </w:r>
      <w:r>
        <w:rPr>
          <w:rFonts w:hint="default"/>
          <w:color w:val="FF0000"/>
          <w:kern w:val="2"/>
          <w:sz w:val="24"/>
          <w:szCs w:val="24"/>
          <w:lang w:val="en-US" w:eastAsia="zh-CN"/>
        </w:rPr>
        <w:t>王献民</w:t>
      </w:r>
      <w:r>
        <w:rPr>
          <w:rFonts w:hint="eastAsia"/>
          <w:color w:val="FF0000"/>
          <w:kern w:val="2"/>
          <w:sz w:val="24"/>
          <w:szCs w:val="24"/>
          <w:lang w:val="en-US" w:eastAsia="zh-CN"/>
        </w:rPr>
        <w:t>编）：“非催化还原技术（SNCR）该技术具有投资省、运行费用</w:t>
      </w:r>
      <w:r>
        <w:rPr>
          <w:rFonts w:hint="default"/>
          <w:color w:val="FF0000"/>
          <w:kern w:val="2"/>
          <w:sz w:val="24"/>
          <w:szCs w:val="24"/>
          <w:lang w:val="en-US" w:eastAsia="zh-CN"/>
        </w:rPr>
        <w:t>低以及操作简便等优势，但是脱硝效率较低</w:t>
      </w:r>
      <w:r>
        <w:rPr>
          <w:rFonts w:hint="eastAsia"/>
          <w:color w:val="FF0000"/>
          <w:kern w:val="2"/>
          <w:sz w:val="24"/>
          <w:szCs w:val="24"/>
          <w:lang w:val="en-US" w:eastAsia="zh-CN"/>
        </w:rPr>
        <w:t>，</w:t>
      </w:r>
      <w:r>
        <w:rPr>
          <w:rFonts w:hint="default"/>
          <w:color w:val="FF0000"/>
          <w:kern w:val="2"/>
          <w:sz w:val="24"/>
          <w:szCs w:val="24"/>
          <w:lang w:val="en-US" w:eastAsia="zh-CN"/>
        </w:rPr>
        <w:t>一般在50%</w:t>
      </w:r>
      <w:r>
        <w:rPr>
          <w:rFonts w:hint="eastAsia"/>
          <w:color w:val="FF0000"/>
          <w:kern w:val="2"/>
          <w:sz w:val="24"/>
          <w:szCs w:val="24"/>
          <w:lang w:val="en-US" w:eastAsia="zh-CN"/>
        </w:rPr>
        <w:t>”</w:t>
      </w:r>
      <w:r>
        <w:rPr>
          <w:rFonts w:hint="eastAsia"/>
          <w:color w:val="FF0000"/>
          <w:sz w:val="24"/>
          <w:szCs w:val="21"/>
        </w:rPr>
        <w:t>SNCR</w:t>
      </w:r>
      <w:r>
        <w:rPr>
          <w:rFonts w:hint="eastAsia"/>
          <w:color w:val="FF0000"/>
          <w:sz w:val="24"/>
          <w:szCs w:val="21"/>
          <w:lang w:val="en-US" w:eastAsia="zh-CN"/>
        </w:rPr>
        <w:t>对层燃炉</w:t>
      </w:r>
      <w:r>
        <w:rPr>
          <w:rFonts w:hint="eastAsia"/>
          <w:color w:val="FF0000"/>
          <w:sz w:val="24"/>
          <w:szCs w:val="21"/>
        </w:rPr>
        <w:t>脱硝对氮氧化物的去除效率为</w:t>
      </w:r>
      <w:r>
        <w:rPr>
          <w:rFonts w:hint="eastAsia"/>
          <w:color w:val="FF0000"/>
          <w:sz w:val="24"/>
          <w:szCs w:val="21"/>
          <w:lang w:val="en-US" w:eastAsia="zh-CN"/>
        </w:rPr>
        <w:t>50</w:t>
      </w:r>
      <w:r>
        <w:rPr>
          <w:rFonts w:hint="eastAsia"/>
          <w:color w:val="FF0000"/>
          <w:sz w:val="24"/>
          <w:szCs w:val="21"/>
        </w:rPr>
        <w:t>%</w:t>
      </w:r>
      <w:r>
        <w:rPr>
          <w:rFonts w:hint="eastAsia"/>
          <w:color w:val="FF0000"/>
          <w:sz w:val="24"/>
          <w:szCs w:val="21"/>
          <w:lang w:eastAsia="zh-CN"/>
        </w:rPr>
        <w:t>，</w:t>
      </w:r>
      <w:r>
        <w:rPr>
          <w:rFonts w:hint="eastAsia"/>
          <w:color w:val="FF0000"/>
          <w:sz w:val="24"/>
          <w:szCs w:val="21"/>
        </w:rPr>
        <w:t>则低氮燃烧+SNCR脱硝对NOx的去除效率以</w:t>
      </w:r>
      <w:r>
        <w:rPr>
          <w:rFonts w:hint="eastAsia"/>
          <w:color w:val="FF0000"/>
          <w:sz w:val="24"/>
          <w:szCs w:val="21"/>
          <w:lang w:val="en-US" w:eastAsia="zh-CN"/>
        </w:rPr>
        <w:t>80</w:t>
      </w:r>
      <w:r>
        <w:rPr>
          <w:rFonts w:hint="eastAsia"/>
          <w:color w:val="FF0000"/>
          <w:sz w:val="24"/>
          <w:szCs w:val="21"/>
        </w:rPr>
        <w:t>%计</w:t>
      </w:r>
      <w:r>
        <w:rPr>
          <w:rFonts w:hint="eastAsia"/>
          <w:color w:val="FF0000"/>
          <w:kern w:val="2"/>
          <w:sz w:val="24"/>
          <w:szCs w:val="24"/>
          <w:lang w:eastAsia="zh-CN"/>
        </w:rPr>
        <w:t>；</w:t>
      </w:r>
    </w:p>
    <w:p w14:paraId="18F20C8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lang w:eastAsia="zh-CN"/>
        </w:rPr>
      </w:pPr>
      <w:r>
        <w:rPr>
          <w:rFonts w:hint="eastAsia" w:ascii="Times New Roman" w:hAnsi="Times New Roman" w:eastAsia="宋体" w:cs="Times New Roman"/>
          <w:color w:val="FF0000"/>
          <w:sz w:val="24"/>
          <w:szCs w:val="21"/>
          <w:lang w:val="en-US" w:eastAsia="zh-CN"/>
        </w:rPr>
        <w:t>根据</w:t>
      </w:r>
      <w:r>
        <w:rPr>
          <w:rFonts w:hint="eastAsia" w:ascii="Times New Roman" w:hAnsi="Times New Roman" w:eastAsia="宋体" w:cs="Times New Roman"/>
          <w:color w:val="FF0000"/>
          <w:sz w:val="24"/>
          <w:szCs w:val="21"/>
        </w:rPr>
        <w:t>《排放源统计调查产排污核算方法和系数手册》“4430工业锅炉（热力生产和供应行业）产污系数表-生物质工业锅炉”</w:t>
      </w:r>
      <w:r>
        <w:rPr>
          <w:rFonts w:hint="eastAsia" w:ascii="Times New Roman" w:hAnsi="Times New Roman" w:eastAsia="宋体" w:cs="Times New Roman"/>
          <w:color w:val="FF0000"/>
          <w:sz w:val="24"/>
          <w:szCs w:val="21"/>
          <w:lang w:eastAsia="zh-CN"/>
        </w:rPr>
        <w:t>，</w:t>
      </w:r>
      <w:r>
        <w:rPr>
          <w:rFonts w:hint="eastAsia"/>
          <w:color w:val="FF0000"/>
          <w:kern w:val="2"/>
          <w:sz w:val="24"/>
          <w:szCs w:val="24"/>
        </w:rPr>
        <w:t>多管旋风除尘法对颗粒物去除效率取</w:t>
      </w:r>
      <w:r>
        <w:rPr>
          <w:rFonts w:hint="eastAsia"/>
          <w:color w:val="FF0000"/>
          <w:kern w:val="2"/>
          <w:sz w:val="24"/>
          <w:szCs w:val="24"/>
          <w:lang w:val="en-US" w:eastAsia="zh-CN"/>
        </w:rPr>
        <w:t>70</w:t>
      </w:r>
      <w:r>
        <w:rPr>
          <w:rFonts w:hint="eastAsia"/>
          <w:color w:val="FF0000"/>
          <w:kern w:val="2"/>
          <w:sz w:val="24"/>
          <w:szCs w:val="24"/>
        </w:rPr>
        <w:t>%，</w:t>
      </w:r>
      <w:r>
        <w:rPr>
          <w:rFonts w:hint="eastAsia"/>
          <w:color w:val="FF0000"/>
          <w:kern w:val="2"/>
          <w:sz w:val="24"/>
          <w:szCs w:val="24"/>
          <w:lang w:val="en-US" w:eastAsia="zh-CN"/>
        </w:rPr>
        <w:t>水幕除尘</w:t>
      </w:r>
      <w:r>
        <w:rPr>
          <w:rFonts w:hint="eastAsia"/>
          <w:color w:val="FF0000"/>
          <w:kern w:val="2"/>
          <w:sz w:val="24"/>
          <w:szCs w:val="24"/>
        </w:rPr>
        <w:t>对颗粒物去除效率取</w:t>
      </w:r>
      <w:r>
        <w:rPr>
          <w:rFonts w:hint="eastAsia"/>
          <w:color w:val="FF0000"/>
          <w:kern w:val="2"/>
          <w:sz w:val="24"/>
          <w:szCs w:val="24"/>
          <w:lang w:val="en-US" w:eastAsia="zh-CN"/>
        </w:rPr>
        <w:t>87</w:t>
      </w:r>
      <w:r>
        <w:rPr>
          <w:rFonts w:hint="eastAsia"/>
          <w:color w:val="FF0000"/>
          <w:kern w:val="2"/>
          <w:sz w:val="24"/>
          <w:szCs w:val="24"/>
        </w:rPr>
        <w:t>%，袋式除尘器去除效率取9</w:t>
      </w:r>
      <w:r>
        <w:rPr>
          <w:rFonts w:hint="eastAsia"/>
          <w:color w:val="FF0000"/>
          <w:kern w:val="2"/>
          <w:sz w:val="24"/>
          <w:szCs w:val="24"/>
          <w:lang w:val="en-US" w:eastAsia="zh-CN"/>
        </w:rPr>
        <w:t>9.7</w:t>
      </w:r>
      <w:r>
        <w:rPr>
          <w:rFonts w:hint="eastAsia"/>
          <w:color w:val="FF0000"/>
          <w:kern w:val="2"/>
          <w:sz w:val="24"/>
          <w:szCs w:val="24"/>
        </w:rPr>
        <w:t>%，本项目旋风除尘+袋式除尘</w:t>
      </w:r>
      <w:r>
        <w:rPr>
          <w:rFonts w:hint="eastAsia"/>
          <w:color w:val="FF0000"/>
          <w:kern w:val="2"/>
          <w:sz w:val="24"/>
          <w:szCs w:val="24"/>
          <w:lang w:val="en-US" w:eastAsia="zh-CN"/>
        </w:rPr>
        <w:t>+水幕除尘</w:t>
      </w:r>
      <w:r>
        <w:rPr>
          <w:rFonts w:hint="eastAsia"/>
          <w:color w:val="FF0000"/>
          <w:kern w:val="2"/>
          <w:sz w:val="24"/>
          <w:szCs w:val="24"/>
        </w:rPr>
        <w:t>器去除效率合计为99.</w:t>
      </w:r>
      <w:r>
        <w:rPr>
          <w:rFonts w:hint="eastAsia"/>
          <w:color w:val="FF0000"/>
          <w:kern w:val="2"/>
          <w:sz w:val="24"/>
          <w:szCs w:val="24"/>
          <w:lang w:val="en-US" w:eastAsia="zh-CN"/>
        </w:rPr>
        <w:t>98</w:t>
      </w:r>
      <w:r>
        <w:rPr>
          <w:rFonts w:hint="eastAsia"/>
          <w:color w:val="FF0000"/>
          <w:kern w:val="2"/>
          <w:sz w:val="24"/>
          <w:szCs w:val="24"/>
        </w:rPr>
        <w:t>%</w:t>
      </w:r>
      <w:r>
        <w:rPr>
          <w:rFonts w:hint="eastAsia"/>
          <w:color w:val="FF0000"/>
          <w:kern w:val="2"/>
          <w:sz w:val="24"/>
          <w:szCs w:val="24"/>
          <w:lang w:eastAsia="zh-CN"/>
        </w:rPr>
        <w:t>；</w:t>
      </w:r>
    </w:p>
    <w:p w14:paraId="231BE25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rPr>
      </w:pPr>
      <w:r>
        <w:rPr>
          <w:rFonts w:hint="eastAsia"/>
          <w:color w:val="FF0000"/>
          <w:kern w:val="2"/>
          <w:sz w:val="24"/>
          <w:szCs w:val="24"/>
          <w:lang w:val="en-US" w:eastAsia="zh-CN"/>
        </w:rPr>
        <w:t>石灰喷雾干燥法（半干法）对</w:t>
      </w:r>
      <w:r>
        <w:rPr>
          <w:rFonts w:hint="eastAsia"/>
          <w:color w:val="FF0000"/>
          <w:kern w:val="2"/>
          <w:sz w:val="24"/>
          <w:szCs w:val="24"/>
        </w:rPr>
        <w:t>SO</w:t>
      </w:r>
      <w:r>
        <w:rPr>
          <w:rFonts w:hint="eastAsia"/>
          <w:color w:val="FF0000"/>
          <w:kern w:val="2"/>
          <w:sz w:val="24"/>
          <w:szCs w:val="24"/>
          <w:vertAlign w:val="subscript"/>
        </w:rPr>
        <w:t>2</w:t>
      </w:r>
      <w:r>
        <w:rPr>
          <w:rFonts w:hint="eastAsia"/>
          <w:color w:val="FF0000"/>
          <w:kern w:val="2"/>
          <w:sz w:val="24"/>
          <w:szCs w:val="24"/>
          <w:lang w:val="en-US" w:eastAsia="zh-CN"/>
        </w:rPr>
        <w:t>去除率参考层燃炉-所有规模中喷雾干燥法技术治理效率为70%，</w:t>
      </w:r>
      <w:r>
        <w:rPr>
          <w:rFonts w:hint="eastAsia"/>
          <w:color w:val="FF0000"/>
          <w:kern w:val="2"/>
          <w:sz w:val="24"/>
          <w:szCs w:val="24"/>
        </w:rPr>
        <w:t>则生物质</w:t>
      </w:r>
      <w:r>
        <w:rPr>
          <w:rFonts w:hint="eastAsia"/>
          <w:color w:val="FF0000"/>
          <w:kern w:val="2"/>
          <w:sz w:val="24"/>
          <w:szCs w:val="24"/>
          <w:lang w:val="en-US" w:eastAsia="zh-CN"/>
        </w:rPr>
        <w:t>蒸汽</w:t>
      </w:r>
      <w:r>
        <w:rPr>
          <w:rFonts w:hint="eastAsia"/>
          <w:color w:val="FF0000"/>
          <w:kern w:val="2"/>
          <w:sz w:val="24"/>
          <w:szCs w:val="24"/>
        </w:rPr>
        <w:t>锅炉有组织颗粒物排放量为</w:t>
      </w:r>
      <w:r>
        <w:rPr>
          <w:rFonts w:hint="eastAsia"/>
          <w:color w:val="FF0000"/>
          <w:kern w:val="2"/>
          <w:sz w:val="24"/>
          <w:szCs w:val="24"/>
          <w:lang w:val="en-US" w:eastAsia="zh-CN"/>
        </w:rPr>
        <w:t>0.0007</w:t>
      </w:r>
      <w:r>
        <w:rPr>
          <w:rFonts w:hint="eastAsia"/>
          <w:color w:val="FF0000"/>
          <w:kern w:val="2"/>
          <w:sz w:val="24"/>
          <w:szCs w:val="24"/>
        </w:rPr>
        <w:t>t/a，有组织SO</w:t>
      </w:r>
      <w:r>
        <w:rPr>
          <w:rFonts w:hint="eastAsia"/>
          <w:color w:val="FF0000"/>
          <w:kern w:val="2"/>
          <w:sz w:val="24"/>
          <w:szCs w:val="24"/>
          <w:vertAlign w:val="subscript"/>
        </w:rPr>
        <w:t>2</w:t>
      </w:r>
      <w:r>
        <w:rPr>
          <w:rFonts w:hint="eastAsia"/>
          <w:color w:val="FF0000"/>
          <w:kern w:val="2"/>
          <w:sz w:val="24"/>
          <w:szCs w:val="24"/>
        </w:rPr>
        <w:t>排放量为</w:t>
      </w:r>
      <w:r>
        <w:rPr>
          <w:rFonts w:hint="eastAsia"/>
          <w:color w:val="FF0000"/>
          <w:kern w:val="2"/>
          <w:sz w:val="24"/>
          <w:szCs w:val="24"/>
          <w:lang w:val="en-US" w:eastAsia="zh-CN"/>
        </w:rPr>
        <w:t>0.714</w:t>
      </w:r>
      <w:r>
        <w:rPr>
          <w:rFonts w:hint="eastAsia"/>
          <w:color w:val="FF0000"/>
          <w:kern w:val="2"/>
          <w:sz w:val="24"/>
          <w:szCs w:val="24"/>
        </w:rPr>
        <w:t>t/a，有组织NO</w:t>
      </w:r>
      <w:r>
        <w:rPr>
          <w:rFonts w:hint="eastAsia"/>
          <w:color w:val="FF0000"/>
          <w:kern w:val="2"/>
          <w:sz w:val="24"/>
          <w:szCs w:val="24"/>
          <w:vertAlign w:val="subscript"/>
        </w:rPr>
        <w:t>x</w:t>
      </w:r>
      <w:r>
        <w:rPr>
          <w:rFonts w:hint="eastAsia"/>
          <w:color w:val="FF0000"/>
          <w:kern w:val="2"/>
          <w:sz w:val="24"/>
          <w:szCs w:val="24"/>
        </w:rPr>
        <w:t>排放量为</w:t>
      </w:r>
      <w:r>
        <w:rPr>
          <w:rFonts w:hint="eastAsia"/>
          <w:color w:val="FF0000"/>
          <w:kern w:val="2"/>
          <w:sz w:val="24"/>
          <w:szCs w:val="24"/>
          <w:lang w:val="en-US" w:eastAsia="zh-CN"/>
        </w:rPr>
        <w:t>0.994</w:t>
      </w:r>
      <w:r>
        <w:rPr>
          <w:rFonts w:hint="eastAsia"/>
          <w:color w:val="FF0000"/>
          <w:kern w:val="2"/>
          <w:sz w:val="24"/>
          <w:szCs w:val="24"/>
        </w:rPr>
        <w:t>t/a。</w:t>
      </w:r>
    </w:p>
    <w:p w14:paraId="251FFB0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rPr>
      </w:pPr>
      <w:r>
        <w:rPr>
          <w:rFonts w:hint="eastAsia"/>
          <w:color w:val="FF0000"/>
          <w:kern w:val="2"/>
          <w:sz w:val="24"/>
          <w:szCs w:val="24"/>
        </w:rPr>
        <w:t>风量核算：生物质锅炉年工作时间为7200h，经计算风量为</w:t>
      </w:r>
      <w:r>
        <w:rPr>
          <w:rFonts w:hint="eastAsia"/>
          <w:color w:val="FF0000"/>
          <w:kern w:val="2"/>
          <w:sz w:val="24"/>
          <w:szCs w:val="24"/>
          <w:lang w:val="en-US" w:eastAsia="zh-CN"/>
        </w:rPr>
        <w:t>6240</w:t>
      </w:r>
      <w:r>
        <w:rPr>
          <w:rFonts w:hint="eastAsia"/>
          <w:color w:val="FF0000"/>
          <w:kern w:val="2"/>
          <w:sz w:val="24"/>
          <w:szCs w:val="24"/>
        </w:rPr>
        <w:t>m</w:t>
      </w:r>
      <w:r>
        <w:rPr>
          <w:rFonts w:hint="eastAsia"/>
          <w:color w:val="FF0000"/>
          <w:kern w:val="2"/>
          <w:sz w:val="24"/>
          <w:szCs w:val="24"/>
          <w:vertAlign w:val="superscript"/>
        </w:rPr>
        <w:t>3</w:t>
      </w:r>
      <w:r>
        <w:rPr>
          <w:rFonts w:hint="eastAsia"/>
          <w:color w:val="FF0000"/>
          <w:kern w:val="2"/>
          <w:sz w:val="24"/>
          <w:szCs w:val="24"/>
          <w:vertAlign w:val="baseline"/>
          <w:lang w:val="en-US" w:eastAsia="zh-CN"/>
        </w:rPr>
        <w:t>/h</w:t>
      </w:r>
      <w:r>
        <w:rPr>
          <w:rFonts w:hint="eastAsia"/>
          <w:color w:val="FF0000"/>
          <w:kern w:val="2"/>
          <w:sz w:val="24"/>
          <w:szCs w:val="24"/>
        </w:rPr>
        <w:t>，考虑风压损失、管道距离等因素，风机风量取</w:t>
      </w:r>
      <w:r>
        <w:rPr>
          <w:rFonts w:hint="eastAsia"/>
          <w:color w:val="FF0000"/>
          <w:kern w:val="2"/>
          <w:sz w:val="24"/>
          <w:szCs w:val="24"/>
          <w:lang w:val="en-US" w:eastAsia="zh-CN"/>
        </w:rPr>
        <w:t>70</w:t>
      </w:r>
      <w:r>
        <w:rPr>
          <w:rFonts w:hint="eastAsia"/>
          <w:color w:val="FF0000"/>
          <w:kern w:val="2"/>
          <w:sz w:val="24"/>
          <w:szCs w:val="24"/>
        </w:rPr>
        <w:t>00m</w:t>
      </w:r>
      <w:r>
        <w:rPr>
          <w:rFonts w:hint="eastAsia"/>
          <w:color w:val="FF0000"/>
          <w:kern w:val="2"/>
          <w:sz w:val="24"/>
          <w:szCs w:val="24"/>
          <w:vertAlign w:val="superscript"/>
        </w:rPr>
        <w:t>3</w:t>
      </w:r>
      <w:r>
        <w:rPr>
          <w:rFonts w:hint="eastAsia"/>
          <w:color w:val="FF0000"/>
          <w:kern w:val="2"/>
          <w:sz w:val="24"/>
          <w:szCs w:val="24"/>
          <w:vertAlign w:val="baseline"/>
          <w:lang w:val="en-US" w:eastAsia="zh-CN"/>
        </w:rPr>
        <w:t>/h</w:t>
      </w:r>
      <w:r>
        <w:rPr>
          <w:rFonts w:hint="eastAsia"/>
          <w:color w:val="FF0000"/>
          <w:kern w:val="2"/>
          <w:sz w:val="24"/>
          <w:szCs w:val="24"/>
        </w:rPr>
        <w:t>。</w:t>
      </w:r>
    </w:p>
    <w:p w14:paraId="396655E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color w:val="FF0000"/>
          <w:kern w:val="0"/>
          <w:sz w:val="24"/>
          <w:szCs w:val="24"/>
          <w:highlight w:val="none"/>
          <w:lang w:val="en-US" w:eastAsia="zh-CN"/>
        </w:rPr>
      </w:pPr>
      <w:r>
        <w:rPr>
          <w:rFonts w:hint="eastAsia"/>
          <w:color w:val="FF0000"/>
          <w:kern w:val="0"/>
          <w:sz w:val="24"/>
          <w:szCs w:val="24"/>
          <w:highlight w:val="none"/>
          <w:lang w:val="en-US" w:eastAsia="zh-CN"/>
        </w:rPr>
        <w:t>④生物质导热油炉废气G9</w:t>
      </w:r>
    </w:p>
    <w:p w14:paraId="358C704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0"/>
          <w:sz w:val="24"/>
          <w:szCs w:val="24"/>
          <w:lang w:val="en-US" w:eastAsia="zh-CN"/>
        </w:rPr>
      </w:pPr>
      <w:r>
        <w:rPr>
          <w:rFonts w:hint="eastAsia"/>
          <w:color w:val="FF0000"/>
          <w:kern w:val="0"/>
          <w:sz w:val="24"/>
          <w:szCs w:val="24"/>
          <w:lang w:val="en-US" w:eastAsia="zh-CN"/>
        </w:rPr>
        <w:t>根据建设方提供数据，本项目一台360</w:t>
      </w:r>
      <w:r>
        <w:rPr>
          <w:rFonts w:hint="eastAsia" w:ascii="Times New Roman" w:hAnsi="Times New Roman" w:eastAsia="宋体" w:cs="Times New Roman"/>
          <w:bCs/>
          <w:color w:val="FF0000"/>
          <w:sz w:val="24"/>
          <w:szCs w:val="24"/>
          <w:lang w:val="en-US" w:eastAsia="zh-CN"/>
        </w:rPr>
        <w:t>万大卡/h导热油炉</w:t>
      </w:r>
      <w:r>
        <w:rPr>
          <w:rFonts w:hint="eastAsia" w:cs="Times New Roman"/>
          <w:bCs/>
          <w:color w:val="FF0000"/>
          <w:sz w:val="24"/>
          <w:szCs w:val="24"/>
          <w:lang w:val="en-US" w:eastAsia="zh-CN"/>
        </w:rPr>
        <w:t>（6t/h），</w:t>
      </w:r>
      <w:r>
        <w:rPr>
          <w:rFonts w:hint="eastAsia"/>
          <w:color w:val="FF0000"/>
          <w:kern w:val="0"/>
          <w:sz w:val="24"/>
          <w:szCs w:val="24"/>
          <w:lang w:val="en-US" w:eastAsia="zh-CN"/>
        </w:rPr>
        <w:t>采用生物质颗粒作为燃料，主要燃烧</w:t>
      </w:r>
      <w:r>
        <w:rPr>
          <w:rFonts w:hint="eastAsia"/>
          <w:color w:val="FF0000"/>
          <w:sz w:val="24"/>
          <w:szCs w:val="24"/>
          <w:lang w:val="en-US" w:eastAsia="zh-CN"/>
        </w:rPr>
        <w:t>加热</w:t>
      </w:r>
      <w:r>
        <w:rPr>
          <w:rFonts w:hint="eastAsia"/>
          <w:color w:val="FF0000"/>
          <w:kern w:val="0"/>
          <w:sz w:val="24"/>
          <w:szCs w:val="24"/>
          <w:lang w:val="en-US" w:eastAsia="zh-CN"/>
        </w:rPr>
        <w:t>介质为导热油，</w:t>
      </w:r>
      <w:r>
        <w:rPr>
          <w:rFonts w:hint="eastAsia" w:ascii="Times New Roman" w:hAnsi="Times New Roman" w:eastAsia="宋体" w:cs="Times New Roman"/>
          <w:color w:val="FF0000"/>
          <w:kern w:val="0"/>
          <w:sz w:val="24"/>
          <w:szCs w:val="24"/>
          <w:lang w:val="en-US" w:eastAsia="zh-CN"/>
        </w:rPr>
        <w:t>在满负荷运行时，每小时的燃料消耗量通常在1000~1200kg，经计算本项目</w:t>
      </w:r>
      <w:r>
        <w:rPr>
          <w:rFonts w:hint="eastAsia"/>
          <w:color w:val="FF0000"/>
          <w:kern w:val="0"/>
          <w:sz w:val="24"/>
          <w:szCs w:val="24"/>
          <w:highlight w:val="none"/>
          <w:lang w:val="en-US" w:eastAsia="zh-CN"/>
        </w:rPr>
        <w:t>生物质导热油炉</w:t>
      </w:r>
      <w:r>
        <w:rPr>
          <w:rFonts w:hint="eastAsia"/>
          <w:color w:val="FF0000"/>
          <w:kern w:val="0"/>
          <w:sz w:val="24"/>
          <w:szCs w:val="24"/>
          <w:lang w:val="en-US" w:eastAsia="zh-CN"/>
        </w:rPr>
        <w:t>生物质燃料年用量为7000t，锅炉工作时间约为7200h/a。</w:t>
      </w:r>
    </w:p>
    <w:p w14:paraId="1DB679C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FF0000"/>
          <w:kern w:val="2"/>
          <w:sz w:val="24"/>
          <w:szCs w:val="24"/>
        </w:rPr>
      </w:pPr>
      <w:r>
        <w:rPr>
          <w:rFonts w:hint="eastAsia"/>
          <w:color w:val="FF0000"/>
          <w:kern w:val="2"/>
          <w:sz w:val="24"/>
          <w:szCs w:val="24"/>
        </w:rPr>
        <w:t>本项目生物质燃烧工业废气量、颗粒物、SO</w:t>
      </w:r>
      <w:r>
        <w:rPr>
          <w:color w:val="FF0000"/>
          <w:kern w:val="2"/>
          <w:sz w:val="24"/>
          <w:szCs w:val="24"/>
          <w:vertAlign w:val="subscript"/>
        </w:rPr>
        <w:t>2</w:t>
      </w:r>
      <w:r>
        <w:rPr>
          <w:rFonts w:hint="eastAsia"/>
          <w:color w:val="FF0000"/>
          <w:kern w:val="2"/>
          <w:sz w:val="24"/>
          <w:szCs w:val="24"/>
        </w:rPr>
        <w:t>、NOx产生量根据</w:t>
      </w:r>
      <w:r>
        <w:rPr>
          <w:color w:val="FF0000"/>
          <w:kern w:val="2"/>
          <w:sz w:val="24"/>
          <w:szCs w:val="24"/>
        </w:rPr>
        <w:t>《排放源统计调查产排污核算方法和系数手册》中“4430</w:t>
      </w:r>
      <w:r>
        <w:rPr>
          <w:rFonts w:hint="eastAsia"/>
          <w:color w:val="FF0000"/>
          <w:kern w:val="2"/>
          <w:sz w:val="24"/>
          <w:szCs w:val="24"/>
        </w:rPr>
        <w:t>工业锅炉（热力生产和供应行业）产污系数表-生物质工业锅炉</w:t>
      </w:r>
      <w:r>
        <w:rPr>
          <w:color w:val="FF0000"/>
          <w:kern w:val="2"/>
          <w:sz w:val="24"/>
          <w:szCs w:val="24"/>
        </w:rPr>
        <w:t>”</w:t>
      </w:r>
      <w:r>
        <w:rPr>
          <w:rFonts w:hint="eastAsia"/>
          <w:color w:val="FF0000"/>
          <w:kern w:val="2"/>
          <w:sz w:val="24"/>
          <w:szCs w:val="24"/>
        </w:rPr>
        <w:t>进行核算，具体产排污系数详见表</w:t>
      </w:r>
      <w:r>
        <w:rPr>
          <w:rFonts w:hint="eastAsia"/>
          <w:color w:val="FF0000"/>
          <w:kern w:val="2"/>
          <w:sz w:val="24"/>
          <w:szCs w:val="24"/>
          <w:lang w:val="en-US" w:eastAsia="zh-CN"/>
        </w:rPr>
        <w:t>2-3</w:t>
      </w:r>
      <w:r>
        <w:rPr>
          <w:rFonts w:hint="eastAsia"/>
          <w:color w:val="FF0000"/>
          <w:kern w:val="2"/>
          <w:sz w:val="24"/>
          <w:szCs w:val="24"/>
        </w:rPr>
        <w:t>。</w:t>
      </w:r>
    </w:p>
    <w:p w14:paraId="6670F93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b/>
          <w:bCs/>
          <w:color w:val="FF0000"/>
          <w:kern w:val="2"/>
          <w:sz w:val="24"/>
          <w:szCs w:val="24"/>
        </w:rPr>
      </w:pPr>
      <w:r>
        <w:rPr>
          <w:rFonts w:hint="eastAsia"/>
          <w:b/>
          <w:bCs/>
          <w:color w:val="FF0000"/>
          <w:kern w:val="2"/>
          <w:sz w:val="24"/>
          <w:szCs w:val="24"/>
        </w:rPr>
        <w:t>表</w:t>
      </w:r>
      <w:r>
        <w:rPr>
          <w:rFonts w:hint="eastAsia"/>
          <w:b/>
          <w:bCs/>
          <w:color w:val="FF0000"/>
          <w:kern w:val="2"/>
          <w:sz w:val="24"/>
          <w:szCs w:val="24"/>
          <w:lang w:val="en-US" w:eastAsia="zh-CN"/>
        </w:rPr>
        <w:t>2-3</w:t>
      </w:r>
      <w:r>
        <w:rPr>
          <w:rFonts w:hint="eastAsia"/>
          <w:b/>
          <w:bCs/>
          <w:color w:val="FF0000"/>
          <w:kern w:val="2"/>
          <w:sz w:val="24"/>
          <w:szCs w:val="24"/>
        </w:rPr>
        <w:t xml:space="preserve">  生物质锅炉工业的废气产排污系数</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661"/>
        <w:gridCol w:w="4154"/>
        <w:gridCol w:w="1262"/>
      </w:tblGrid>
      <w:tr w14:paraId="6F5BE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bottom w:val="single" w:color="auto" w:sz="12" w:space="0"/>
            </w:tcBorders>
            <w:noWrap w:val="0"/>
            <w:vAlign w:val="center"/>
          </w:tcPr>
          <w:p w14:paraId="615F1C0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污染指标</w:t>
            </w:r>
          </w:p>
        </w:tc>
        <w:tc>
          <w:tcPr>
            <w:tcW w:w="1000" w:type="pct"/>
            <w:tcBorders>
              <w:bottom w:val="single" w:color="auto" w:sz="12" w:space="0"/>
            </w:tcBorders>
            <w:noWrap w:val="0"/>
            <w:vAlign w:val="center"/>
          </w:tcPr>
          <w:p w14:paraId="23DFE78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产污系数</w:t>
            </w:r>
          </w:p>
        </w:tc>
        <w:tc>
          <w:tcPr>
            <w:tcW w:w="2500" w:type="pct"/>
            <w:tcBorders>
              <w:bottom w:val="single" w:color="auto" w:sz="12" w:space="0"/>
            </w:tcBorders>
            <w:noWrap w:val="0"/>
            <w:vAlign w:val="center"/>
          </w:tcPr>
          <w:p w14:paraId="4066CC2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核算依据</w:t>
            </w:r>
          </w:p>
        </w:tc>
        <w:tc>
          <w:tcPr>
            <w:tcW w:w="760" w:type="pct"/>
            <w:tcBorders>
              <w:bottom w:val="single" w:color="auto" w:sz="12" w:space="0"/>
            </w:tcBorders>
            <w:noWrap w:val="0"/>
            <w:vAlign w:val="center"/>
          </w:tcPr>
          <w:p w14:paraId="456B52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1"/>
                <w:szCs w:val="21"/>
              </w:rPr>
            </w:pPr>
            <w:r>
              <w:rPr>
                <w:b/>
                <w:bCs/>
                <w:color w:val="FF0000"/>
                <w:kern w:val="2"/>
                <w:sz w:val="21"/>
                <w:szCs w:val="21"/>
              </w:rPr>
              <w:t>单位</w:t>
            </w:r>
          </w:p>
        </w:tc>
      </w:tr>
      <w:tr w14:paraId="68698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top w:val="single" w:color="auto" w:sz="12" w:space="0"/>
            </w:tcBorders>
            <w:noWrap w:val="0"/>
            <w:vAlign w:val="center"/>
          </w:tcPr>
          <w:p w14:paraId="33B193C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工业废气量</w:t>
            </w:r>
          </w:p>
        </w:tc>
        <w:tc>
          <w:tcPr>
            <w:tcW w:w="1000" w:type="pct"/>
            <w:tcBorders>
              <w:top w:val="single" w:color="auto" w:sz="12" w:space="0"/>
            </w:tcBorders>
            <w:noWrap w:val="0"/>
            <w:vAlign w:val="center"/>
          </w:tcPr>
          <w:p w14:paraId="5854F38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rFonts w:hint="eastAsia"/>
                <w:color w:val="FF0000"/>
                <w:kern w:val="2"/>
                <w:sz w:val="21"/>
                <w:szCs w:val="21"/>
              </w:rPr>
              <w:t>6240</w:t>
            </w:r>
          </w:p>
        </w:tc>
        <w:tc>
          <w:tcPr>
            <w:tcW w:w="2500" w:type="pct"/>
            <w:vMerge w:val="restart"/>
            <w:tcBorders>
              <w:top w:val="single" w:color="auto" w:sz="12" w:space="0"/>
            </w:tcBorders>
            <w:noWrap w:val="0"/>
            <w:vAlign w:val="center"/>
          </w:tcPr>
          <w:p w14:paraId="4026A5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1"/>
                <w:szCs w:val="21"/>
                <w:lang w:eastAsia="zh-CN"/>
              </w:rPr>
            </w:pPr>
            <w:r>
              <w:rPr>
                <w:color w:val="FF0000"/>
                <w:kern w:val="2"/>
                <w:sz w:val="21"/>
                <w:szCs w:val="21"/>
              </w:rPr>
              <w:t>《排放源统计调查产排污核算方法和系数手册》“4430工业锅炉（热力生</w:t>
            </w:r>
            <w:r>
              <w:rPr>
                <w:rFonts w:eastAsia="宋体"/>
                <w:color w:val="FF0000"/>
                <w:kern w:val="2"/>
                <w:sz w:val="21"/>
                <w:szCs w:val="21"/>
              </w:rPr>
              <w:t>产和供应行业）产污系数表-</w:t>
            </w:r>
            <w:r>
              <w:rPr>
                <w:rFonts w:hint="eastAsia" w:eastAsia="宋体"/>
                <w:color w:val="FF0000"/>
                <w:kern w:val="2"/>
                <w:sz w:val="21"/>
                <w:szCs w:val="21"/>
              </w:rPr>
              <w:t>生物质工业</w:t>
            </w:r>
            <w:r>
              <w:rPr>
                <w:rFonts w:eastAsia="宋体"/>
                <w:color w:val="FF0000"/>
                <w:kern w:val="2"/>
                <w:sz w:val="21"/>
                <w:szCs w:val="21"/>
              </w:rPr>
              <w:t>锅炉”</w:t>
            </w:r>
            <w:r>
              <w:rPr>
                <w:rFonts w:hint="eastAsia" w:eastAsia="宋体"/>
                <w:color w:val="FF0000"/>
                <w:kern w:val="2"/>
                <w:sz w:val="21"/>
                <w:szCs w:val="21"/>
                <w:lang w:eastAsia="zh-CN"/>
              </w:rPr>
              <w:t>、《排污许可证申请与核发技术规范锅炉》（</w:t>
            </w:r>
            <w:r>
              <w:rPr>
                <w:rFonts w:hint="eastAsia" w:eastAsia="宋体"/>
                <w:color w:val="FF0000"/>
                <w:kern w:val="2"/>
                <w:sz w:val="21"/>
                <w:szCs w:val="21"/>
                <w:lang w:val="en-US" w:eastAsia="zh-CN"/>
              </w:rPr>
              <w:t>HJ953-2018）</w:t>
            </w:r>
          </w:p>
        </w:tc>
        <w:tc>
          <w:tcPr>
            <w:tcW w:w="760" w:type="pct"/>
            <w:tcBorders>
              <w:top w:val="single" w:color="auto" w:sz="12" w:space="0"/>
            </w:tcBorders>
            <w:noWrap w:val="0"/>
            <w:vAlign w:val="center"/>
          </w:tcPr>
          <w:p w14:paraId="161D225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Nm</w:t>
            </w:r>
            <w:r>
              <w:rPr>
                <w:color w:val="FF0000"/>
                <w:kern w:val="2"/>
                <w:sz w:val="21"/>
                <w:szCs w:val="21"/>
                <w:vertAlign w:val="superscript"/>
              </w:rPr>
              <w:t>3</w:t>
            </w:r>
            <w:r>
              <w:rPr>
                <w:color w:val="FF0000"/>
                <w:kern w:val="2"/>
                <w:sz w:val="21"/>
                <w:szCs w:val="21"/>
              </w:rPr>
              <w:t>/t-原料</w:t>
            </w:r>
          </w:p>
        </w:tc>
      </w:tr>
      <w:tr w14:paraId="043A8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14:paraId="6E8B997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颗粒物</w:t>
            </w:r>
          </w:p>
        </w:tc>
        <w:tc>
          <w:tcPr>
            <w:tcW w:w="1000" w:type="pct"/>
            <w:noWrap w:val="0"/>
            <w:vAlign w:val="center"/>
          </w:tcPr>
          <w:p w14:paraId="1F2F6A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1"/>
                <w:szCs w:val="21"/>
                <w:lang w:val="en-US"/>
              </w:rPr>
            </w:pPr>
            <w:r>
              <w:rPr>
                <w:rFonts w:hint="eastAsia"/>
                <w:color w:val="FF0000"/>
                <w:kern w:val="2"/>
                <w:sz w:val="21"/>
                <w:szCs w:val="21"/>
                <w:lang w:val="en-US" w:eastAsia="zh-CN"/>
              </w:rPr>
              <w:t>0.5</w:t>
            </w:r>
          </w:p>
        </w:tc>
        <w:tc>
          <w:tcPr>
            <w:tcW w:w="2500" w:type="pct"/>
            <w:vMerge w:val="continue"/>
            <w:noWrap w:val="0"/>
            <w:vAlign w:val="center"/>
          </w:tcPr>
          <w:p w14:paraId="60DE9E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p>
        </w:tc>
        <w:tc>
          <w:tcPr>
            <w:tcW w:w="760" w:type="pct"/>
            <w:noWrap w:val="0"/>
            <w:vAlign w:val="center"/>
          </w:tcPr>
          <w:p w14:paraId="1BEAD5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kg/t-原料</w:t>
            </w:r>
          </w:p>
        </w:tc>
      </w:tr>
      <w:tr w14:paraId="30EB3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14:paraId="37709CF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SO</w:t>
            </w:r>
            <w:r>
              <w:rPr>
                <w:color w:val="FF0000"/>
                <w:kern w:val="2"/>
                <w:sz w:val="21"/>
                <w:szCs w:val="21"/>
                <w:vertAlign w:val="subscript"/>
              </w:rPr>
              <w:t>2</w:t>
            </w:r>
          </w:p>
        </w:tc>
        <w:tc>
          <w:tcPr>
            <w:tcW w:w="1000" w:type="pct"/>
            <w:noWrap w:val="0"/>
            <w:vAlign w:val="center"/>
          </w:tcPr>
          <w:p w14:paraId="4ABBBA5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rFonts w:hint="eastAsia"/>
                <w:color w:val="FF0000"/>
                <w:kern w:val="2"/>
                <w:sz w:val="21"/>
                <w:szCs w:val="21"/>
              </w:rPr>
              <w:t>17</w:t>
            </w:r>
            <w:r>
              <w:rPr>
                <w:color w:val="FF0000"/>
                <w:kern w:val="2"/>
                <w:sz w:val="21"/>
                <w:szCs w:val="21"/>
              </w:rPr>
              <w:t>S</w:t>
            </w:r>
            <w:r>
              <w:rPr>
                <w:rFonts w:hint="eastAsia"/>
                <w:color w:val="FF0000"/>
                <w:kern w:val="2"/>
                <w:sz w:val="21"/>
                <w:szCs w:val="21"/>
              </w:rPr>
              <w:t>①</w:t>
            </w:r>
          </w:p>
        </w:tc>
        <w:tc>
          <w:tcPr>
            <w:tcW w:w="2500" w:type="pct"/>
            <w:vMerge w:val="continue"/>
            <w:noWrap w:val="0"/>
            <w:vAlign w:val="center"/>
          </w:tcPr>
          <w:p w14:paraId="7930BB4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p>
        </w:tc>
        <w:tc>
          <w:tcPr>
            <w:tcW w:w="760" w:type="pct"/>
            <w:noWrap w:val="0"/>
            <w:vAlign w:val="center"/>
          </w:tcPr>
          <w:p w14:paraId="7264542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kg/t-原料</w:t>
            </w:r>
          </w:p>
        </w:tc>
      </w:tr>
      <w:tr w14:paraId="6D3A0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14:paraId="64E8812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NO</w:t>
            </w:r>
            <w:r>
              <w:rPr>
                <w:rFonts w:hint="eastAsia"/>
                <w:color w:val="FF0000"/>
                <w:kern w:val="2"/>
                <w:sz w:val="21"/>
                <w:szCs w:val="21"/>
              </w:rPr>
              <w:t>x</w:t>
            </w:r>
          </w:p>
        </w:tc>
        <w:tc>
          <w:tcPr>
            <w:tcW w:w="1000" w:type="pct"/>
            <w:noWrap w:val="0"/>
            <w:vAlign w:val="center"/>
          </w:tcPr>
          <w:p w14:paraId="071884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rFonts w:hint="eastAsia"/>
                <w:color w:val="FF0000"/>
                <w:kern w:val="2"/>
                <w:sz w:val="21"/>
                <w:szCs w:val="21"/>
              </w:rPr>
              <w:t>1.02</w:t>
            </w:r>
          </w:p>
        </w:tc>
        <w:tc>
          <w:tcPr>
            <w:tcW w:w="2500" w:type="pct"/>
            <w:vMerge w:val="continue"/>
            <w:noWrap w:val="0"/>
            <w:vAlign w:val="center"/>
          </w:tcPr>
          <w:p w14:paraId="15CBED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p>
        </w:tc>
        <w:tc>
          <w:tcPr>
            <w:tcW w:w="760" w:type="pct"/>
            <w:noWrap w:val="0"/>
            <w:vAlign w:val="center"/>
          </w:tcPr>
          <w:p w14:paraId="1590AD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kg/t-原料</w:t>
            </w:r>
          </w:p>
        </w:tc>
      </w:tr>
      <w:tr w14:paraId="7F9F5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14:paraId="73FFCE3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1"/>
                <w:szCs w:val="21"/>
              </w:rPr>
            </w:pPr>
            <w:r>
              <w:rPr>
                <w:color w:val="FF0000"/>
                <w:kern w:val="2"/>
                <w:sz w:val="21"/>
                <w:szCs w:val="21"/>
              </w:rPr>
              <w:t>含硫量（S%）是指</w:t>
            </w:r>
            <w:r>
              <w:rPr>
                <w:rFonts w:hint="eastAsia"/>
                <w:color w:val="FF0000"/>
                <w:kern w:val="2"/>
                <w:sz w:val="21"/>
                <w:szCs w:val="21"/>
              </w:rPr>
              <w:t>生物质</w:t>
            </w:r>
            <w:r>
              <w:rPr>
                <w:color w:val="FF0000"/>
                <w:kern w:val="2"/>
                <w:sz w:val="21"/>
                <w:szCs w:val="21"/>
              </w:rPr>
              <w:t>收到基硫含量，以质量百分数的形式表示。</w:t>
            </w:r>
          </w:p>
        </w:tc>
      </w:tr>
    </w:tbl>
    <w:p w14:paraId="04B0965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0"/>
          <w:sz w:val="24"/>
          <w:szCs w:val="24"/>
          <w:highlight w:val="none"/>
          <w:lang w:val="en-US" w:eastAsia="zh-CN"/>
        </w:rPr>
      </w:pPr>
      <w:r>
        <w:rPr>
          <w:rFonts w:hint="eastAsia"/>
          <w:color w:val="FF0000"/>
          <w:kern w:val="0"/>
          <w:sz w:val="24"/>
          <w:szCs w:val="24"/>
          <w:lang w:val="en-US" w:eastAsia="zh-CN"/>
        </w:rPr>
        <w:t>根据企业提供资料，</w:t>
      </w:r>
      <w:r>
        <w:rPr>
          <w:rFonts w:hint="eastAsia"/>
          <w:color w:val="FF0000"/>
          <w:kern w:val="2"/>
          <w:sz w:val="24"/>
          <w:szCs w:val="24"/>
        </w:rPr>
        <w:t>本项目生物质工业锅炉含硫量S为0</w:t>
      </w:r>
      <w:r>
        <w:rPr>
          <w:color w:val="FF0000"/>
          <w:kern w:val="2"/>
          <w:sz w:val="24"/>
          <w:szCs w:val="24"/>
        </w:rPr>
        <w:t>.0</w:t>
      </w:r>
      <w:r>
        <w:rPr>
          <w:rFonts w:hint="eastAsia"/>
          <w:color w:val="FF0000"/>
          <w:kern w:val="2"/>
          <w:sz w:val="24"/>
          <w:szCs w:val="24"/>
          <w:lang w:val="en-US" w:eastAsia="zh-CN"/>
        </w:rPr>
        <w:t>2%</w:t>
      </w:r>
      <w:r>
        <w:rPr>
          <w:rFonts w:hint="eastAsia"/>
          <w:color w:val="FF0000"/>
          <w:kern w:val="2"/>
          <w:sz w:val="24"/>
          <w:szCs w:val="24"/>
        </w:rPr>
        <w:t>，因此本项目生物质</w:t>
      </w:r>
      <w:r>
        <w:rPr>
          <w:rFonts w:hint="eastAsia"/>
          <w:color w:val="FF0000"/>
          <w:kern w:val="2"/>
          <w:sz w:val="24"/>
          <w:szCs w:val="24"/>
          <w:lang w:val="en-US" w:eastAsia="zh-CN"/>
        </w:rPr>
        <w:t>导热油炉</w:t>
      </w:r>
      <w:r>
        <w:rPr>
          <w:rFonts w:hint="eastAsia"/>
          <w:color w:val="FF0000"/>
          <w:kern w:val="2"/>
          <w:sz w:val="24"/>
          <w:szCs w:val="24"/>
        </w:rPr>
        <w:t>燃烧废气污染物产生量为：工业废气量</w:t>
      </w:r>
      <w:r>
        <w:rPr>
          <w:rFonts w:hint="eastAsia"/>
          <w:color w:val="FF0000"/>
          <w:kern w:val="2"/>
          <w:sz w:val="24"/>
          <w:szCs w:val="24"/>
          <w:lang w:val="en-US" w:eastAsia="zh-CN"/>
        </w:rPr>
        <w:t>4493</w:t>
      </w:r>
      <w:r>
        <w:rPr>
          <w:rFonts w:hint="eastAsia"/>
          <w:color w:val="FF0000"/>
          <w:kern w:val="2"/>
          <w:sz w:val="24"/>
          <w:szCs w:val="24"/>
        </w:rPr>
        <w:t>万Nm</w:t>
      </w:r>
      <w:r>
        <w:rPr>
          <w:color w:val="FF0000"/>
          <w:kern w:val="2"/>
          <w:sz w:val="24"/>
          <w:szCs w:val="24"/>
          <w:vertAlign w:val="superscript"/>
        </w:rPr>
        <w:t>3</w:t>
      </w:r>
      <w:r>
        <w:rPr>
          <w:rFonts w:hint="eastAsia"/>
          <w:color w:val="FF0000"/>
          <w:kern w:val="2"/>
          <w:sz w:val="24"/>
          <w:szCs w:val="24"/>
        </w:rPr>
        <w:t>（</w:t>
      </w:r>
      <w:r>
        <w:rPr>
          <w:rFonts w:hint="eastAsia"/>
          <w:color w:val="FF0000"/>
          <w:kern w:val="2"/>
          <w:sz w:val="24"/>
          <w:szCs w:val="24"/>
          <w:lang w:val="en-US" w:eastAsia="zh-CN"/>
        </w:rPr>
        <w:t>6240</w:t>
      </w:r>
      <w:r>
        <w:rPr>
          <w:rFonts w:hint="eastAsia"/>
          <w:color w:val="FF0000"/>
          <w:kern w:val="2"/>
          <w:sz w:val="24"/>
          <w:szCs w:val="24"/>
        </w:rPr>
        <w:t>m</w:t>
      </w:r>
      <w:r>
        <w:rPr>
          <w:color w:val="FF0000"/>
          <w:kern w:val="2"/>
          <w:sz w:val="24"/>
          <w:szCs w:val="24"/>
          <w:vertAlign w:val="superscript"/>
        </w:rPr>
        <w:t>3</w:t>
      </w:r>
      <w:r>
        <w:rPr>
          <w:color w:val="FF0000"/>
          <w:kern w:val="2"/>
          <w:sz w:val="24"/>
          <w:szCs w:val="24"/>
        </w:rPr>
        <w:t>/</w:t>
      </w:r>
      <w:r>
        <w:rPr>
          <w:rFonts w:hint="eastAsia"/>
          <w:color w:val="FF0000"/>
          <w:kern w:val="2"/>
          <w:sz w:val="24"/>
          <w:szCs w:val="24"/>
        </w:rPr>
        <w:t>h）、颗粒物</w:t>
      </w:r>
      <w:r>
        <w:rPr>
          <w:rFonts w:hint="eastAsia"/>
          <w:color w:val="FF0000"/>
          <w:kern w:val="2"/>
          <w:sz w:val="24"/>
          <w:szCs w:val="24"/>
          <w:lang w:val="en-US" w:eastAsia="zh-CN"/>
        </w:rPr>
        <w:t>3.5</w:t>
      </w:r>
      <w:r>
        <w:rPr>
          <w:rFonts w:hint="eastAsia"/>
          <w:color w:val="FF0000"/>
          <w:kern w:val="2"/>
          <w:sz w:val="24"/>
          <w:szCs w:val="24"/>
        </w:rPr>
        <w:t>t/a、SO</w:t>
      </w:r>
      <w:r>
        <w:rPr>
          <w:color w:val="FF0000"/>
          <w:kern w:val="2"/>
          <w:sz w:val="24"/>
          <w:szCs w:val="24"/>
          <w:vertAlign w:val="subscript"/>
        </w:rPr>
        <w:t>2</w:t>
      </w:r>
      <w:r>
        <w:rPr>
          <w:rFonts w:hint="eastAsia"/>
          <w:color w:val="FF0000"/>
          <w:kern w:val="2"/>
          <w:sz w:val="24"/>
          <w:szCs w:val="24"/>
          <w:vertAlign w:val="subscript"/>
          <w:lang w:val="en-US" w:eastAsia="zh-CN"/>
        </w:rPr>
        <w:t xml:space="preserve"> </w:t>
      </w:r>
      <w:r>
        <w:rPr>
          <w:rFonts w:hint="eastAsia"/>
          <w:color w:val="FF0000"/>
          <w:kern w:val="2"/>
          <w:sz w:val="24"/>
          <w:szCs w:val="24"/>
          <w:vertAlign w:val="baseline"/>
          <w:lang w:val="en-US" w:eastAsia="zh-CN"/>
        </w:rPr>
        <w:t>2.38</w:t>
      </w:r>
      <w:r>
        <w:rPr>
          <w:rFonts w:hint="eastAsia"/>
          <w:color w:val="FF0000"/>
          <w:kern w:val="2"/>
          <w:sz w:val="24"/>
          <w:szCs w:val="24"/>
        </w:rPr>
        <w:t>t/a、NO</w:t>
      </w:r>
      <w:r>
        <w:rPr>
          <w:rFonts w:hint="eastAsia"/>
          <w:color w:val="FF0000"/>
          <w:kern w:val="2"/>
          <w:sz w:val="24"/>
          <w:szCs w:val="24"/>
          <w:vertAlign w:val="subscript"/>
        </w:rPr>
        <w:t>x</w:t>
      </w:r>
      <w:r>
        <w:rPr>
          <w:rFonts w:hint="eastAsia"/>
          <w:color w:val="FF0000"/>
          <w:kern w:val="2"/>
          <w:sz w:val="24"/>
          <w:szCs w:val="24"/>
          <w:vertAlign w:val="subscript"/>
          <w:lang w:val="en-US" w:eastAsia="zh-CN"/>
        </w:rPr>
        <w:t xml:space="preserve"> </w:t>
      </w:r>
      <w:r>
        <w:rPr>
          <w:rFonts w:hint="eastAsia"/>
          <w:color w:val="FF0000"/>
          <w:kern w:val="2"/>
          <w:sz w:val="24"/>
          <w:szCs w:val="24"/>
          <w:lang w:val="en-US" w:eastAsia="zh-CN"/>
        </w:rPr>
        <w:t>4.97</w:t>
      </w:r>
      <w:r>
        <w:rPr>
          <w:rFonts w:hint="eastAsia"/>
          <w:color w:val="FF0000"/>
          <w:kern w:val="2"/>
          <w:sz w:val="24"/>
          <w:szCs w:val="24"/>
        </w:rPr>
        <w:t>t/a。</w:t>
      </w:r>
    </w:p>
    <w:p w14:paraId="7D35FCB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rPr>
      </w:pPr>
      <w:r>
        <w:rPr>
          <w:color w:val="FF0000"/>
          <w:kern w:val="2"/>
          <w:sz w:val="24"/>
          <w:szCs w:val="24"/>
        </w:rPr>
        <w:t>本项目采用</w:t>
      </w:r>
      <w:r>
        <w:rPr>
          <w:rFonts w:hint="eastAsia"/>
          <w:color w:val="FF0000"/>
          <w:kern w:val="2"/>
          <w:sz w:val="24"/>
          <w:szCs w:val="24"/>
        </w:rPr>
        <w:t>低氮</w:t>
      </w:r>
      <w:r>
        <w:rPr>
          <w:color w:val="FF0000"/>
          <w:kern w:val="2"/>
          <w:sz w:val="24"/>
          <w:szCs w:val="24"/>
        </w:rPr>
        <w:t>燃烧，</w:t>
      </w:r>
      <w:r>
        <w:rPr>
          <w:rFonts w:hint="eastAsia"/>
          <w:color w:val="FF0000"/>
          <w:kern w:val="2"/>
          <w:sz w:val="24"/>
          <w:szCs w:val="24"/>
          <w:lang w:val="en-US" w:eastAsia="zh-CN"/>
        </w:rPr>
        <w:t>导热油炉废气经一套低氮燃烧+SNCR+石灰喷雾干燥+余热回收+旋风除尘+布袋除尘+水幕除尘</w:t>
      </w:r>
      <w:r>
        <w:rPr>
          <w:color w:val="FF0000"/>
          <w:kern w:val="2"/>
          <w:sz w:val="24"/>
          <w:szCs w:val="24"/>
        </w:rPr>
        <w:t>处理后</w:t>
      </w:r>
      <w:r>
        <w:rPr>
          <w:rFonts w:hint="eastAsia"/>
          <w:color w:val="FF0000"/>
          <w:kern w:val="2"/>
          <w:sz w:val="24"/>
          <w:szCs w:val="24"/>
          <w:lang w:val="en-US" w:eastAsia="zh-CN"/>
        </w:rPr>
        <w:t>合并</w:t>
      </w:r>
      <w:r>
        <w:rPr>
          <w:color w:val="FF0000"/>
          <w:kern w:val="2"/>
          <w:sz w:val="24"/>
          <w:szCs w:val="24"/>
        </w:rPr>
        <w:t>通过</w:t>
      </w:r>
      <w:r>
        <w:rPr>
          <w:rFonts w:hint="eastAsia"/>
          <w:color w:val="FF0000"/>
          <w:kern w:val="2"/>
          <w:sz w:val="24"/>
          <w:szCs w:val="24"/>
          <w:lang w:val="en-US" w:eastAsia="zh-CN"/>
        </w:rPr>
        <w:t>35</w:t>
      </w:r>
      <w:r>
        <w:rPr>
          <w:color w:val="FF0000"/>
          <w:kern w:val="2"/>
          <w:sz w:val="24"/>
          <w:szCs w:val="24"/>
        </w:rPr>
        <w:t>m高</w:t>
      </w:r>
      <w:r>
        <w:rPr>
          <w:rFonts w:hint="eastAsia"/>
          <w:color w:val="FF0000"/>
          <w:kern w:val="2"/>
          <w:sz w:val="24"/>
          <w:szCs w:val="24"/>
          <w:lang w:val="en-US" w:eastAsia="zh-CN"/>
        </w:rPr>
        <w:t>DA003</w:t>
      </w:r>
      <w:r>
        <w:rPr>
          <w:color w:val="FF0000"/>
          <w:kern w:val="2"/>
          <w:sz w:val="24"/>
          <w:szCs w:val="24"/>
        </w:rPr>
        <w:t>排气筒高空排放</w:t>
      </w:r>
      <w:r>
        <w:rPr>
          <w:rFonts w:hint="eastAsia"/>
          <w:color w:val="FF0000"/>
          <w:kern w:val="2"/>
          <w:sz w:val="24"/>
          <w:szCs w:val="24"/>
        </w:rPr>
        <w:t>。</w:t>
      </w:r>
    </w:p>
    <w:p w14:paraId="2CCB18D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lang w:eastAsia="zh-CN"/>
        </w:rPr>
      </w:pPr>
      <w:r>
        <w:rPr>
          <w:rFonts w:hint="eastAsia"/>
          <w:color w:val="FF0000"/>
          <w:kern w:val="2"/>
          <w:sz w:val="24"/>
          <w:szCs w:val="24"/>
          <w:lang w:val="en-US" w:eastAsia="zh-CN"/>
        </w:rPr>
        <w:t>参考《生物质燃料锅炉低氮燃烧技术研究进展》（郭勇等）：“低氮燃烧技术研究，甄天雷</w:t>
      </w:r>
      <w:r>
        <w:rPr>
          <w:rFonts w:hint="default"/>
          <w:color w:val="FF0000"/>
          <w:kern w:val="2"/>
          <w:sz w:val="24"/>
          <w:szCs w:val="24"/>
          <w:lang w:val="en-US" w:eastAsia="zh-CN"/>
        </w:rPr>
        <w:t>等开展生物质再燃脱硝特性实验。研究表明，杨木屑、花生壳、玉米秆及稻壳均为较好的再燃燃料，脱硝率可达60%~70%</w:t>
      </w:r>
      <w:r>
        <w:rPr>
          <w:rFonts w:hint="eastAsia"/>
          <w:color w:val="FF0000"/>
          <w:kern w:val="2"/>
          <w:sz w:val="24"/>
          <w:szCs w:val="24"/>
          <w:lang w:val="en-US" w:eastAsia="zh-CN"/>
        </w:rPr>
        <w:t>”，本项目保守考虑低氮燃烧对氮氧化物的去除效率为60%，参考《</w:t>
      </w:r>
      <w:r>
        <w:rPr>
          <w:rFonts w:hint="default"/>
          <w:color w:val="FF0000"/>
          <w:kern w:val="2"/>
          <w:sz w:val="24"/>
          <w:szCs w:val="24"/>
          <w:lang w:val="en-US" w:eastAsia="zh-CN"/>
        </w:rPr>
        <w:t>生物质锅炉脱硝技术发展现状分析</w:t>
      </w:r>
      <w:r>
        <w:rPr>
          <w:rFonts w:hint="eastAsia"/>
          <w:color w:val="FF0000"/>
          <w:kern w:val="2"/>
          <w:sz w:val="24"/>
          <w:szCs w:val="24"/>
          <w:lang w:val="en-US" w:eastAsia="zh-CN"/>
        </w:rPr>
        <w:t>》（</w:t>
      </w:r>
      <w:r>
        <w:rPr>
          <w:rFonts w:hint="default"/>
          <w:color w:val="FF0000"/>
          <w:kern w:val="2"/>
          <w:sz w:val="24"/>
          <w:szCs w:val="24"/>
          <w:lang w:val="en-US" w:eastAsia="zh-CN"/>
        </w:rPr>
        <w:t>王献民</w:t>
      </w:r>
      <w:r>
        <w:rPr>
          <w:rFonts w:hint="eastAsia"/>
          <w:color w:val="FF0000"/>
          <w:kern w:val="2"/>
          <w:sz w:val="24"/>
          <w:szCs w:val="24"/>
          <w:lang w:val="en-US" w:eastAsia="zh-CN"/>
        </w:rPr>
        <w:t>编）：“非催化还原技术（SNCR）该技术具有投资省、运行费用</w:t>
      </w:r>
      <w:r>
        <w:rPr>
          <w:rFonts w:hint="default"/>
          <w:color w:val="FF0000"/>
          <w:kern w:val="2"/>
          <w:sz w:val="24"/>
          <w:szCs w:val="24"/>
          <w:lang w:val="en-US" w:eastAsia="zh-CN"/>
        </w:rPr>
        <w:t>低以及操作简便等优势，但是脱硝效率较低</w:t>
      </w:r>
      <w:r>
        <w:rPr>
          <w:rFonts w:hint="eastAsia"/>
          <w:color w:val="FF0000"/>
          <w:kern w:val="2"/>
          <w:sz w:val="24"/>
          <w:szCs w:val="24"/>
          <w:lang w:val="en-US" w:eastAsia="zh-CN"/>
        </w:rPr>
        <w:t>，</w:t>
      </w:r>
      <w:r>
        <w:rPr>
          <w:rFonts w:hint="default"/>
          <w:color w:val="FF0000"/>
          <w:kern w:val="2"/>
          <w:sz w:val="24"/>
          <w:szCs w:val="24"/>
          <w:lang w:val="en-US" w:eastAsia="zh-CN"/>
        </w:rPr>
        <w:t>一般在50%</w:t>
      </w:r>
      <w:r>
        <w:rPr>
          <w:rFonts w:hint="eastAsia"/>
          <w:color w:val="FF0000"/>
          <w:kern w:val="2"/>
          <w:sz w:val="24"/>
          <w:szCs w:val="24"/>
          <w:lang w:val="en-US" w:eastAsia="zh-CN"/>
        </w:rPr>
        <w:t>”</w:t>
      </w:r>
      <w:r>
        <w:rPr>
          <w:rFonts w:hint="eastAsia"/>
          <w:color w:val="FF0000"/>
          <w:sz w:val="24"/>
          <w:szCs w:val="21"/>
        </w:rPr>
        <w:t>SNCR</w:t>
      </w:r>
      <w:r>
        <w:rPr>
          <w:rFonts w:hint="eastAsia"/>
          <w:color w:val="FF0000"/>
          <w:sz w:val="24"/>
          <w:szCs w:val="21"/>
          <w:lang w:val="en-US" w:eastAsia="zh-CN"/>
        </w:rPr>
        <w:t>对层燃炉</w:t>
      </w:r>
      <w:r>
        <w:rPr>
          <w:rFonts w:hint="eastAsia"/>
          <w:color w:val="FF0000"/>
          <w:sz w:val="24"/>
          <w:szCs w:val="21"/>
        </w:rPr>
        <w:t>脱硝对氮氧化物的去除效率为</w:t>
      </w:r>
      <w:r>
        <w:rPr>
          <w:rFonts w:hint="eastAsia"/>
          <w:color w:val="FF0000"/>
          <w:sz w:val="24"/>
          <w:szCs w:val="21"/>
          <w:lang w:val="en-US" w:eastAsia="zh-CN"/>
        </w:rPr>
        <w:t>50</w:t>
      </w:r>
      <w:r>
        <w:rPr>
          <w:rFonts w:hint="eastAsia"/>
          <w:color w:val="FF0000"/>
          <w:sz w:val="24"/>
          <w:szCs w:val="21"/>
        </w:rPr>
        <w:t>%</w:t>
      </w:r>
      <w:r>
        <w:rPr>
          <w:rFonts w:hint="eastAsia"/>
          <w:color w:val="FF0000"/>
          <w:sz w:val="24"/>
          <w:szCs w:val="21"/>
          <w:lang w:eastAsia="zh-CN"/>
        </w:rPr>
        <w:t>，</w:t>
      </w:r>
      <w:r>
        <w:rPr>
          <w:rFonts w:hint="eastAsia"/>
          <w:color w:val="FF0000"/>
          <w:sz w:val="24"/>
          <w:szCs w:val="21"/>
        </w:rPr>
        <w:t>则低氮燃烧+SNCR脱硝对NOx的去除效率以</w:t>
      </w:r>
      <w:r>
        <w:rPr>
          <w:rFonts w:hint="eastAsia"/>
          <w:color w:val="FF0000"/>
          <w:sz w:val="24"/>
          <w:szCs w:val="21"/>
          <w:lang w:val="en-US" w:eastAsia="zh-CN"/>
        </w:rPr>
        <w:t>80</w:t>
      </w:r>
      <w:r>
        <w:rPr>
          <w:rFonts w:hint="eastAsia"/>
          <w:color w:val="FF0000"/>
          <w:sz w:val="24"/>
          <w:szCs w:val="21"/>
        </w:rPr>
        <w:t>%计</w:t>
      </w:r>
      <w:r>
        <w:rPr>
          <w:rFonts w:hint="eastAsia"/>
          <w:color w:val="FF0000"/>
          <w:kern w:val="2"/>
          <w:sz w:val="24"/>
          <w:szCs w:val="24"/>
          <w:lang w:eastAsia="zh-CN"/>
        </w:rPr>
        <w:t>；</w:t>
      </w:r>
    </w:p>
    <w:p w14:paraId="29A8216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lang w:eastAsia="zh-CN"/>
        </w:rPr>
      </w:pPr>
      <w:r>
        <w:rPr>
          <w:rFonts w:hint="eastAsia" w:ascii="Times New Roman" w:hAnsi="Times New Roman" w:eastAsia="宋体" w:cs="Times New Roman"/>
          <w:color w:val="FF0000"/>
          <w:sz w:val="24"/>
          <w:szCs w:val="21"/>
          <w:lang w:val="en-US" w:eastAsia="zh-CN"/>
        </w:rPr>
        <w:t>根据</w:t>
      </w:r>
      <w:r>
        <w:rPr>
          <w:rFonts w:hint="eastAsia" w:ascii="Times New Roman" w:hAnsi="Times New Roman" w:eastAsia="宋体" w:cs="Times New Roman"/>
          <w:color w:val="FF0000"/>
          <w:sz w:val="24"/>
          <w:szCs w:val="21"/>
        </w:rPr>
        <w:t>《排放源统计调查产排污核算方法和系数手册》“4430工业锅炉（热力生产和供应行业）产污系数表-生物质工业锅炉”</w:t>
      </w:r>
      <w:r>
        <w:rPr>
          <w:rFonts w:hint="eastAsia" w:ascii="Times New Roman" w:hAnsi="Times New Roman" w:eastAsia="宋体" w:cs="Times New Roman"/>
          <w:color w:val="FF0000"/>
          <w:sz w:val="24"/>
          <w:szCs w:val="21"/>
          <w:lang w:eastAsia="zh-CN"/>
        </w:rPr>
        <w:t>，</w:t>
      </w:r>
      <w:r>
        <w:rPr>
          <w:rFonts w:hint="eastAsia"/>
          <w:color w:val="FF0000"/>
          <w:kern w:val="2"/>
          <w:sz w:val="24"/>
          <w:szCs w:val="24"/>
        </w:rPr>
        <w:t>多管旋风除尘法对颗粒物去除效率取</w:t>
      </w:r>
      <w:r>
        <w:rPr>
          <w:rFonts w:hint="eastAsia"/>
          <w:color w:val="FF0000"/>
          <w:kern w:val="2"/>
          <w:sz w:val="24"/>
          <w:szCs w:val="24"/>
          <w:lang w:val="en-US" w:eastAsia="zh-CN"/>
        </w:rPr>
        <w:t>70</w:t>
      </w:r>
      <w:r>
        <w:rPr>
          <w:rFonts w:hint="eastAsia"/>
          <w:color w:val="FF0000"/>
          <w:kern w:val="2"/>
          <w:sz w:val="24"/>
          <w:szCs w:val="24"/>
        </w:rPr>
        <w:t>%，</w:t>
      </w:r>
      <w:r>
        <w:rPr>
          <w:rFonts w:hint="eastAsia"/>
          <w:color w:val="FF0000"/>
          <w:kern w:val="2"/>
          <w:sz w:val="24"/>
          <w:szCs w:val="24"/>
          <w:lang w:val="en-US" w:eastAsia="zh-CN"/>
        </w:rPr>
        <w:t>水幕除尘</w:t>
      </w:r>
      <w:r>
        <w:rPr>
          <w:rFonts w:hint="eastAsia"/>
          <w:color w:val="FF0000"/>
          <w:kern w:val="2"/>
          <w:sz w:val="24"/>
          <w:szCs w:val="24"/>
        </w:rPr>
        <w:t>对颗粒物去除效率取</w:t>
      </w:r>
      <w:r>
        <w:rPr>
          <w:rFonts w:hint="eastAsia"/>
          <w:color w:val="FF0000"/>
          <w:kern w:val="2"/>
          <w:sz w:val="24"/>
          <w:szCs w:val="24"/>
          <w:lang w:val="en-US" w:eastAsia="zh-CN"/>
        </w:rPr>
        <w:t>87</w:t>
      </w:r>
      <w:r>
        <w:rPr>
          <w:rFonts w:hint="eastAsia"/>
          <w:color w:val="FF0000"/>
          <w:kern w:val="2"/>
          <w:sz w:val="24"/>
          <w:szCs w:val="24"/>
        </w:rPr>
        <w:t>%，袋式除尘器去除效率取9</w:t>
      </w:r>
      <w:r>
        <w:rPr>
          <w:rFonts w:hint="eastAsia"/>
          <w:color w:val="FF0000"/>
          <w:kern w:val="2"/>
          <w:sz w:val="24"/>
          <w:szCs w:val="24"/>
          <w:lang w:val="en-US" w:eastAsia="zh-CN"/>
        </w:rPr>
        <w:t>9.7</w:t>
      </w:r>
      <w:r>
        <w:rPr>
          <w:rFonts w:hint="eastAsia"/>
          <w:color w:val="FF0000"/>
          <w:kern w:val="2"/>
          <w:sz w:val="24"/>
          <w:szCs w:val="24"/>
        </w:rPr>
        <w:t>%，本项目旋风除尘+袋式除尘</w:t>
      </w:r>
      <w:r>
        <w:rPr>
          <w:rFonts w:hint="eastAsia"/>
          <w:color w:val="FF0000"/>
          <w:kern w:val="2"/>
          <w:sz w:val="24"/>
          <w:szCs w:val="24"/>
          <w:lang w:val="en-US" w:eastAsia="zh-CN"/>
        </w:rPr>
        <w:t>+水幕除尘</w:t>
      </w:r>
      <w:r>
        <w:rPr>
          <w:rFonts w:hint="eastAsia"/>
          <w:color w:val="FF0000"/>
          <w:kern w:val="2"/>
          <w:sz w:val="24"/>
          <w:szCs w:val="24"/>
        </w:rPr>
        <w:t>器去除效率合计为99.</w:t>
      </w:r>
      <w:r>
        <w:rPr>
          <w:rFonts w:hint="eastAsia"/>
          <w:color w:val="FF0000"/>
          <w:kern w:val="2"/>
          <w:sz w:val="24"/>
          <w:szCs w:val="24"/>
          <w:lang w:val="en-US" w:eastAsia="zh-CN"/>
        </w:rPr>
        <w:t>98</w:t>
      </w:r>
      <w:r>
        <w:rPr>
          <w:rFonts w:hint="eastAsia"/>
          <w:color w:val="FF0000"/>
          <w:kern w:val="2"/>
          <w:sz w:val="24"/>
          <w:szCs w:val="24"/>
        </w:rPr>
        <w:t>%</w:t>
      </w:r>
      <w:r>
        <w:rPr>
          <w:rFonts w:hint="eastAsia"/>
          <w:color w:val="FF0000"/>
          <w:kern w:val="2"/>
          <w:sz w:val="24"/>
          <w:szCs w:val="24"/>
          <w:lang w:eastAsia="zh-CN"/>
        </w:rPr>
        <w:t>；</w:t>
      </w:r>
    </w:p>
    <w:p w14:paraId="0355246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rPr>
      </w:pPr>
      <w:r>
        <w:rPr>
          <w:rFonts w:hint="eastAsia"/>
          <w:color w:val="FF0000"/>
          <w:kern w:val="2"/>
          <w:sz w:val="24"/>
          <w:szCs w:val="24"/>
          <w:lang w:val="en-US" w:eastAsia="zh-CN"/>
        </w:rPr>
        <w:t>石灰喷雾干燥法（半干法）对</w:t>
      </w:r>
      <w:r>
        <w:rPr>
          <w:rFonts w:hint="eastAsia"/>
          <w:color w:val="FF0000"/>
          <w:kern w:val="2"/>
          <w:sz w:val="24"/>
          <w:szCs w:val="24"/>
        </w:rPr>
        <w:t>SO</w:t>
      </w:r>
      <w:r>
        <w:rPr>
          <w:rFonts w:hint="eastAsia"/>
          <w:color w:val="FF0000"/>
          <w:kern w:val="2"/>
          <w:sz w:val="24"/>
          <w:szCs w:val="24"/>
          <w:vertAlign w:val="subscript"/>
        </w:rPr>
        <w:t>2</w:t>
      </w:r>
      <w:r>
        <w:rPr>
          <w:rFonts w:hint="eastAsia"/>
          <w:color w:val="FF0000"/>
          <w:kern w:val="2"/>
          <w:sz w:val="24"/>
          <w:szCs w:val="24"/>
          <w:lang w:val="en-US" w:eastAsia="zh-CN"/>
        </w:rPr>
        <w:t>去除率参考层燃炉-所有规模中喷雾干燥法技术治理效率为70%，</w:t>
      </w:r>
      <w:r>
        <w:rPr>
          <w:rFonts w:hint="eastAsia"/>
          <w:color w:val="FF0000"/>
          <w:kern w:val="2"/>
          <w:sz w:val="24"/>
          <w:szCs w:val="24"/>
        </w:rPr>
        <w:t>则生物质</w:t>
      </w:r>
      <w:r>
        <w:rPr>
          <w:rFonts w:hint="eastAsia"/>
          <w:color w:val="FF0000"/>
          <w:kern w:val="2"/>
          <w:sz w:val="24"/>
          <w:szCs w:val="24"/>
          <w:lang w:val="en-US" w:eastAsia="zh-CN"/>
        </w:rPr>
        <w:t>蒸汽</w:t>
      </w:r>
      <w:r>
        <w:rPr>
          <w:rFonts w:hint="eastAsia"/>
          <w:color w:val="FF0000"/>
          <w:kern w:val="2"/>
          <w:sz w:val="24"/>
          <w:szCs w:val="24"/>
        </w:rPr>
        <w:t>锅炉有组织颗粒物排放量为</w:t>
      </w:r>
      <w:r>
        <w:rPr>
          <w:rFonts w:hint="eastAsia"/>
          <w:color w:val="FF0000"/>
          <w:kern w:val="2"/>
          <w:sz w:val="24"/>
          <w:szCs w:val="24"/>
          <w:lang w:val="en-US" w:eastAsia="zh-CN"/>
        </w:rPr>
        <w:t>0.0007</w:t>
      </w:r>
      <w:r>
        <w:rPr>
          <w:rFonts w:hint="eastAsia"/>
          <w:color w:val="FF0000"/>
          <w:kern w:val="2"/>
          <w:sz w:val="24"/>
          <w:szCs w:val="24"/>
        </w:rPr>
        <w:t>t/a，有组织SO</w:t>
      </w:r>
      <w:r>
        <w:rPr>
          <w:rFonts w:hint="eastAsia"/>
          <w:color w:val="FF0000"/>
          <w:kern w:val="2"/>
          <w:sz w:val="24"/>
          <w:szCs w:val="24"/>
          <w:vertAlign w:val="subscript"/>
        </w:rPr>
        <w:t>2</w:t>
      </w:r>
      <w:r>
        <w:rPr>
          <w:rFonts w:hint="eastAsia"/>
          <w:color w:val="FF0000"/>
          <w:kern w:val="2"/>
          <w:sz w:val="24"/>
          <w:szCs w:val="24"/>
        </w:rPr>
        <w:t>排放量为</w:t>
      </w:r>
      <w:r>
        <w:rPr>
          <w:rFonts w:hint="eastAsia"/>
          <w:color w:val="FF0000"/>
          <w:kern w:val="2"/>
          <w:sz w:val="24"/>
          <w:szCs w:val="24"/>
          <w:lang w:val="en-US" w:eastAsia="zh-CN"/>
        </w:rPr>
        <w:t>0.714</w:t>
      </w:r>
      <w:r>
        <w:rPr>
          <w:rFonts w:hint="eastAsia"/>
          <w:color w:val="FF0000"/>
          <w:kern w:val="2"/>
          <w:sz w:val="24"/>
          <w:szCs w:val="24"/>
        </w:rPr>
        <w:t>t/a，有组织NO</w:t>
      </w:r>
      <w:r>
        <w:rPr>
          <w:rFonts w:hint="eastAsia"/>
          <w:color w:val="FF0000"/>
          <w:kern w:val="2"/>
          <w:sz w:val="24"/>
          <w:szCs w:val="24"/>
          <w:vertAlign w:val="subscript"/>
        </w:rPr>
        <w:t>x</w:t>
      </w:r>
      <w:r>
        <w:rPr>
          <w:rFonts w:hint="eastAsia"/>
          <w:color w:val="FF0000"/>
          <w:kern w:val="2"/>
          <w:sz w:val="24"/>
          <w:szCs w:val="24"/>
        </w:rPr>
        <w:t>排放量为</w:t>
      </w:r>
      <w:r>
        <w:rPr>
          <w:rFonts w:hint="eastAsia"/>
          <w:color w:val="FF0000"/>
          <w:kern w:val="2"/>
          <w:sz w:val="24"/>
          <w:szCs w:val="24"/>
          <w:lang w:val="en-US" w:eastAsia="zh-CN"/>
        </w:rPr>
        <w:t>0.994</w:t>
      </w:r>
      <w:r>
        <w:rPr>
          <w:rFonts w:hint="eastAsia"/>
          <w:color w:val="FF0000"/>
          <w:kern w:val="2"/>
          <w:sz w:val="24"/>
          <w:szCs w:val="24"/>
        </w:rPr>
        <w:t>t/a。</w:t>
      </w:r>
    </w:p>
    <w:p w14:paraId="55D6270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FF0000"/>
          <w:kern w:val="2"/>
          <w:sz w:val="24"/>
          <w:szCs w:val="24"/>
        </w:rPr>
      </w:pPr>
      <w:r>
        <w:rPr>
          <w:rFonts w:hint="eastAsia"/>
          <w:color w:val="FF0000"/>
          <w:kern w:val="2"/>
          <w:sz w:val="24"/>
          <w:szCs w:val="24"/>
        </w:rPr>
        <w:t>风量核算：生物质</w:t>
      </w:r>
      <w:r>
        <w:rPr>
          <w:rFonts w:hint="eastAsia"/>
          <w:color w:val="FF0000"/>
          <w:kern w:val="2"/>
          <w:sz w:val="24"/>
          <w:szCs w:val="24"/>
          <w:lang w:val="en-US" w:eastAsia="zh-CN"/>
        </w:rPr>
        <w:t>导热油炉</w:t>
      </w:r>
      <w:r>
        <w:rPr>
          <w:rFonts w:hint="eastAsia"/>
          <w:color w:val="FF0000"/>
          <w:kern w:val="2"/>
          <w:sz w:val="24"/>
          <w:szCs w:val="24"/>
        </w:rPr>
        <w:t>年工作时间为7200h，经计算风量为</w:t>
      </w:r>
      <w:r>
        <w:rPr>
          <w:rFonts w:hint="eastAsia"/>
          <w:color w:val="FF0000"/>
          <w:kern w:val="2"/>
          <w:sz w:val="24"/>
          <w:szCs w:val="24"/>
          <w:lang w:val="en-US" w:eastAsia="zh-CN"/>
        </w:rPr>
        <w:t>6240</w:t>
      </w:r>
      <w:r>
        <w:rPr>
          <w:rFonts w:hint="eastAsia"/>
          <w:color w:val="FF0000"/>
          <w:kern w:val="2"/>
          <w:sz w:val="24"/>
          <w:szCs w:val="24"/>
        </w:rPr>
        <w:t>m</w:t>
      </w:r>
      <w:r>
        <w:rPr>
          <w:rFonts w:hint="eastAsia"/>
          <w:color w:val="FF0000"/>
          <w:kern w:val="2"/>
          <w:sz w:val="24"/>
          <w:szCs w:val="24"/>
          <w:vertAlign w:val="superscript"/>
        </w:rPr>
        <w:t>3</w:t>
      </w:r>
      <w:r>
        <w:rPr>
          <w:rFonts w:hint="eastAsia"/>
          <w:color w:val="FF0000"/>
          <w:kern w:val="2"/>
          <w:sz w:val="24"/>
          <w:szCs w:val="24"/>
          <w:vertAlign w:val="baseline"/>
          <w:lang w:val="en-US" w:eastAsia="zh-CN"/>
        </w:rPr>
        <w:t>/h</w:t>
      </w:r>
      <w:r>
        <w:rPr>
          <w:rFonts w:hint="eastAsia"/>
          <w:color w:val="FF0000"/>
          <w:kern w:val="2"/>
          <w:sz w:val="24"/>
          <w:szCs w:val="24"/>
        </w:rPr>
        <w:t>，考虑风压损失、管道距离等因素，风机风量取</w:t>
      </w:r>
      <w:r>
        <w:rPr>
          <w:rFonts w:hint="eastAsia"/>
          <w:color w:val="FF0000"/>
          <w:kern w:val="2"/>
          <w:sz w:val="24"/>
          <w:szCs w:val="24"/>
          <w:lang w:val="en-US" w:eastAsia="zh-CN"/>
        </w:rPr>
        <w:t>70</w:t>
      </w:r>
      <w:r>
        <w:rPr>
          <w:rFonts w:hint="eastAsia"/>
          <w:color w:val="FF0000"/>
          <w:kern w:val="2"/>
          <w:sz w:val="24"/>
          <w:szCs w:val="24"/>
        </w:rPr>
        <w:t>00m</w:t>
      </w:r>
      <w:r>
        <w:rPr>
          <w:rFonts w:hint="eastAsia"/>
          <w:color w:val="FF0000"/>
          <w:kern w:val="2"/>
          <w:sz w:val="24"/>
          <w:szCs w:val="24"/>
          <w:vertAlign w:val="superscript"/>
        </w:rPr>
        <w:t>3</w:t>
      </w:r>
      <w:r>
        <w:rPr>
          <w:rFonts w:hint="eastAsia"/>
          <w:color w:val="FF0000"/>
          <w:kern w:val="2"/>
          <w:sz w:val="24"/>
          <w:szCs w:val="24"/>
          <w:vertAlign w:val="baseline"/>
          <w:lang w:val="en-US" w:eastAsia="zh-CN"/>
        </w:rPr>
        <w:t>/h</w:t>
      </w:r>
      <w:r>
        <w:rPr>
          <w:rFonts w:hint="eastAsia"/>
          <w:color w:val="FF0000"/>
          <w:kern w:val="2"/>
          <w:sz w:val="24"/>
          <w:szCs w:val="24"/>
        </w:rPr>
        <w:t>。</w:t>
      </w:r>
    </w:p>
    <w:p w14:paraId="050675D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FF0000"/>
          <w:kern w:val="2"/>
          <w:sz w:val="24"/>
          <w:szCs w:val="24"/>
          <w:lang w:val="en-US" w:eastAsia="zh-CN"/>
        </w:rPr>
      </w:pPr>
      <w:r>
        <w:rPr>
          <w:rFonts w:hint="eastAsia"/>
          <w:color w:val="FF0000"/>
          <w:kern w:val="0"/>
          <w:sz w:val="24"/>
          <w:szCs w:val="24"/>
          <w:highlight w:val="none"/>
          <w:lang w:val="en-US" w:eastAsia="zh-CN"/>
        </w:rPr>
        <w:t>④</w:t>
      </w:r>
      <w:r>
        <w:rPr>
          <w:rFonts w:hint="eastAsia" w:cs="Times New Roman"/>
          <w:color w:val="FF0000"/>
          <w:kern w:val="2"/>
          <w:sz w:val="24"/>
          <w:szCs w:val="24"/>
          <w:lang w:val="en-US" w:eastAsia="zh-CN"/>
        </w:rPr>
        <w:t>汞及其化合物</w:t>
      </w:r>
    </w:p>
    <w:p w14:paraId="035A7FB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FF0000"/>
          <w:kern w:val="2"/>
          <w:sz w:val="24"/>
          <w:szCs w:val="24"/>
          <w:highlight w:val="none"/>
          <w:lang w:val="en-US" w:eastAsia="zh-CN"/>
        </w:rPr>
      </w:pPr>
      <w:r>
        <w:rPr>
          <w:rFonts w:hint="eastAsia" w:ascii="Times New Roman" w:hAnsi="Times New Roman" w:eastAsia="宋体" w:cs="Times New Roman"/>
          <w:color w:val="FF0000"/>
          <w:kern w:val="2"/>
          <w:sz w:val="24"/>
          <w:szCs w:val="24"/>
          <w:highlight w:val="none"/>
          <w:lang w:val="en-US" w:eastAsia="zh-CN"/>
        </w:rPr>
        <w:t>参考</w:t>
      </w:r>
      <w:r>
        <w:rPr>
          <w:rFonts w:hint="eastAsia" w:cs="Times New Roman"/>
          <w:color w:val="FF0000"/>
          <w:kern w:val="2"/>
          <w:sz w:val="24"/>
          <w:szCs w:val="24"/>
          <w:highlight w:val="none"/>
          <w:lang w:val="en-US" w:eastAsia="zh-CN"/>
        </w:rPr>
        <w:t>《</w:t>
      </w:r>
      <w:r>
        <w:rPr>
          <w:rFonts w:hint="default" w:ascii="Times New Roman" w:hAnsi="Times New Roman" w:eastAsia="宋体" w:cs="Times New Roman"/>
          <w:color w:val="FF0000"/>
          <w:kern w:val="2"/>
          <w:sz w:val="24"/>
          <w:szCs w:val="24"/>
          <w:highlight w:val="none"/>
          <w:lang w:val="en-US" w:eastAsia="zh-CN"/>
        </w:rPr>
        <w:t>锅炉大气污染物排放标准</w:t>
      </w:r>
      <w:r>
        <w:rPr>
          <w:rFonts w:hint="eastAsia" w:cs="Times New Roman"/>
          <w:color w:val="FF0000"/>
          <w:kern w:val="2"/>
          <w:sz w:val="24"/>
          <w:szCs w:val="24"/>
          <w:highlight w:val="none"/>
          <w:lang w:val="en-US" w:eastAsia="zh-CN"/>
        </w:rPr>
        <w:t>》</w:t>
      </w:r>
      <w:r>
        <w:rPr>
          <w:rFonts w:hint="default" w:ascii="Times New Roman" w:hAnsi="Times New Roman" w:eastAsia="宋体" w:cs="Times New Roman"/>
          <w:color w:val="FF0000"/>
          <w:kern w:val="2"/>
          <w:sz w:val="24"/>
          <w:szCs w:val="24"/>
          <w:highlight w:val="none"/>
          <w:lang w:val="en-US" w:eastAsia="zh-CN"/>
        </w:rPr>
        <w:t>（DB32/4385-2022）编制说明</w:t>
      </w:r>
      <w:r>
        <w:rPr>
          <w:rFonts w:hint="eastAsia" w:cs="Times New Roman"/>
          <w:color w:val="FF0000"/>
          <w:kern w:val="2"/>
          <w:sz w:val="24"/>
          <w:szCs w:val="24"/>
          <w:highlight w:val="none"/>
          <w:lang w:val="en-US" w:eastAsia="zh-CN"/>
        </w:rPr>
        <w:t>中对非常规污染物汞排放现状调查</w:t>
      </w:r>
      <w:r>
        <w:rPr>
          <w:rFonts w:hint="default" w:ascii="Times New Roman" w:hAnsi="Times New Roman" w:eastAsia="宋体" w:cs="Times New Roman"/>
          <w:color w:val="FF0000"/>
          <w:kern w:val="2"/>
          <w:sz w:val="24"/>
          <w:szCs w:val="24"/>
          <w:highlight w:val="none"/>
          <w:lang w:val="en-US" w:eastAsia="zh-CN"/>
        </w:rPr>
        <w:t>，</w:t>
      </w:r>
      <w:r>
        <w:rPr>
          <w:rFonts w:hint="default" w:ascii="Times New Roman" w:hAnsi="Times New Roman" w:eastAsia="宋体" w:cs="Times New Roman"/>
          <w:color w:val="FF0000"/>
          <w:kern w:val="0"/>
          <w:sz w:val="24"/>
          <w:szCs w:val="24"/>
          <w:highlight w:val="none"/>
          <w:lang w:val="en-US" w:eastAsia="zh-CN" w:bidi="ar"/>
        </w:rPr>
        <w:t>根</w:t>
      </w:r>
      <w:r>
        <w:rPr>
          <w:rFonts w:hint="default" w:ascii="Times New Roman" w:hAnsi="Times New Roman" w:eastAsia="宋体" w:cs="Times New Roman"/>
          <w:color w:val="FF0000"/>
          <w:kern w:val="2"/>
          <w:sz w:val="24"/>
          <w:szCs w:val="24"/>
          <w:highlight w:val="none"/>
          <w:lang w:val="en-US" w:eastAsia="zh-CN"/>
        </w:rPr>
        <w:t>据省内燃煤锅炉超低排放验收监测数据，汞及其化合物浓度2.2×10</w:t>
      </w:r>
      <w:r>
        <w:rPr>
          <w:rFonts w:hint="default" w:ascii="Times New Roman" w:hAnsi="Times New Roman" w:eastAsia="宋体" w:cs="Times New Roman"/>
          <w:color w:val="FF0000"/>
          <w:kern w:val="2"/>
          <w:sz w:val="24"/>
          <w:szCs w:val="24"/>
          <w:highlight w:val="none"/>
          <w:vertAlign w:val="superscript"/>
          <w:lang w:val="en-US" w:eastAsia="zh-CN"/>
        </w:rPr>
        <w:t>-5</w:t>
      </w:r>
      <w:r>
        <w:rPr>
          <w:rFonts w:hint="default" w:ascii="Times New Roman" w:hAnsi="Times New Roman" w:eastAsia="宋体" w:cs="Times New Roman"/>
          <w:color w:val="FF0000"/>
          <w:kern w:val="2"/>
          <w:sz w:val="24"/>
          <w:szCs w:val="24"/>
          <w:highlight w:val="none"/>
          <w:lang w:val="en-US" w:eastAsia="zh-CN"/>
        </w:rPr>
        <w:t>mg/m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～6.2×10</w:t>
      </w:r>
      <w:r>
        <w:rPr>
          <w:rFonts w:hint="default" w:ascii="Times New Roman" w:hAnsi="Times New Roman" w:eastAsia="宋体" w:cs="Times New Roman"/>
          <w:color w:val="FF0000"/>
          <w:kern w:val="2"/>
          <w:sz w:val="24"/>
          <w:szCs w:val="24"/>
          <w:highlight w:val="none"/>
          <w:vertAlign w:val="superscript"/>
          <w:lang w:val="en-US" w:eastAsia="zh-CN"/>
        </w:rPr>
        <w:t>-4</w:t>
      </w:r>
      <w:r>
        <w:rPr>
          <w:rFonts w:hint="default" w:ascii="Times New Roman" w:hAnsi="Times New Roman" w:eastAsia="宋体" w:cs="Times New Roman"/>
          <w:color w:val="FF0000"/>
          <w:kern w:val="2"/>
          <w:sz w:val="24"/>
          <w:szCs w:val="24"/>
          <w:highlight w:val="none"/>
          <w:lang w:val="en-US" w:eastAsia="zh-CN"/>
        </w:rPr>
        <w:t xml:space="preserve"> mg/m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w:t>
      </w:r>
      <w:r>
        <w:rPr>
          <w:rFonts w:hint="eastAsia" w:cs="Times New Roman"/>
          <w:color w:val="FF0000"/>
          <w:kern w:val="2"/>
          <w:sz w:val="24"/>
          <w:szCs w:val="24"/>
          <w:highlight w:val="none"/>
          <w:lang w:val="en-US" w:eastAsia="zh-CN"/>
        </w:rPr>
        <w:t>根据统计的</w:t>
      </w:r>
      <w:r>
        <w:rPr>
          <w:rFonts w:hint="default" w:ascii="Times New Roman" w:hAnsi="Times New Roman" w:eastAsia="宋体" w:cs="Times New Roman"/>
          <w:color w:val="FF0000"/>
          <w:kern w:val="2"/>
          <w:sz w:val="24"/>
          <w:szCs w:val="24"/>
          <w:highlight w:val="none"/>
          <w:lang w:val="en-US" w:eastAsia="zh-CN"/>
        </w:rPr>
        <w:t>部分实测数据也表明，汞及其化合物排放浓度0.09μg/m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～0.62μg/m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，均低于GB13271</w:t>
      </w:r>
      <w:r>
        <w:rPr>
          <w:rFonts w:hint="eastAsia" w:ascii="Times New Roman" w:hAnsi="Times New Roman" w:eastAsia="宋体" w:cs="Times New Roman"/>
          <w:color w:val="FF0000"/>
          <w:kern w:val="2"/>
          <w:sz w:val="24"/>
          <w:szCs w:val="24"/>
          <w:highlight w:val="none"/>
          <w:lang w:val="en-US" w:eastAsia="zh-CN"/>
        </w:rPr>
        <w:t>-</w:t>
      </w:r>
      <w:r>
        <w:rPr>
          <w:rFonts w:hint="default" w:ascii="Times New Roman" w:hAnsi="Times New Roman" w:eastAsia="宋体" w:cs="Times New Roman"/>
          <w:color w:val="FF0000"/>
          <w:kern w:val="2"/>
          <w:sz w:val="24"/>
          <w:szCs w:val="24"/>
          <w:highlight w:val="none"/>
          <w:lang w:val="en-US" w:eastAsia="zh-CN"/>
        </w:rPr>
        <w:t>2014规定的0.05mg/m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，低于</w:t>
      </w:r>
      <w:r>
        <w:rPr>
          <w:rFonts w:hint="eastAsia" w:cs="Times New Roman"/>
          <w:color w:val="FF0000"/>
          <w:kern w:val="2"/>
          <w:sz w:val="24"/>
          <w:szCs w:val="24"/>
          <w:highlight w:val="none"/>
          <w:lang w:val="en-US" w:eastAsia="zh-CN"/>
        </w:rPr>
        <w:t>汞排放标准</w:t>
      </w:r>
      <w:r>
        <w:rPr>
          <w:rFonts w:hint="default" w:ascii="Times New Roman" w:hAnsi="Times New Roman" w:eastAsia="宋体" w:cs="Times New Roman"/>
          <w:color w:val="FF0000"/>
          <w:kern w:val="2"/>
          <w:sz w:val="24"/>
          <w:szCs w:val="24"/>
          <w:highlight w:val="none"/>
          <w:lang w:val="en-US" w:eastAsia="zh-CN"/>
        </w:rPr>
        <w:t>0.03mg/m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w:t>
      </w:r>
    </w:p>
    <w:p w14:paraId="4E18635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FF0000"/>
          <w:kern w:val="2"/>
          <w:sz w:val="24"/>
          <w:szCs w:val="24"/>
          <w:highlight w:val="none"/>
          <w:lang w:val="en-US" w:eastAsia="zh-CN"/>
        </w:rPr>
      </w:pPr>
      <w:r>
        <w:rPr>
          <w:rFonts w:hint="default" w:ascii="Times New Roman" w:hAnsi="Times New Roman" w:eastAsia="宋体" w:cs="Times New Roman"/>
          <w:color w:val="FF0000"/>
          <w:kern w:val="2"/>
          <w:sz w:val="24"/>
          <w:szCs w:val="24"/>
          <w:highlight w:val="none"/>
          <w:lang w:val="en-US" w:eastAsia="zh-CN"/>
        </w:rPr>
        <w:t>根据部分燃生物质锅炉实测数据，汞及其化合物排放浓度0.42μg/m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～15.59μg/m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；根据《生物质成型燃料锅炉挥发性有机物排放特征》等文献报道，燃生物质锅炉Hg的排放浓度与燃料成分有关，但排放水平均远低于0.03mg/m</w:t>
      </w:r>
      <w:r>
        <w:rPr>
          <w:rFonts w:hint="default" w:ascii="Times New Roman" w:hAnsi="Times New Roman" w:eastAsia="宋体" w:cs="Times New Roman"/>
          <w:color w:val="FF0000"/>
          <w:kern w:val="2"/>
          <w:sz w:val="24"/>
          <w:szCs w:val="24"/>
          <w:highlight w:val="none"/>
          <w:vertAlign w:val="superscript"/>
          <w:lang w:val="en-US" w:eastAsia="zh-CN"/>
        </w:rPr>
        <w:t>3</w:t>
      </w:r>
      <w:r>
        <w:rPr>
          <w:rFonts w:hint="default" w:ascii="Times New Roman" w:hAnsi="Times New Roman" w:eastAsia="宋体" w:cs="Times New Roman"/>
          <w:color w:val="FF0000"/>
          <w:kern w:val="2"/>
          <w:sz w:val="24"/>
          <w:szCs w:val="24"/>
          <w:highlight w:val="none"/>
          <w:lang w:val="en-US" w:eastAsia="zh-CN"/>
        </w:rPr>
        <w:t>。</w:t>
      </w:r>
    </w:p>
    <w:p w14:paraId="49C52C3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宋体" w:cs="Times New Roman"/>
          <w:color w:val="FF0000"/>
          <w:kern w:val="2"/>
          <w:sz w:val="24"/>
          <w:szCs w:val="24"/>
          <w:highlight w:val="none"/>
          <w:lang w:val="en-US" w:eastAsia="zh-CN"/>
        </w:rPr>
      </w:pPr>
      <w:r>
        <w:rPr>
          <w:rFonts w:hint="eastAsia" w:ascii="Times New Roman" w:hAnsi="Times New Roman" w:eastAsia="宋体" w:cs="Times New Roman"/>
          <w:color w:val="FF0000"/>
          <w:kern w:val="2"/>
          <w:sz w:val="24"/>
          <w:szCs w:val="24"/>
          <w:highlight w:val="none"/>
          <w:lang w:val="en-US" w:eastAsia="zh-CN"/>
        </w:rPr>
        <w:t>本项目参考编制说明，保守估计汞及其化合物排放浓度</w:t>
      </w:r>
      <w:r>
        <w:rPr>
          <w:rFonts w:hint="eastAsia" w:cs="Times New Roman"/>
          <w:color w:val="FF0000"/>
          <w:kern w:val="2"/>
          <w:sz w:val="24"/>
          <w:szCs w:val="24"/>
          <w:highlight w:val="none"/>
          <w:lang w:val="en-US" w:eastAsia="zh-CN"/>
        </w:rPr>
        <w:t>取</w:t>
      </w:r>
      <w:r>
        <w:rPr>
          <w:rFonts w:hint="eastAsia" w:ascii="Times New Roman" w:hAnsi="Times New Roman" w:eastAsia="宋体" w:cs="Times New Roman"/>
          <w:color w:val="FF0000"/>
          <w:kern w:val="2"/>
          <w:sz w:val="24"/>
          <w:szCs w:val="24"/>
          <w:highlight w:val="none"/>
          <w:lang w:val="en-US" w:eastAsia="zh-CN"/>
        </w:rPr>
        <w:t>16ug/m</w:t>
      </w:r>
      <w:r>
        <w:rPr>
          <w:rFonts w:hint="eastAsia" w:ascii="Times New Roman" w:hAnsi="Times New Roman" w:eastAsia="宋体" w:cs="Times New Roman"/>
          <w:color w:val="FF0000"/>
          <w:kern w:val="2"/>
          <w:sz w:val="24"/>
          <w:szCs w:val="24"/>
          <w:highlight w:val="none"/>
          <w:vertAlign w:val="superscript"/>
          <w:lang w:val="en-US" w:eastAsia="zh-CN"/>
        </w:rPr>
        <w:t>3</w:t>
      </w:r>
      <w:r>
        <w:rPr>
          <w:rFonts w:hint="eastAsia" w:ascii="Times New Roman" w:hAnsi="Times New Roman" w:eastAsia="宋体" w:cs="Times New Roman"/>
          <w:color w:val="FF0000"/>
          <w:kern w:val="2"/>
          <w:sz w:val="24"/>
          <w:szCs w:val="24"/>
          <w:highlight w:val="none"/>
          <w:lang w:val="en-US" w:eastAsia="zh-CN"/>
        </w:rPr>
        <w:t>，</w:t>
      </w:r>
      <w:r>
        <w:rPr>
          <w:rFonts w:hint="eastAsia" w:cs="Times New Roman"/>
          <w:color w:val="FF0000"/>
          <w:kern w:val="2"/>
          <w:sz w:val="24"/>
          <w:szCs w:val="24"/>
          <w:highlight w:val="none"/>
          <w:lang w:val="en-US" w:eastAsia="zh-CN"/>
        </w:rPr>
        <w:t>生物质锅炉风量为7000m</w:t>
      </w:r>
      <w:r>
        <w:rPr>
          <w:rFonts w:hint="eastAsia" w:cs="Times New Roman"/>
          <w:color w:val="FF0000"/>
          <w:kern w:val="2"/>
          <w:sz w:val="24"/>
          <w:szCs w:val="24"/>
          <w:highlight w:val="none"/>
          <w:vertAlign w:val="superscript"/>
          <w:lang w:val="en-US" w:eastAsia="zh-CN"/>
        </w:rPr>
        <w:t>3</w:t>
      </w:r>
      <w:r>
        <w:rPr>
          <w:rFonts w:hint="eastAsia" w:cs="Times New Roman"/>
          <w:color w:val="FF0000"/>
          <w:kern w:val="2"/>
          <w:sz w:val="24"/>
          <w:szCs w:val="24"/>
          <w:highlight w:val="none"/>
          <w:lang w:val="en-US" w:eastAsia="zh-CN"/>
        </w:rPr>
        <w:t>/h，</w:t>
      </w:r>
      <w:r>
        <w:rPr>
          <w:rFonts w:hint="eastAsia" w:ascii="Times New Roman" w:hAnsi="Times New Roman" w:eastAsia="宋体" w:cs="Times New Roman"/>
          <w:color w:val="FF0000"/>
          <w:kern w:val="2"/>
          <w:sz w:val="24"/>
          <w:szCs w:val="24"/>
          <w:highlight w:val="none"/>
          <w:lang w:val="en-US" w:eastAsia="zh-CN"/>
        </w:rPr>
        <w:t>经计算，汞及其化合物</w:t>
      </w:r>
      <w:r>
        <w:rPr>
          <w:rFonts w:hint="eastAsia" w:cs="Times New Roman"/>
          <w:color w:val="FF0000"/>
          <w:kern w:val="2"/>
          <w:sz w:val="24"/>
          <w:szCs w:val="24"/>
          <w:highlight w:val="none"/>
          <w:lang w:val="en-US" w:eastAsia="zh-CN"/>
        </w:rPr>
        <w:t>排放速率为1.12</w:t>
      </w:r>
      <w:r>
        <w:rPr>
          <w:rFonts w:hint="default" w:ascii="Times New Roman" w:hAnsi="Times New Roman" w:eastAsia="宋体" w:cs="Times New Roman"/>
          <w:color w:val="FF0000"/>
          <w:kern w:val="2"/>
          <w:sz w:val="24"/>
          <w:szCs w:val="24"/>
          <w:highlight w:val="none"/>
          <w:lang w:val="en-US" w:eastAsia="zh-CN"/>
        </w:rPr>
        <w:t>×10</w:t>
      </w:r>
      <w:r>
        <w:rPr>
          <w:rFonts w:hint="default" w:ascii="Times New Roman" w:hAnsi="Times New Roman" w:eastAsia="宋体" w:cs="Times New Roman"/>
          <w:color w:val="FF0000"/>
          <w:kern w:val="2"/>
          <w:sz w:val="24"/>
          <w:szCs w:val="24"/>
          <w:highlight w:val="none"/>
          <w:vertAlign w:val="superscript"/>
          <w:lang w:val="en-US" w:eastAsia="zh-CN"/>
        </w:rPr>
        <w:t>-</w:t>
      </w:r>
      <w:r>
        <w:rPr>
          <w:rFonts w:hint="eastAsia" w:ascii="Times New Roman" w:hAnsi="Times New Roman" w:eastAsia="宋体" w:cs="Times New Roman"/>
          <w:color w:val="FF0000"/>
          <w:kern w:val="2"/>
          <w:sz w:val="24"/>
          <w:szCs w:val="24"/>
          <w:highlight w:val="none"/>
          <w:vertAlign w:val="superscript"/>
          <w:lang w:val="en-US" w:eastAsia="zh-CN"/>
        </w:rPr>
        <w:t>4</w:t>
      </w:r>
      <w:r>
        <w:rPr>
          <w:rFonts w:hint="eastAsia" w:cs="Times New Roman"/>
          <w:color w:val="FF0000"/>
          <w:kern w:val="2"/>
          <w:sz w:val="24"/>
          <w:szCs w:val="24"/>
          <w:highlight w:val="none"/>
          <w:lang w:val="en-US" w:eastAsia="zh-CN"/>
        </w:rPr>
        <w:t>kg/h，年工作时间为7200h，排放</w:t>
      </w:r>
      <w:r>
        <w:rPr>
          <w:rFonts w:hint="eastAsia" w:ascii="Times New Roman" w:hAnsi="Times New Roman" w:eastAsia="宋体" w:cs="Times New Roman"/>
          <w:color w:val="FF0000"/>
          <w:kern w:val="2"/>
          <w:sz w:val="24"/>
          <w:szCs w:val="24"/>
          <w:highlight w:val="none"/>
          <w:lang w:val="en-US" w:eastAsia="zh-CN"/>
        </w:rPr>
        <w:t>量为</w:t>
      </w:r>
      <w:r>
        <w:rPr>
          <w:rFonts w:hint="eastAsia" w:cs="Times New Roman"/>
          <w:color w:val="FF0000"/>
          <w:kern w:val="2"/>
          <w:sz w:val="24"/>
          <w:szCs w:val="24"/>
          <w:highlight w:val="none"/>
          <w:lang w:val="en-US" w:eastAsia="zh-CN"/>
        </w:rPr>
        <w:t>0.806</w:t>
      </w:r>
      <w:r>
        <w:rPr>
          <w:rFonts w:hint="eastAsia" w:ascii="Times New Roman" w:hAnsi="Times New Roman" w:eastAsia="宋体" w:cs="Times New Roman"/>
          <w:color w:val="FF0000"/>
          <w:kern w:val="2"/>
          <w:sz w:val="24"/>
          <w:szCs w:val="24"/>
          <w:highlight w:val="none"/>
          <w:lang w:val="en-US" w:eastAsia="zh-CN"/>
        </w:rPr>
        <w:t>kg/a，</w:t>
      </w:r>
      <w:r>
        <w:rPr>
          <w:color w:val="FF0000"/>
          <w:kern w:val="2"/>
          <w:sz w:val="24"/>
          <w:szCs w:val="24"/>
          <w:highlight w:val="none"/>
        </w:rPr>
        <w:t>烟气经</w:t>
      </w:r>
      <w:r>
        <w:rPr>
          <w:rFonts w:hint="eastAsia"/>
          <w:color w:val="FF0000"/>
          <w:kern w:val="2"/>
          <w:sz w:val="24"/>
          <w:szCs w:val="24"/>
          <w:highlight w:val="none"/>
          <w:lang w:val="en-US" w:eastAsia="zh-CN"/>
        </w:rPr>
        <w:t>低氮燃烧+SNC</w:t>
      </w:r>
      <w:r>
        <w:rPr>
          <w:rFonts w:hint="eastAsia" w:ascii="Times New Roman" w:hAnsi="Times New Roman" w:eastAsia="宋体" w:cs="Times New Roman"/>
          <w:color w:val="FF0000"/>
          <w:kern w:val="2"/>
          <w:sz w:val="24"/>
          <w:szCs w:val="24"/>
          <w:highlight w:val="none"/>
          <w:lang w:val="en-US" w:eastAsia="zh-CN"/>
        </w:rPr>
        <w:t>R+石灰喷雾干燥+</w:t>
      </w:r>
      <w:r>
        <w:rPr>
          <w:rFonts w:hint="eastAsia"/>
          <w:color w:val="FF0000"/>
          <w:kern w:val="2"/>
          <w:sz w:val="24"/>
          <w:szCs w:val="24"/>
          <w:highlight w:val="none"/>
          <w:lang w:val="en-US" w:eastAsia="zh-CN"/>
        </w:rPr>
        <w:t>余热回收+旋风除尘+布袋除尘+水幕除尘</w:t>
      </w:r>
      <w:r>
        <w:rPr>
          <w:color w:val="FF0000"/>
          <w:kern w:val="2"/>
          <w:sz w:val="24"/>
          <w:szCs w:val="24"/>
          <w:highlight w:val="none"/>
        </w:rPr>
        <w:t>处理</w:t>
      </w:r>
      <w:r>
        <w:rPr>
          <w:rFonts w:hint="eastAsia"/>
          <w:color w:val="FF0000"/>
          <w:kern w:val="2"/>
          <w:sz w:val="24"/>
          <w:szCs w:val="24"/>
          <w:highlight w:val="none"/>
          <w:lang w:eastAsia="zh-CN"/>
        </w:rPr>
        <w:t>，</w:t>
      </w:r>
      <w:r>
        <w:rPr>
          <w:rFonts w:hint="eastAsia"/>
          <w:color w:val="FF0000"/>
          <w:kern w:val="2"/>
          <w:sz w:val="24"/>
          <w:szCs w:val="24"/>
          <w:highlight w:val="none"/>
          <w:lang w:val="en-US" w:eastAsia="zh-CN"/>
        </w:rPr>
        <w:t>根据编制说明：“工业锅炉烟气脱硝、除尘和脱硫等环保设施对Hg及其化合物具有协同脱除效果，平均脱除效率一般可达70%”，则DA002和DA003</w:t>
      </w:r>
      <w:r>
        <w:rPr>
          <w:rFonts w:hint="eastAsia"/>
          <w:color w:val="FF0000"/>
          <w:kern w:val="2"/>
          <w:sz w:val="24"/>
          <w:szCs w:val="24"/>
          <w:highlight w:val="none"/>
        </w:rPr>
        <w:t>有组织</w:t>
      </w:r>
      <w:r>
        <w:rPr>
          <w:rFonts w:hint="eastAsia" w:ascii="Times New Roman" w:hAnsi="Times New Roman" w:eastAsia="宋体" w:cs="Times New Roman"/>
          <w:color w:val="FF0000"/>
          <w:kern w:val="2"/>
          <w:sz w:val="24"/>
          <w:szCs w:val="24"/>
          <w:highlight w:val="none"/>
          <w:lang w:val="en-US" w:eastAsia="zh-CN"/>
        </w:rPr>
        <w:t>汞及其化合物</w:t>
      </w:r>
      <w:r>
        <w:rPr>
          <w:rFonts w:hint="eastAsia"/>
          <w:color w:val="FF0000"/>
          <w:kern w:val="2"/>
          <w:sz w:val="24"/>
          <w:szCs w:val="24"/>
          <w:highlight w:val="none"/>
          <w:lang w:val="en-US" w:eastAsia="zh-CN"/>
        </w:rPr>
        <w:t>产生</w:t>
      </w:r>
      <w:r>
        <w:rPr>
          <w:rFonts w:hint="eastAsia"/>
          <w:color w:val="FF0000"/>
          <w:kern w:val="2"/>
          <w:sz w:val="24"/>
          <w:szCs w:val="24"/>
          <w:highlight w:val="none"/>
        </w:rPr>
        <w:t>量</w:t>
      </w:r>
      <w:r>
        <w:rPr>
          <w:rFonts w:hint="eastAsia"/>
          <w:color w:val="FF0000"/>
          <w:kern w:val="2"/>
          <w:sz w:val="24"/>
          <w:szCs w:val="24"/>
          <w:highlight w:val="none"/>
          <w:lang w:val="en-US" w:eastAsia="zh-CN"/>
        </w:rPr>
        <w:t>分别均</w:t>
      </w:r>
      <w:r>
        <w:rPr>
          <w:rFonts w:hint="eastAsia"/>
          <w:color w:val="FF0000"/>
          <w:kern w:val="2"/>
          <w:sz w:val="24"/>
          <w:szCs w:val="24"/>
          <w:highlight w:val="none"/>
        </w:rPr>
        <w:t>为</w:t>
      </w:r>
      <w:r>
        <w:rPr>
          <w:rFonts w:hint="eastAsia"/>
          <w:color w:val="FF0000"/>
          <w:kern w:val="2"/>
          <w:sz w:val="24"/>
          <w:szCs w:val="24"/>
          <w:highlight w:val="none"/>
          <w:lang w:val="en-US" w:eastAsia="zh-CN"/>
        </w:rPr>
        <w:t>2.687kg</w:t>
      </w:r>
      <w:r>
        <w:rPr>
          <w:rFonts w:hint="eastAsia"/>
          <w:color w:val="FF0000"/>
          <w:kern w:val="2"/>
          <w:sz w:val="24"/>
          <w:szCs w:val="24"/>
          <w:highlight w:val="none"/>
        </w:rPr>
        <w:t>/a</w:t>
      </w:r>
      <w:r>
        <w:rPr>
          <w:rFonts w:hint="eastAsia"/>
          <w:color w:val="FF0000"/>
          <w:kern w:val="2"/>
          <w:sz w:val="24"/>
          <w:szCs w:val="24"/>
          <w:highlight w:val="none"/>
          <w:lang w:eastAsia="zh-CN"/>
        </w:rPr>
        <w:t>。</w:t>
      </w:r>
    </w:p>
    <w:p w14:paraId="383D945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color w:val="auto"/>
          <w:kern w:val="2"/>
          <w:sz w:val="24"/>
          <w:szCs w:val="24"/>
          <w:lang w:val="en-US" w:eastAsia="zh-CN"/>
        </w:rPr>
      </w:pPr>
      <w:r>
        <w:rPr>
          <w:rFonts w:hint="eastAsia" w:cs="Times New Roman"/>
          <w:color w:val="auto"/>
          <w:kern w:val="2"/>
          <w:sz w:val="24"/>
          <w:szCs w:val="24"/>
          <w:lang w:val="en-US" w:eastAsia="zh-CN"/>
        </w:rPr>
        <w:t>⑤</w:t>
      </w:r>
      <w:r>
        <w:rPr>
          <w:rFonts w:hint="eastAsia" w:ascii="Times New Roman" w:hAnsi="Times New Roman" w:cs="Times New Roman"/>
          <w:color w:val="auto"/>
          <w:kern w:val="2"/>
          <w:sz w:val="24"/>
          <w:szCs w:val="24"/>
          <w:lang w:val="en-US" w:eastAsia="zh-CN"/>
        </w:rPr>
        <w:t>烟气脱硝过程氨逃逸</w:t>
      </w:r>
    </w:p>
    <w:p w14:paraId="6A8148B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本项目烟气脱硝过程中有极少量的氨逃逸，本项目烟气脱硝SNCR装置设计的烟气出口氨逃逸浓度参照《工业锅炉污染防治可行技术指南》（报批稿</w:t>
      </w:r>
      <w:r>
        <w:rPr>
          <w:rFonts w:hint="default" w:ascii="Times New Roman" w:hAnsi="Times New Roman" w:eastAsia="宋体" w:cs="Times New Roman"/>
          <w:color w:val="auto"/>
          <w:kern w:val="2"/>
          <w:sz w:val="24"/>
          <w:szCs w:val="24"/>
          <w:lang w:val="en-US" w:eastAsia="zh-CN"/>
        </w:rPr>
        <w:t>）准规定≤3ppm</w:t>
      </w:r>
      <w:r>
        <w:rPr>
          <w:rFonts w:hint="eastAsia" w:ascii="Times New Roman" w:hAnsi="Times New Roman" w:eastAsia="宋体" w:cs="Times New Roman"/>
          <w:color w:val="auto"/>
          <w:kern w:val="2"/>
          <w:sz w:val="24"/>
          <w:szCs w:val="24"/>
          <w:lang w:val="en-US" w:eastAsia="zh-CN"/>
        </w:rPr>
        <w:t>。脱硝过程中氨逃逸量较少，厂界周边50m内无敏感点，对周边环境影响较小，不定量分析。</w:t>
      </w:r>
    </w:p>
    <w:p w14:paraId="7159772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⑥危废仓库废气</w:t>
      </w:r>
    </w:p>
    <w:p w14:paraId="4C27D01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项目产生的危废主要为废包装材料、废导热油、废布料和废炉渣等，采用密闭的桶或双层内膜吨袋收集存放；</w:t>
      </w:r>
    </w:p>
    <w:p w14:paraId="1DD23E6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本项目危废仓库VOC产生量参照美国环保局网站AP-42空气排放因子汇编，即“废物处置-工业固废处置-储存-容器逃逸排放”工序非甲烷总烃产生系数2.22×102磅/1000个55加仑容器•年，折算为非甲烷总烃排放系数为100.7kg/200t固废•年，即0.5035kg/t固废•年。</w:t>
      </w:r>
    </w:p>
    <w:p w14:paraId="24F9313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本项目建成后危废仓库中易产生有机废气的危废为废包装材料，存储含有机危废正常存储量约0.15t，则危废仓库非甲烷总烃产生量为0.075kg/a，本危废库不属于GB 18597-2023中贮存易产生粉尘、VOCs、酸雾、有毒有害大气污染物和刺激性气味气体的危险废物贮存库，且危废沾染和挥发产生有机废气量极少，可忽略不计，无需设置气体收集装置和气体净化设施。</w:t>
      </w:r>
    </w:p>
    <w:p w14:paraId="321DAF8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正常工况下，本项目废气污染源强见表2-4。</w:t>
      </w:r>
    </w:p>
    <w:p w14:paraId="2896790F">
      <w:pPr>
        <w:pStyle w:val="156"/>
        <w:rPr>
          <w:rFonts w:ascii="Times New Roman" w:eastAsia="宋体"/>
          <w:bCs/>
          <w:color w:val="auto"/>
          <w:kern w:val="2"/>
          <w:sz w:val="24"/>
          <w:szCs w:val="24"/>
        </w:rPr>
        <w:sectPr>
          <w:headerReference r:id="rId5" w:type="default"/>
          <w:footerReference r:id="rId6" w:type="default"/>
          <w:pgSz w:w="11907" w:h="16839"/>
          <w:pgMar w:top="1440" w:right="1800" w:bottom="1440" w:left="1800" w:header="1134" w:footer="992" w:gutter="0"/>
          <w:pgBorders>
            <w:top w:val="none" w:sz="0" w:space="0"/>
            <w:left w:val="none" w:sz="0" w:space="0"/>
            <w:bottom w:val="none" w:sz="0" w:space="0"/>
            <w:right w:val="none" w:sz="0" w:space="0"/>
          </w:pgBorders>
          <w:pgNumType w:start="1"/>
          <w:cols w:space="720" w:num="1"/>
          <w:docGrid w:linePitch="312" w:charSpace="0"/>
        </w:sectPr>
      </w:pPr>
    </w:p>
    <w:p w14:paraId="27D43A4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kern w:val="2"/>
          <w:sz w:val="24"/>
          <w:szCs w:val="24"/>
          <w:lang w:val="en-US" w:eastAsia="zh-CN"/>
        </w:rPr>
      </w:pPr>
      <w:r>
        <w:rPr>
          <w:rFonts w:hint="eastAsia" w:ascii="Times New Roman" w:hAnsi="Times New Roman" w:eastAsia="宋体" w:cs="Times New Roman"/>
          <w:b/>
          <w:bCs/>
          <w:color w:val="auto"/>
          <w:kern w:val="2"/>
          <w:sz w:val="24"/>
          <w:szCs w:val="24"/>
          <w:lang w:val="en-US" w:eastAsia="zh-CN"/>
        </w:rPr>
        <w:t>表2-4</w:t>
      </w:r>
      <w:r>
        <w:rPr>
          <w:rFonts w:hint="eastAsia" w:cs="Times New Roman"/>
          <w:b/>
          <w:bCs/>
          <w:color w:val="auto"/>
          <w:kern w:val="2"/>
          <w:sz w:val="24"/>
          <w:szCs w:val="24"/>
          <w:lang w:val="en-US" w:eastAsia="zh-CN"/>
        </w:rPr>
        <w:t>（1）</w:t>
      </w:r>
      <w:r>
        <w:rPr>
          <w:rFonts w:hint="eastAsia" w:ascii="Times New Roman" w:hAnsi="Times New Roman" w:eastAsia="宋体" w:cs="Times New Roman"/>
          <w:b/>
          <w:bCs/>
          <w:color w:val="auto"/>
          <w:kern w:val="2"/>
          <w:sz w:val="24"/>
          <w:szCs w:val="24"/>
          <w:lang w:val="en-US" w:eastAsia="zh-CN"/>
        </w:rPr>
        <w:t xml:space="preserve">  本项目有组织废气产生及排放情况</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0" w:type="dxa"/>
          <w:bottom w:w="0" w:type="dxa"/>
          <w:right w:w="0" w:type="dxa"/>
        </w:tblCellMar>
      </w:tblPr>
      <w:tblGrid>
        <w:gridCol w:w="321"/>
        <w:gridCol w:w="573"/>
        <w:gridCol w:w="543"/>
        <w:gridCol w:w="629"/>
        <w:gridCol w:w="241"/>
        <w:gridCol w:w="326"/>
        <w:gridCol w:w="581"/>
        <w:gridCol w:w="581"/>
        <w:gridCol w:w="921"/>
        <w:gridCol w:w="439"/>
        <w:gridCol w:w="804"/>
        <w:gridCol w:w="504"/>
        <w:gridCol w:w="439"/>
        <w:gridCol w:w="489"/>
        <w:gridCol w:w="629"/>
        <w:gridCol w:w="556"/>
        <w:gridCol w:w="301"/>
        <w:gridCol w:w="343"/>
        <w:gridCol w:w="349"/>
        <w:gridCol w:w="529"/>
        <w:gridCol w:w="653"/>
        <w:gridCol w:w="720"/>
        <w:gridCol w:w="603"/>
        <w:gridCol w:w="356"/>
        <w:gridCol w:w="717"/>
        <w:gridCol w:w="230"/>
        <w:gridCol w:w="309"/>
        <w:gridCol w:w="205"/>
        <w:gridCol w:w="67"/>
      </w:tblGrid>
      <w:tr w14:paraId="20DEE47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4" w:type="pct"/>
          <w:cantSplit/>
          <w:trHeight w:val="340" w:hRule="atLeast"/>
          <w:jc w:val="center"/>
        </w:trPr>
        <w:tc>
          <w:tcPr>
            <w:tcW w:w="114" w:type="pct"/>
            <w:vMerge w:val="restart"/>
            <w:noWrap w:val="0"/>
            <w:vAlign w:val="center"/>
          </w:tcPr>
          <w:p w14:paraId="13B62E4B">
            <w:pPr>
              <w:widowControl/>
              <w:adjustRightInd w:val="0"/>
              <w:snapToGrid w:val="0"/>
              <w:jc w:val="center"/>
              <w:textAlignment w:val="center"/>
              <w:rPr>
                <w:b/>
                <w:bCs/>
                <w:sz w:val="21"/>
                <w:szCs w:val="21"/>
              </w:rPr>
            </w:pPr>
            <w:r>
              <w:rPr>
                <w:b/>
                <w:bCs/>
                <w:sz w:val="21"/>
                <w:szCs w:val="21"/>
              </w:rPr>
              <w:t>产排污环节</w:t>
            </w:r>
          </w:p>
        </w:tc>
        <w:tc>
          <w:tcPr>
            <w:tcW w:w="205" w:type="pct"/>
            <w:vMerge w:val="restart"/>
            <w:noWrap w:val="0"/>
            <w:tcMar>
              <w:left w:w="0" w:type="dxa"/>
              <w:right w:w="0" w:type="dxa"/>
            </w:tcMar>
            <w:vAlign w:val="center"/>
          </w:tcPr>
          <w:p w14:paraId="4F2AC310">
            <w:pPr>
              <w:widowControl/>
              <w:adjustRightInd w:val="0"/>
              <w:snapToGrid w:val="0"/>
              <w:jc w:val="center"/>
              <w:textAlignment w:val="center"/>
              <w:rPr>
                <w:b/>
                <w:bCs/>
                <w:sz w:val="21"/>
                <w:szCs w:val="21"/>
              </w:rPr>
            </w:pPr>
            <w:r>
              <w:rPr>
                <w:b/>
                <w:bCs/>
                <w:sz w:val="21"/>
                <w:szCs w:val="21"/>
              </w:rPr>
              <w:t>污染物种类</w:t>
            </w:r>
          </w:p>
        </w:tc>
        <w:tc>
          <w:tcPr>
            <w:tcW w:w="419" w:type="pct"/>
            <w:gridSpan w:val="2"/>
            <w:noWrap w:val="0"/>
            <w:tcMar>
              <w:left w:w="0" w:type="dxa"/>
              <w:right w:w="0" w:type="dxa"/>
            </w:tcMar>
            <w:vAlign w:val="center"/>
          </w:tcPr>
          <w:p w14:paraId="00C6250D">
            <w:pPr>
              <w:widowControl/>
              <w:adjustRightInd w:val="0"/>
              <w:snapToGrid w:val="0"/>
              <w:jc w:val="center"/>
              <w:textAlignment w:val="center"/>
              <w:rPr>
                <w:b/>
                <w:bCs/>
                <w:sz w:val="21"/>
                <w:szCs w:val="21"/>
              </w:rPr>
            </w:pPr>
            <w:r>
              <w:rPr>
                <w:rFonts w:hint="eastAsia"/>
                <w:b/>
                <w:bCs/>
                <w:sz w:val="21"/>
                <w:szCs w:val="21"/>
              </w:rPr>
              <w:t>产生状况</w:t>
            </w:r>
          </w:p>
        </w:tc>
        <w:tc>
          <w:tcPr>
            <w:tcW w:w="86" w:type="pct"/>
            <w:vMerge w:val="restart"/>
            <w:noWrap w:val="0"/>
            <w:tcMar>
              <w:left w:w="0" w:type="dxa"/>
              <w:right w:w="0" w:type="dxa"/>
            </w:tcMar>
            <w:vAlign w:val="center"/>
          </w:tcPr>
          <w:p w14:paraId="3E229D51">
            <w:pPr>
              <w:widowControl/>
              <w:adjustRightInd w:val="0"/>
              <w:snapToGrid w:val="0"/>
              <w:jc w:val="center"/>
              <w:textAlignment w:val="center"/>
              <w:rPr>
                <w:b/>
                <w:bCs/>
                <w:sz w:val="21"/>
                <w:szCs w:val="21"/>
              </w:rPr>
            </w:pPr>
            <w:r>
              <w:rPr>
                <w:rFonts w:hint="eastAsia"/>
                <w:b/>
                <w:bCs/>
                <w:sz w:val="21"/>
                <w:szCs w:val="21"/>
              </w:rPr>
              <w:t>收集措施</w:t>
            </w:r>
          </w:p>
        </w:tc>
        <w:tc>
          <w:tcPr>
            <w:tcW w:w="116" w:type="pct"/>
            <w:vMerge w:val="restart"/>
            <w:noWrap w:val="0"/>
            <w:tcMar>
              <w:left w:w="0" w:type="dxa"/>
              <w:right w:w="0" w:type="dxa"/>
            </w:tcMar>
            <w:vAlign w:val="center"/>
          </w:tcPr>
          <w:p w14:paraId="4A5F6BED">
            <w:pPr>
              <w:widowControl/>
              <w:adjustRightInd w:val="0"/>
              <w:snapToGrid w:val="0"/>
              <w:jc w:val="center"/>
              <w:textAlignment w:val="center"/>
              <w:rPr>
                <w:b/>
                <w:bCs/>
                <w:sz w:val="21"/>
                <w:szCs w:val="21"/>
              </w:rPr>
            </w:pPr>
            <w:r>
              <w:rPr>
                <w:b/>
                <w:bCs/>
                <w:sz w:val="21"/>
                <w:szCs w:val="21"/>
              </w:rPr>
              <w:t>收集效率%</w:t>
            </w:r>
          </w:p>
        </w:tc>
        <w:tc>
          <w:tcPr>
            <w:tcW w:w="746" w:type="pct"/>
            <w:gridSpan w:val="3"/>
            <w:tcBorders>
              <w:bottom w:val="single" w:color="auto" w:sz="4" w:space="0"/>
            </w:tcBorders>
            <w:noWrap w:val="0"/>
            <w:tcMar>
              <w:left w:w="0" w:type="dxa"/>
              <w:right w:w="0" w:type="dxa"/>
            </w:tcMar>
            <w:vAlign w:val="center"/>
          </w:tcPr>
          <w:p w14:paraId="423786C3">
            <w:pPr>
              <w:widowControl/>
              <w:adjustRightInd w:val="0"/>
              <w:snapToGrid w:val="0"/>
              <w:jc w:val="center"/>
              <w:textAlignment w:val="center"/>
              <w:rPr>
                <w:rFonts w:hint="eastAsia"/>
                <w:b/>
                <w:bCs/>
                <w:sz w:val="21"/>
                <w:szCs w:val="21"/>
              </w:rPr>
            </w:pPr>
            <w:r>
              <w:rPr>
                <w:rFonts w:hint="eastAsia"/>
                <w:b/>
                <w:bCs/>
                <w:sz w:val="21"/>
                <w:szCs w:val="21"/>
              </w:rPr>
              <w:t>有组织</w:t>
            </w:r>
            <w:r>
              <w:rPr>
                <w:b/>
                <w:bCs/>
                <w:sz w:val="21"/>
                <w:szCs w:val="21"/>
              </w:rPr>
              <w:t>产生</w:t>
            </w:r>
            <w:r>
              <w:rPr>
                <w:rFonts w:hint="eastAsia"/>
                <w:b/>
                <w:bCs/>
                <w:sz w:val="21"/>
                <w:szCs w:val="21"/>
              </w:rPr>
              <w:t>情况</w:t>
            </w:r>
          </w:p>
        </w:tc>
        <w:tc>
          <w:tcPr>
            <w:tcW w:w="157" w:type="pct"/>
            <w:vMerge w:val="restart"/>
            <w:tcBorders>
              <w:bottom w:val="nil"/>
            </w:tcBorders>
            <w:noWrap w:val="0"/>
            <w:tcMar>
              <w:left w:w="0" w:type="dxa"/>
              <w:right w:w="0" w:type="dxa"/>
            </w:tcMar>
            <w:vAlign w:val="center"/>
          </w:tcPr>
          <w:p w14:paraId="3A6955F0">
            <w:pPr>
              <w:widowControl/>
              <w:adjustRightInd w:val="0"/>
              <w:snapToGrid w:val="0"/>
              <w:jc w:val="center"/>
              <w:textAlignment w:val="center"/>
              <w:rPr>
                <w:b/>
                <w:bCs/>
                <w:sz w:val="21"/>
                <w:szCs w:val="21"/>
              </w:rPr>
            </w:pPr>
            <w:r>
              <w:rPr>
                <w:b/>
                <w:bCs/>
                <w:sz w:val="21"/>
                <w:szCs w:val="21"/>
              </w:rPr>
              <w:t>排放形式</w:t>
            </w:r>
          </w:p>
        </w:tc>
        <w:tc>
          <w:tcPr>
            <w:tcW w:w="625" w:type="pct"/>
            <w:gridSpan w:val="3"/>
            <w:noWrap w:val="0"/>
            <w:tcMar>
              <w:left w:w="0" w:type="dxa"/>
              <w:right w:w="0" w:type="dxa"/>
            </w:tcMar>
            <w:vAlign w:val="center"/>
          </w:tcPr>
          <w:p w14:paraId="7A6D7DAA">
            <w:pPr>
              <w:widowControl/>
              <w:adjustRightInd w:val="0"/>
              <w:snapToGrid w:val="0"/>
              <w:jc w:val="center"/>
              <w:textAlignment w:val="center"/>
              <w:rPr>
                <w:b/>
                <w:bCs/>
                <w:sz w:val="21"/>
                <w:szCs w:val="21"/>
              </w:rPr>
            </w:pPr>
            <w:r>
              <w:rPr>
                <w:b/>
                <w:bCs/>
                <w:sz w:val="21"/>
                <w:szCs w:val="21"/>
              </w:rPr>
              <w:t>治理设施</w:t>
            </w:r>
          </w:p>
        </w:tc>
        <w:tc>
          <w:tcPr>
            <w:tcW w:w="599" w:type="pct"/>
            <w:gridSpan w:val="3"/>
            <w:noWrap w:val="0"/>
            <w:tcMar>
              <w:left w:w="0" w:type="dxa"/>
              <w:right w:w="0" w:type="dxa"/>
            </w:tcMar>
            <w:vAlign w:val="center"/>
          </w:tcPr>
          <w:p w14:paraId="4E2B450E">
            <w:pPr>
              <w:widowControl/>
              <w:adjustRightInd w:val="0"/>
              <w:snapToGrid w:val="0"/>
              <w:jc w:val="center"/>
              <w:textAlignment w:val="center"/>
              <w:rPr>
                <w:b/>
                <w:bCs/>
                <w:sz w:val="21"/>
                <w:szCs w:val="21"/>
              </w:rPr>
            </w:pPr>
            <w:r>
              <w:rPr>
                <w:b/>
                <w:bCs/>
                <w:sz w:val="21"/>
                <w:szCs w:val="21"/>
              </w:rPr>
              <w:t>排放情况</w:t>
            </w:r>
          </w:p>
        </w:tc>
        <w:tc>
          <w:tcPr>
            <w:tcW w:w="1037" w:type="pct"/>
            <w:gridSpan w:val="6"/>
            <w:noWrap w:val="0"/>
            <w:tcMar>
              <w:left w:w="0" w:type="dxa"/>
              <w:right w:w="0" w:type="dxa"/>
            </w:tcMar>
            <w:vAlign w:val="center"/>
          </w:tcPr>
          <w:p w14:paraId="543BF1B0">
            <w:pPr>
              <w:widowControl/>
              <w:adjustRightInd w:val="0"/>
              <w:snapToGrid w:val="0"/>
              <w:jc w:val="center"/>
              <w:textAlignment w:val="center"/>
              <w:rPr>
                <w:b/>
                <w:bCs/>
                <w:sz w:val="21"/>
                <w:szCs w:val="21"/>
              </w:rPr>
            </w:pPr>
            <w:r>
              <w:rPr>
                <w:b/>
                <w:bCs/>
                <w:sz w:val="21"/>
                <w:szCs w:val="21"/>
              </w:rPr>
              <w:t>排放口基本情况</w:t>
            </w:r>
          </w:p>
        </w:tc>
        <w:tc>
          <w:tcPr>
            <w:tcW w:w="343" w:type="pct"/>
            <w:gridSpan w:val="2"/>
            <w:noWrap w:val="0"/>
            <w:tcMar>
              <w:left w:w="0" w:type="dxa"/>
              <w:right w:w="0" w:type="dxa"/>
            </w:tcMar>
            <w:vAlign w:val="center"/>
          </w:tcPr>
          <w:p w14:paraId="7B3B49BB">
            <w:pPr>
              <w:widowControl/>
              <w:adjustRightInd w:val="0"/>
              <w:snapToGrid w:val="0"/>
              <w:jc w:val="center"/>
              <w:textAlignment w:val="center"/>
              <w:rPr>
                <w:b/>
                <w:bCs/>
                <w:sz w:val="21"/>
                <w:szCs w:val="21"/>
              </w:rPr>
            </w:pPr>
            <w:r>
              <w:rPr>
                <w:b/>
                <w:bCs/>
                <w:sz w:val="21"/>
                <w:szCs w:val="21"/>
              </w:rPr>
              <w:t>排放标准</w:t>
            </w:r>
          </w:p>
        </w:tc>
        <w:tc>
          <w:tcPr>
            <w:tcW w:w="256" w:type="pct"/>
            <w:vMerge w:val="restart"/>
            <w:noWrap w:val="0"/>
            <w:tcMar>
              <w:left w:w="0" w:type="dxa"/>
              <w:right w:w="0" w:type="dxa"/>
            </w:tcMar>
            <w:vAlign w:val="center"/>
          </w:tcPr>
          <w:p w14:paraId="335A0FA9">
            <w:pPr>
              <w:widowControl/>
              <w:adjustRightInd w:val="0"/>
              <w:snapToGrid w:val="0"/>
              <w:jc w:val="center"/>
              <w:textAlignment w:val="center"/>
              <w:rPr>
                <w:b/>
                <w:bCs/>
                <w:sz w:val="21"/>
                <w:szCs w:val="21"/>
              </w:rPr>
            </w:pPr>
            <w:r>
              <w:rPr>
                <w:b/>
                <w:bCs/>
                <w:sz w:val="21"/>
                <w:szCs w:val="21"/>
              </w:rPr>
              <w:t>工作时间h</w:t>
            </w:r>
            <w:r>
              <w:rPr>
                <w:rFonts w:hint="eastAsia"/>
                <w:b/>
                <w:bCs/>
                <w:sz w:val="21"/>
                <w:szCs w:val="21"/>
              </w:rPr>
              <w:t>/a</w:t>
            </w:r>
          </w:p>
        </w:tc>
        <w:tc>
          <w:tcPr>
            <w:tcW w:w="266" w:type="pct"/>
            <w:gridSpan w:val="3"/>
            <w:noWrap w:val="0"/>
            <w:tcMar>
              <w:left w:w="0" w:type="dxa"/>
              <w:right w:w="0" w:type="dxa"/>
            </w:tcMar>
            <w:vAlign w:val="center"/>
          </w:tcPr>
          <w:p w14:paraId="39E143F2">
            <w:pPr>
              <w:widowControl/>
              <w:adjustRightInd w:val="0"/>
              <w:snapToGrid w:val="0"/>
              <w:jc w:val="center"/>
              <w:textAlignment w:val="center"/>
              <w:rPr>
                <w:b/>
                <w:bCs/>
                <w:sz w:val="21"/>
                <w:szCs w:val="21"/>
              </w:rPr>
            </w:pPr>
            <w:r>
              <w:rPr>
                <w:b/>
                <w:bCs/>
                <w:sz w:val="21"/>
                <w:szCs w:val="21"/>
              </w:rPr>
              <w:t>监测要求</w:t>
            </w:r>
          </w:p>
        </w:tc>
      </w:tr>
      <w:tr w14:paraId="5E60F93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4" w:type="pct"/>
          <w:cantSplit/>
          <w:trHeight w:val="705" w:hRule="atLeast"/>
          <w:jc w:val="center"/>
        </w:trPr>
        <w:tc>
          <w:tcPr>
            <w:tcW w:w="114" w:type="pct"/>
            <w:vMerge w:val="continue"/>
            <w:tcBorders>
              <w:bottom w:val="single" w:color="auto" w:sz="12" w:space="0"/>
            </w:tcBorders>
            <w:noWrap w:val="0"/>
            <w:vAlign w:val="center"/>
          </w:tcPr>
          <w:p w14:paraId="3CC25F04">
            <w:pPr>
              <w:widowControl/>
              <w:adjustRightInd w:val="0"/>
              <w:snapToGrid w:val="0"/>
              <w:jc w:val="center"/>
              <w:textAlignment w:val="center"/>
              <w:rPr>
                <w:b/>
                <w:bCs/>
                <w:sz w:val="21"/>
                <w:szCs w:val="21"/>
              </w:rPr>
            </w:pPr>
          </w:p>
        </w:tc>
        <w:tc>
          <w:tcPr>
            <w:tcW w:w="205" w:type="pct"/>
            <w:vMerge w:val="continue"/>
            <w:tcBorders>
              <w:bottom w:val="single" w:color="auto" w:sz="12" w:space="0"/>
            </w:tcBorders>
            <w:noWrap w:val="0"/>
            <w:tcMar>
              <w:left w:w="0" w:type="dxa"/>
              <w:right w:w="0" w:type="dxa"/>
            </w:tcMar>
            <w:vAlign w:val="center"/>
          </w:tcPr>
          <w:p w14:paraId="1784CB5C">
            <w:pPr>
              <w:widowControl/>
              <w:adjustRightInd w:val="0"/>
              <w:snapToGrid w:val="0"/>
              <w:jc w:val="center"/>
              <w:textAlignment w:val="center"/>
              <w:rPr>
                <w:b/>
                <w:bCs/>
                <w:sz w:val="21"/>
                <w:szCs w:val="21"/>
              </w:rPr>
            </w:pPr>
          </w:p>
        </w:tc>
        <w:tc>
          <w:tcPr>
            <w:tcW w:w="194" w:type="pct"/>
            <w:tcBorders>
              <w:bottom w:val="single" w:color="auto" w:sz="12" w:space="0"/>
            </w:tcBorders>
            <w:noWrap w:val="0"/>
            <w:tcMar>
              <w:left w:w="0" w:type="dxa"/>
              <w:right w:w="0" w:type="dxa"/>
            </w:tcMar>
            <w:vAlign w:val="center"/>
          </w:tcPr>
          <w:p w14:paraId="36F9C060">
            <w:pPr>
              <w:widowControl/>
              <w:adjustRightInd w:val="0"/>
              <w:snapToGrid w:val="0"/>
              <w:jc w:val="center"/>
              <w:textAlignment w:val="center"/>
              <w:rPr>
                <w:b/>
                <w:bCs/>
                <w:sz w:val="21"/>
                <w:szCs w:val="21"/>
              </w:rPr>
            </w:pPr>
            <w:r>
              <w:rPr>
                <w:b/>
                <w:bCs/>
                <w:sz w:val="21"/>
                <w:szCs w:val="21"/>
              </w:rPr>
              <w:t>速率</w:t>
            </w:r>
          </w:p>
          <w:p w14:paraId="5E91DEFB">
            <w:pPr>
              <w:widowControl/>
              <w:adjustRightInd w:val="0"/>
              <w:snapToGrid w:val="0"/>
              <w:jc w:val="center"/>
              <w:textAlignment w:val="center"/>
              <w:rPr>
                <w:b/>
                <w:bCs/>
                <w:sz w:val="21"/>
                <w:szCs w:val="21"/>
              </w:rPr>
            </w:pPr>
            <w:r>
              <w:rPr>
                <w:b/>
                <w:bCs/>
                <w:sz w:val="21"/>
                <w:szCs w:val="21"/>
              </w:rPr>
              <w:t>kg/h</w:t>
            </w:r>
          </w:p>
        </w:tc>
        <w:tc>
          <w:tcPr>
            <w:tcW w:w="225" w:type="pct"/>
            <w:tcBorders>
              <w:bottom w:val="single" w:color="auto" w:sz="12" w:space="0"/>
            </w:tcBorders>
            <w:noWrap w:val="0"/>
            <w:tcMar>
              <w:left w:w="0" w:type="dxa"/>
              <w:right w:w="0" w:type="dxa"/>
            </w:tcMar>
            <w:vAlign w:val="center"/>
          </w:tcPr>
          <w:p w14:paraId="426B5381">
            <w:pPr>
              <w:widowControl/>
              <w:adjustRightInd w:val="0"/>
              <w:snapToGrid w:val="0"/>
              <w:jc w:val="center"/>
              <w:textAlignment w:val="center"/>
              <w:rPr>
                <w:b/>
                <w:bCs/>
                <w:sz w:val="21"/>
                <w:szCs w:val="21"/>
              </w:rPr>
            </w:pPr>
            <w:r>
              <w:rPr>
                <w:b/>
                <w:bCs/>
                <w:sz w:val="21"/>
                <w:szCs w:val="21"/>
              </w:rPr>
              <w:t>产生量</w:t>
            </w:r>
          </w:p>
          <w:p w14:paraId="120E86BC">
            <w:pPr>
              <w:widowControl/>
              <w:adjustRightInd w:val="0"/>
              <w:snapToGrid w:val="0"/>
              <w:jc w:val="center"/>
              <w:textAlignment w:val="center"/>
              <w:rPr>
                <w:b/>
                <w:bCs/>
                <w:sz w:val="21"/>
                <w:szCs w:val="21"/>
              </w:rPr>
            </w:pPr>
            <w:r>
              <w:rPr>
                <w:b/>
                <w:bCs/>
                <w:sz w:val="21"/>
                <w:szCs w:val="21"/>
              </w:rPr>
              <w:t>t/a</w:t>
            </w:r>
          </w:p>
        </w:tc>
        <w:tc>
          <w:tcPr>
            <w:tcW w:w="86" w:type="pct"/>
            <w:vMerge w:val="continue"/>
            <w:tcBorders>
              <w:bottom w:val="single" w:color="auto" w:sz="12" w:space="0"/>
            </w:tcBorders>
            <w:noWrap w:val="0"/>
            <w:tcMar>
              <w:left w:w="0" w:type="dxa"/>
              <w:right w:w="0" w:type="dxa"/>
            </w:tcMar>
            <w:vAlign w:val="center"/>
          </w:tcPr>
          <w:p w14:paraId="71A1B6BF">
            <w:pPr>
              <w:widowControl/>
              <w:adjustRightInd w:val="0"/>
              <w:snapToGrid w:val="0"/>
              <w:jc w:val="center"/>
              <w:textAlignment w:val="center"/>
              <w:rPr>
                <w:b/>
                <w:bCs/>
                <w:sz w:val="21"/>
                <w:szCs w:val="21"/>
              </w:rPr>
            </w:pPr>
          </w:p>
        </w:tc>
        <w:tc>
          <w:tcPr>
            <w:tcW w:w="116" w:type="pct"/>
            <w:vMerge w:val="continue"/>
            <w:tcBorders>
              <w:bottom w:val="single" w:color="auto" w:sz="12" w:space="0"/>
            </w:tcBorders>
            <w:noWrap w:val="0"/>
            <w:tcMar>
              <w:left w:w="0" w:type="dxa"/>
              <w:right w:w="0" w:type="dxa"/>
            </w:tcMar>
            <w:vAlign w:val="center"/>
          </w:tcPr>
          <w:p w14:paraId="542C00CC">
            <w:pPr>
              <w:widowControl/>
              <w:adjustRightInd w:val="0"/>
              <w:snapToGrid w:val="0"/>
              <w:jc w:val="center"/>
              <w:textAlignment w:val="center"/>
              <w:rPr>
                <w:b/>
                <w:bCs/>
                <w:sz w:val="21"/>
                <w:szCs w:val="21"/>
              </w:rPr>
            </w:pPr>
          </w:p>
        </w:tc>
        <w:tc>
          <w:tcPr>
            <w:tcW w:w="208" w:type="pct"/>
            <w:tcBorders>
              <w:top w:val="single" w:color="auto" w:sz="4" w:space="0"/>
              <w:bottom w:val="single" w:color="auto" w:sz="12" w:space="0"/>
            </w:tcBorders>
            <w:noWrap w:val="0"/>
            <w:tcMar>
              <w:left w:w="0" w:type="dxa"/>
              <w:right w:w="0" w:type="dxa"/>
            </w:tcMar>
            <w:vAlign w:val="center"/>
          </w:tcPr>
          <w:p w14:paraId="712CE79D">
            <w:pPr>
              <w:widowControl/>
              <w:adjustRightInd w:val="0"/>
              <w:snapToGrid w:val="0"/>
              <w:jc w:val="center"/>
              <w:textAlignment w:val="center"/>
              <w:rPr>
                <w:b/>
                <w:bCs/>
                <w:sz w:val="21"/>
                <w:szCs w:val="21"/>
              </w:rPr>
            </w:pPr>
            <w:r>
              <w:rPr>
                <w:b/>
                <w:bCs/>
                <w:sz w:val="21"/>
                <w:szCs w:val="21"/>
              </w:rPr>
              <w:t>浓度</w:t>
            </w:r>
          </w:p>
          <w:p w14:paraId="351CE543">
            <w:pPr>
              <w:widowControl/>
              <w:adjustRightInd w:val="0"/>
              <w:snapToGrid w:val="0"/>
              <w:jc w:val="center"/>
              <w:textAlignment w:val="center"/>
              <w:rPr>
                <w:b/>
                <w:bCs/>
                <w:sz w:val="21"/>
                <w:szCs w:val="21"/>
              </w:rPr>
            </w:pPr>
            <w:r>
              <w:rPr>
                <w:b/>
                <w:bCs/>
                <w:sz w:val="21"/>
                <w:szCs w:val="21"/>
              </w:rPr>
              <w:t>mg/ m3</w:t>
            </w:r>
          </w:p>
        </w:tc>
        <w:tc>
          <w:tcPr>
            <w:tcW w:w="208" w:type="pct"/>
            <w:tcBorders>
              <w:top w:val="single" w:color="auto" w:sz="4" w:space="0"/>
              <w:bottom w:val="single" w:color="auto" w:sz="12" w:space="0"/>
            </w:tcBorders>
            <w:noWrap w:val="0"/>
            <w:tcMar>
              <w:left w:w="0" w:type="dxa"/>
              <w:right w:w="0" w:type="dxa"/>
            </w:tcMar>
            <w:vAlign w:val="center"/>
          </w:tcPr>
          <w:p w14:paraId="468C1183">
            <w:pPr>
              <w:widowControl/>
              <w:adjustRightInd w:val="0"/>
              <w:snapToGrid w:val="0"/>
              <w:jc w:val="center"/>
              <w:textAlignment w:val="center"/>
              <w:rPr>
                <w:b/>
                <w:bCs/>
                <w:sz w:val="21"/>
                <w:szCs w:val="21"/>
              </w:rPr>
            </w:pPr>
            <w:r>
              <w:rPr>
                <w:b/>
                <w:bCs/>
                <w:sz w:val="21"/>
                <w:szCs w:val="21"/>
              </w:rPr>
              <w:t>速率</w:t>
            </w:r>
          </w:p>
          <w:p w14:paraId="4AA555A2">
            <w:pPr>
              <w:widowControl/>
              <w:adjustRightInd w:val="0"/>
              <w:snapToGrid w:val="0"/>
              <w:jc w:val="center"/>
              <w:textAlignment w:val="center"/>
              <w:rPr>
                <w:b/>
                <w:bCs/>
                <w:sz w:val="21"/>
                <w:szCs w:val="21"/>
              </w:rPr>
            </w:pPr>
            <w:r>
              <w:rPr>
                <w:b/>
                <w:bCs/>
                <w:sz w:val="21"/>
                <w:szCs w:val="21"/>
              </w:rPr>
              <w:t>kg/h</w:t>
            </w:r>
          </w:p>
        </w:tc>
        <w:tc>
          <w:tcPr>
            <w:tcW w:w="329" w:type="pct"/>
            <w:tcBorders>
              <w:top w:val="single" w:color="auto" w:sz="4" w:space="0"/>
              <w:bottom w:val="single" w:color="auto" w:sz="12" w:space="0"/>
            </w:tcBorders>
            <w:noWrap w:val="0"/>
            <w:tcMar>
              <w:left w:w="0" w:type="dxa"/>
              <w:right w:w="0" w:type="dxa"/>
            </w:tcMar>
            <w:vAlign w:val="center"/>
          </w:tcPr>
          <w:p w14:paraId="7BBCA37E">
            <w:pPr>
              <w:widowControl/>
              <w:adjustRightInd w:val="0"/>
              <w:snapToGrid w:val="0"/>
              <w:jc w:val="center"/>
              <w:textAlignment w:val="center"/>
              <w:rPr>
                <w:b/>
                <w:bCs/>
                <w:sz w:val="21"/>
                <w:szCs w:val="21"/>
              </w:rPr>
            </w:pPr>
            <w:r>
              <w:rPr>
                <w:b/>
                <w:bCs/>
                <w:sz w:val="21"/>
                <w:szCs w:val="21"/>
              </w:rPr>
              <w:t>产生量</w:t>
            </w:r>
          </w:p>
          <w:p w14:paraId="484D9FA9">
            <w:pPr>
              <w:widowControl/>
              <w:adjustRightInd w:val="0"/>
              <w:snapToGrid w:val="0"/>
              <w:jc w:val="center"/>
              <w:textAlignment w:val="center"/>
              <w:rPr>
                <w:b/>
                <w:bCs/>
                <w:sz w:val="21"/>
                <w:szCs w:val="21"/>
              </w:rPr>
            </w:pPr>
            <w:r>
              <w:rPr>
                <w:b/>
                <w:bCs/>
                <w:sz w:val="21"/>
                <w:szCs w:val="21"/>
              </w:rPr>
              <w:t>t/a</w:t>
            </w:r>
          </w:p>
        </w:tc>
        <w:tc>
          <w:tcPr>
            <w:tcW w:w="157" w:type="pct"/>
            <w:vMerge w:val="continue"/>
            <w:tcBorders>
              <w:top w:val="nil"/>
              <w:bottom w:val="single" w:color="auto" w:sz="12" w:space="0"/>
            </w:tcBorders>
            <w:noWrap w:val="0"/>
            <w:tcMar>
              <w:left w:w="0" w:type="dxa"/>
              <w:right w:w="0" w:type="dxa"/>
            </w:tcMar>
            <w:vAlign w:val="center"/>
          </w:tcPr>
          <w:p w14:paraId="254D46E5">
            <w:pPr>
              <w:widowControl/>
              <w:adjustRightInd w:val="0"/>
              <w:snapToGrid w:val="0"/>
              <w:jc w:val="center"/>
              <w:textAlignment w:val="center"/>
              <w:rPr>
                <w:b/>
                <w:bCs/>
                <w:sz w:val="21"/>
                <w:szCs w:val="21"/>
              </w:rPr>
            </w:pPr>
          </w:p>
        </w:tc>
        <w:tc>
          <w:tcPr>
            <w:tcW w:w="288" w:type="pct"/>
            <w:tcBorders>
              <w:bottom w:val="single" w:color="auto" w:sz="12" w:space="0"/>
            </w:tcBorders>
            <w:noWrap w:val="0"/>
            <w:tcMar>
              <w:left w:w="0" w:type="dxa"/>
              <w:right w:w="0" w:type="dxa"/>
            </w:tcMar>
            <w:vAlign w:val="center"/>
          </w:tcPr>
          <w:p w14:paraId="547BE391">
            <w:pPr>
              <w:widowControl/>
              <w:adjustRightInd w:val="0"/>
              <w:snapToGrid w:val="0"/>
              <w:jc w:val="center"/>
              <w:textAlignment w:val="center"/>
              <w:rPr>
                <w:b/>
                <w:bCs/>
                <w:sz w:val="21"/>
                <w:szCs w:val="21"/>
              </w:rPr>
            </w:pPr>
            <w:r>
              <w:rPr>
                <w:b/>
                <w:bCs/>
                <w:sz w:val="21"/>
                <w:szCs w:val="21"/>
              </w:rPr>
              <w:t>处理能力</w:t>
            </w:r>
            <w:r>
              <w:rPr>
                <w:rFonts w:hint="eastAsia"/>
                <w:b/>
                <w:bCs/>
                <w:sz w:val="21"/>
                <w:szCs w:val="21"/>
              </w:rPr>
              <w:t>及风量</w:t>
            </w:r>
          </w:p>
        </w:tc>
        <w:tc>
          <w:tcPr>
            <w:tcW w:w="180" w:type="pct"/>
            <w:tcBorders>
              <w:bottom w:val="single" w:color="auto" w:sz="12" w:space="0"/>
            </w:tcBorders>
            <w:noWrap w:val="0"/>
            <w:tcMar>
              <w:left w:w="0" w:type="dxa"/>
              <w:right w:w="0" w:type="dxa"/>
            </w:tcMar>
            <w:vAlign w:val="center"/>
          </w:tcPr>
          <w:p w14:paraId="52FFD9E5">
            <w:pPr>
              <w:widowControl/>
              <w:adjustRightInd w:val="0"/>
              <w:snapToGrid w:val="0"/>
              <w:jc w:val="center"/>
              <w:textAlignment w:val="center"/>
              <w:rPr>
                <w:b/>
                <w:bCs/>
                <w:sz w:val="21"/>
                <w:szCs w:val="21"/>
              </w:rPr>
            </w:pPr>
            <w:r>
              <w:rPr>
                <w:b/>
                <w:bCs/>
                <w:sz w:val="21"/>
                <w:szCs w:val="21"/>
              </w:rPr>
              <w:t>治理工艺去除率%</w:t>
            </w:r>
          </w:p>
        </w:tc>
        <w:tc>
          <w:tcPr>
            <w:tcW w:w="157" w:type="pct"/>
            <w:tcBorders>
              <w:bottom w:val="single" w:color="auto" w:sz="12" w:space="0"/>
            </w:tcBorders>
            <w:noWrap w:val="0"/>
            <w:tcMar>
              <w:left w:w="0" w:type="dxa"/>
              <w:right w:w="0" w:type="dxa"/>
            </w:tcMar>
            <w:vAlign w:val="center"/>
          </w:tcPr>
          <w:p w14:paraId="426F83F1">
            <w:pPr>
              <w:widowControl/>
              <w:adjustRightInd w:val="0"/>
              <w:snapToGrid w:val="0"/>
              <w:jc w:val="center"/>
              <w:textAlignment w:val="center"/>
              <w:rPr>
                <w:b/>
                <w:bCs/>
                <w:sz w:val="21"/>
                <w:szCs w:val="21"/>
              </w:rPr>
            </w:pPr>
            <w:r>
              <w:rPr>
                <w:b/>
                <w:bCs/>
                <w:sz w:val="21"/>
                <w:szCs w:val="21"/>
              </w:rPr>
              <w:t>是否为可行技术</w:t>
            </w:r>
          </w:p>
        </w:tc>
        <w:tc>
          <w:tcPr>
            <w:tcW w:w="175" w:type="pct"/>
            <w:tcBorders>
              <w:bottom w:val="single" w:color="auto" w:sz="12" w:space="0"/>
            </w:tcBorders>
            <w:noWrap w:val="0"/>
            <w:tcMar>
              <w:left w:w="0" w:type="dxa"/>
              <w:right w:w="0" w:type="dxa"/>
            </w:tcMar>
            <w:vAlign w:val="center"/>
          </w:tcPr>
          <w:p w14:paraId="51C74B7B">
            <w:pPr>
              <w:widowControl/>
              <w:adjustRightInd w:val="0"/>
              <w:snapToGrid w:val="0"/>
              <w:jc w:val="center"/>
              <w:textAlignment w:val="center"/>
              <w:rPr>
                <w:b/>
                <w:bCs/>
                <w:sz w:val="21"/>
                <w:szCs w:val="21"/>
              </w:rPr>
            </w:pPr>
            <w:r>
              <w:rPr>
                <w:b/>
                <w:bCs/>
                <w:sz w:val="21"/>
                <w:szCs w:val="21"/>
              </w:rPr>
              <w:t>浓度</w:t>
            </w:r>
          </w:p>
          <w:p w14:paraId="505BA134">
            <w:pPr>
              <w:widowControl/>
              <w:adjustRightInd w:val="0"/>
              <w:snapToGrid w:val="0"/>
              <w:jc w:val="center"/>
              <w:textAlignment w:val="center"/>
              <w:rPr>
                <w:b/>
                <w:bCs/>
                <w:sz w:val="21"/>
                <w:szCs w:val="21"/>
              </w:rPr>
            </w:pPr>
            <w:r>
              <w:rPr>
                <w:b/>
                <w:bCs/>
                <w:sz w:val="21"/>
                <w:szCs w:val="21"/>
              </w:rPr>
              <w:t>mg/ m</w:t>
            </w:r>
            <w:r>
              <w:rPr>
                <w:b/>
                <w:bCs/>
                <w:sz w:val="21"/>
                <w:szCs w:val="21"/>
                <w:vertAlign w:val="superscript"/>
              </w:rPr>
              <w:t>3</w:t>
            </w:r>
          </w:p>
        </w:tc>
        <w:tc>
          <w:tcPr>
            <w:tcW w:w="225" w:type="pct"/>
            <w:tcBorders>
              <w:bottom w:val="single" w:color="auto" w:sz="12" w:space="0"/>
            </w:tcBorders>
            <w:noWrap w:val="0"/>
            <w:tcMar>
              <w:left w:w="0" w:type="dxa"/>
              <w:right w:w="0" w:type="dxa"/>
            </w:tcMar>
            <w:vAlign w:val="center"/>
          </w:tcPr>
          <w:p w14:paraId="708CD74D">
            <w:pPr>
              <w:widowControl/>
              <w:adjustRightInd w:val="0"/>
              <w:snapToGrid w:val="0"/>
              <w:jc w:val="center"/>
              <w:textAlignment w:val="center"/>
              <w:rPr>
                <w:b/>
                <w:bCs/>
                <w:sz w:val="21"/>
                <w:szCs w:val="21"/>
              </w:rPr>
            </w:pPr>
            <w:r>
              <w:rPr>
                <w:b/>
                <w:bCs/>
                <w:sz w:val="21"/>
                <w:szCs w:val="21"/>
              </w:rPr>
              <w:t>速率</w:t>
            </w:r>
          </w:p>
          <w:p w14:paraId="04ACE1DE">
            <w:pPr>
              <w:widowControl/>
              <w:adjustRightInd w:val="0"/>
              <w:snapToGrid w:val="0"/>
              <w:jc w:val="center"/>
              <w:textAlignment w:val="center"/>
              <w:rPr>
                <w:b/>
                <w:bCs/>
                <w:sz w:val="21"/>
                <w:szCs w:val="21"/>
              </w:rPr>
            </w:pPr>
            <w:r>
              <w:rPr>
                <w:b/>
                <w:bCs/>
                <w:sz w:val="21"/>
                <w:szCs w:val="21"/>
              </w:rPr>
              <w:t>kg/h</w:t>
            </w:r>
          </w:p>
        </w:tc>
        <w:tc>
          <w:tcPr>
            <w:tcW w:w="199" w:type="pct"/>
            <w:tcBorders>
              <w:bottom w:val="single" w:color="auto" w:sz="12" w:space="0"/>
            </w:tcBorders>
            <w:noWrap w:val="0"/>
            <w:tcMar>
              <w:left w:w="0" w:type="dxa"/>
              <w:right w:w="0" w:type="dxa"/>
            </w:tcMar>
            <w:vAlign w:val="center"/>
          </w:tcPr>
          <w:p w14:paraId="5FC6407C">
            <w:pPr>
              <w:widowControl/>
              <w:adjustRightInd w:val="0"/>
              <w:snapToGrid w:val="0"/>
              <w:jc w:val="center"/>
              <w:textAlignment w:val="center"/>
              <w:rPr>
                <w:b/>
                <w:bCs/>
                <w:sz w:val="21"/>
                <w:szCs w:val="21"/>
              </w:rPr>
            </w:pPr>
            <w:r>
              <w:rPr>
                <w:b/>
                <w:bCs/>
                <w:sz w:val="21"/>
                <w:szCs w:val="21"/>
              </w:rPr>
              <w:t>排放量t/a</w:t>
            </w:r>
          </w:p>
        </w:tc>
        <w:tc>
          <w:tcPr>
            <w:tcW w:w="107" w:type="pct"/>
            <w:tcBorders>
              <w:bottom w:val="single" w:color="auto" w:sz="12" w:space="0"/>
            </w:tcBorders>
            <w:noWrap w:val="0"/>
            <w:tcMar>
              <w:left w:w="0" w:type="dxa"/>
              <w:right w:w="0" w:type="dxa"/>
            </w:tcMar>
            <w:vAlign w:val="center"/>
          </w:tcPr>
          <w:p w14:paraId="3EDB87D2">
            <w:pPr>
              <w:widowControl/>
              <w:adjustRightInd w:val="0"/>
              <w:snapToGrid w:val="0"/>
              <w:jc w:val="center"/>
              <w:textAlignment w:val="center"/>
              <w:rPr>
                <w:b/>
                <w:bCs/>
                <w:sz w:val="21"/>
                <w:szCs w:val="21"/>
              </w:rPr>
            </w:pPr>
            <w:r>
              <w:rPr>
                <w:b/>
                <w:bCs/>
                <w:sz w:val="21"/>
                <w:szCs w:val="21"/>
              </w:rPr>
              <w:t>高度m</w:t>
            </w:r>
          </w:p>
        </w:tc>
        <w:tc>
          <w:tcPr>
            <w:tcW w:w="122" w:type="pct"/>
            <w:tcBorders>
              <w:bottom w:val="single" w:color="auto" w:sz="12" w:space="0"/>
            </w:tcBorders>
            <w:noWrap w:val="0"/>
            <w:tcMar>
              <w:left w:w="0" w:type="dxa"/>
              <w:right w:w="0" w:type="dxa"/>
            </w:tcMar>
            <w:vAlign w:val="center"/>
          </w:tcPr>
          <w:p w14:paraId="62FC2B89">
            <w:pPr>
              <w:widowControl/>
              <w:adjustRightInd w:val="0"/>
              <w:snapToGrid w:val="0"/>
              <w:jc w:val="center"/>
              <w:textAlignment w:val="center"/>
              <w:rPr>
                <w:b/>
                <w:bCs/>
                <w:sz w:val="21"/>
                <w:szCs w:val="21"/>
              </w:rPr>
            </w:pPr>
            <w:r>
              <w:rPr>
                <w:b/>
                <w:bCs/>
                <w:sz w:val="21"/>
                <w:szCs w:val="21"/>
              </w:rPr>
              <w:t>排气筒内径m</w:t>
            </w:r>
          </w:p>
        </w:tc>
        <w:tc>
          <w:tcPr>
            <w:tcW w:w="125" w:type="pct"/>
            <w:tcBorders>
              <w:bottom w:val="single" w:color="auto" w:sz="12" w:space="0"/>
            </w:tcBorders>
            <w:noWrap w:val="0"/>
            <w:tcMar>
              <w:left w:w="0" w:type="dxa"/>
              <w:right w:w="0" w:type="dxa"/>
            </w:tcMar>
            <w:vAlign w:val="center"/>
          </w:tcPr>
          <w:p w14:paraId="2DBECC10">
            <w:pPr>
              <w:widowControl/>
              <w:adjustRightInd w:val="0"/>
              <w:snapToGrid w:val="0"/>
              <w:jc w:val="center"/>
              <w:textAlignment w:val="center"/>
              <w:rPr>
                <w:b/>
                <w:bCs/>
                <w:sz w:val="21"/>
                <w:szCs w:val="21"/>
              </w:rPr>
            </w:pPr>
            <w:r>
              <w:rPr>
                <w:b/>
                <w:bCs/>
                <w:sz w:val="21"/>
                <w:szCs w:val="21"/>
              </w:rPr>
              <w:t>温度℃</w:t>
            </w:r>
          </w:p>
        </w:tc>
        <w:tc>
          <w:tcPr>
            <w:tcW w:w="189" w:type="pct"/>
            <w:tcBorders>
              <w:bottom w:val="single" w:color="auto" w:sz="12" w:space="0"/>
            </w:tcBorders>
            <w:noWrap w:val="0"/>
            <w:tcMar>
              <w:left w:w="0" w:type="dxa"/>
              <w:right w:w="0" w:type="dxa"/>
            </w:tcMar>
            <w:vAlign w:val="center"/>
          </w:tcPr>
          <w:p w14:paraId="21C3A02C">
            <w:pPr>
              <w:widowControl/>
              <w:adjustRightInd w:val="0"/>
              <w:snapToGrid w:val="0"/>
              <w:jc w:val="center"/>
              <w:textAlignment w:val="center"/>
              <w:rPr>
                <w:b/>
                <w:bCs/>
                <w:sz w:val="21"/>
                <w:szCs w:val="21"/>
              </w:rPr>
            </w:pPr>
            <w:r>
              <w:rPr>
                <w:b/>
                <w:bCs/>
                <w:sz w:val="21"/>
                <w:szCs w:val="21"/>
              </w:rPr>
              <w:t>编号及名称</w:t>
            </w:r>
          </w:p>
        </w:tc>
        <w:tc>
          <w:tcPr>
            <w:tcW w:w="233" w:type="pct"/>
            <w:tcBorders>
              <w:bottom w:val="single" w:color="auto" w:sz="12" w:space="0"/>
            </w:tcBorders>
            <w:noWrap w:val="0"/>
            <w:tcMar>
              <w:left w:w="0" w:type="dxa"/>
              <w:right w:w="0" w:type="dxa"/>
            </w:tcMar>
            <w:vAlign w:val="center"/>
          </w:tcPr>
          <w:p w14:paraId="53D3EC5F">
            <w:pPr>
              <w:widowControl/>
              <w:adjustRightInd w:val="0"/>
              <w:snapToGrid w:val="0"/>
              <w:jc w:val="center"/>
              <w:textAlignment w:val="center"/>
              <w:rPr>
                <w:b/>
                <w:bCs/>
                <w:sz w:val="21"/>
                <w:szCs w:val="21"/>
              </w:rPr>
            </w:pPr>
            <w:r>
              <w:rPr>
                <w:b/>
                <w:bCs/>
                <w:sz w:val="21"/>
                <w:szCs w:val="21"/>
              </w:rPr>
              <w:t>类型</w:t>
            </w:r>
          </w:p>
        </w:tc>
        <w:tc>
          <w:tcPr>
            <w:tcW w:w="257" w:type="pct"/>
            <w:tcBorders>
              <w:bottom w:val="single" w:color="auto" w:sz="12" w:space="0"/>
            </w:tcBorders>
            <w:noWrap w:val="0"/>
            <w:tcMar>
              <w:left w:w="0" w:type="dxa"/>
              <w:right w:w="0" w:type="dxa"/>
            </w:tcMar>
            <w:vAlign w:val="center"/>
          </w:tcPr>
          <w:p w14:paraId="35EC100E">
            <w:pPr>
              <w:widowControl/>
              <w:adjustRightInd w:val="0"/>
              <w:snapToGrid w:val="0"/>
              <w:jc w:val="center"/>
              <w:textAlignment w:val="center"/>
              <w:rPr>
                <w:b/>
                <w:bCs/>
                <w:sz w:val="21"/>
                <w:szCs w:val="21"/>
              </w:rPr>
            </w:pPr>
            <w:r>
              <w:rPr>
                <w:b/>
                <w:bCs/>
                <w:sz w:val="21"/>
                <w:szCs w:val="21"/>
              </w:rPr>
              <w:t>地理坐标</w:t>
            </w:r>
          </w:p>
        </w:tc>
        <w:tc>
          <w:tcPr>
            <w:tcW w:w="216" w:type="pct"/>
            <w:tcBorders>
              <w:bottom w:val="single" w:color="auto" w:sz="12" w:space="0"/>
            </w:tcBorders>
            <w:noWrap w:val="0"/>
            <w:tcMar>
              <w:left w:w="0" w:type="dxa"/>
              <w:right w:w="0" w:type="dxa"/>
            </w:tcMar>
            <w:vAlign w:val="center"/>
          </w:tcPr>
          <w:p w14:paraId="257D3D3B">
            <w:pPr>
              <w:widowControl/>
              <w:adjustRightInd w:val="0"/>
              <w:snapToGrid w:val="0"/>
              <w:jc w:val="center"/>
              <w:textAlignment w:val="center"/>
              <w:rPr>
                <w:b/>
                <w:bCs/>
                <w:sz w:val="21"/>
                <w:szCs w:val="21"/>
              </w:rPr>
            </w:pPr>
            <w:r>
              <w:rPr>
                <w:b/>
                <w:bCs/>
                <w:sz w:val="21"/>
                <w:szCs w:val="21"/>
              </w:rPr>
              <w:t>浓度</w:t>
            </w:r>
          </w:p>
          <w:p w14:paraId="0BD45C5E">
            <w:pPr>
              <w:widowControl/>
              <w:adjustRightInd w:val="0"/>
              <w:snapToGrid w:val="0"/>
              <w:jc w:val="center"/>
              <w:textAlignment w:val="center"/>
              <w:rPr>
                <w:b/>
                <w:bCs/>
                <w:sz w:val="21"/>
                <w:szCs w:val="21"/>
              </w:rPr>
            </w:pPr>
            <w:r>
              <w:rPr>
                <w:b/>
                <w:bCs/>
                <w:sz w:val="21"/>
                <w:szCs w:val="21"/>
              </w:rPr>
              <w:t>mg/ m3</w:t>
            </w:r>
          </w:p>
        </w:tc>
        <w:tc>
          <w:tcPr>
            <w:tcW w:w="127" w:type="pct"/>
            <w:tcBorders>
              <w:bottom w:val="single" w:color="auto" w:sz="12" w:space="0"/>
            </w:tcBorders>
            <w:noWrap w:val="0"/>
            <w:tcMar>
              <w:left w:w="0" w:type="dxa"/>
              <w:right w:w="0" w:type="dxa"/>
            </w:tcMar>
            <w:vAlign w:val="center"/>
          </w:tcPr>
          <w:p w14:paraId="27FBF1D1">
            <w:pPr>
              <w:widowControl/>
              <w:adjustRightInd w:val="0"/>
              <w:snapToGrid w:val="0"/>
              <w:jc w:val="center"/>
              <w:textAlignment w:val="center"/>
              <w:rPr>
                <w:b/>
                <w:bCs/>
                <w:sz w:val="21"/>
                <w:szCs w:val="21"/>
              </w:rPr>
            </w:pPr>
            <w:r>
              <w:rPr>
                <w:b/>
                <w:bCs/>
                <w:sz w:val="21"/>
                <w:szCs w:val="21"/>
              </w:rPr>
              <w:t>速率</w:t>
            </w:r>
          </w:p>
          <w:p w14:paraId="410586DD">
            <w:pPr>
              <w:widowControl/>
              <w:adjustRightInd w:val="0"/>
              <w:snapToGrid w:val="0"/>
              <w:jc w:val="center"/>
              <w:textAlignment w:val="center"/>
              <w:rPr>
                <w:b/>
                <w:bCs/>
                <w:sz w:val="21"/>
                <w:szCs w:val="21"/>
              </w:rPr>
            </w:pPr>
            <w:r>
              <w:rPr>
                <w:b/>
                <w:bCs/>
                <w:sz w:val="21"/>
                <w:szCs w:val="21"/>
              </w:rPr>
              <w:t>kg/h</w:t>
            </w:r>
          </w:p>
        </w:tc>
        <w:tc>
          <w:tcPr>
            <w:tcW w:w="256" w:type="pct"/>
            <w:vMerge w:val="continue"/>
            <w:tcBorders>
              <w:bottom w:val="single" w:color="auto" w:sz="12" w:space="0"/>
            </w:tcBorders>
            <w:noWrap w:val="0"/>
            <w:tcMar>
              <w:left w:w="0" w:type="dxa"/>
              <w:right w:w="0" w:type="dxa"/>
            </w:tcMar>
            <w:vAlign w:val="center"/>
          </w:tcPr>
          <w:p w14:paraId="1859DB60">
            <w:pPr>
              <w:widowControl/>
              <w:adjustRightInd w:val="0"/>
              <w:snapToGrid w:val="0"/>
              <w:jc w:val="center"/>
              <w:textAlignment w:val="center"/>
              <w:rPr>
                <w:b/>
                <w:bCs/>
                <w:sz w:val="21"/>
                <w:szCs w:val="21"/>
              </w:rPr>
            </w:pPr>
          </w:p>
        </w:tc>
        <w:tc>
          <w:tcPr>
            <w:tcW w:w="82" w:type="pct"/>
            <w:tcBorders>
              <w:bottom w:val="single" w:color="auto" w:sz="12" w:space="0"/>
            </w:tcBorders>
            <w:noWrap w:val="0"/>
            <w:tcMar>
              <w:left w:w="0" w:type="dxa"/>
              <w:right w:w="0" w:type="dxa"/>
            </w:tcMar>
            <w:vAlign w:val="center"/>
          </w:tcPr>
          <w:p w14:paraId="2E31B82D">
            <w:pPr>
              <w:widowControl/>
              <w:adjustRightInd w:val="0"/>
              <w:snapToGrid w:val="0"/>
              <w:jc w:val="center"/>
              <w:textAlignment w:val="center"/>
              <w:rPr>
                <w:b/>
                <w:bCs/>
                <w:sz w:val="21"/>
                <w:szCs w:val="21"/>
              </w:rPr>
            </w:pPr>
            <w:r>
              <w:rPr>
                <w:b/>
                <w:bCs/>
                <w:sz w:val="21"/>
                <w:szCs w:val="21"/>
              </w:rPr>
              <w:t>监测点位</w:t>
            </w:r>
          </w:p>
        </w:tc>
        <w:tc>
          <w:tcPr>
            <w:tcW w:w="110" w:type="pct"/>
            <w:tcBorders>
              <w:bottom w:val="single" w:color="auto" w:sz="12" w:space="0"/>
            </w:tcBorders>
            <w:noWrap w:val="0"/>
            <w:tcMar>
              <w:left w:w="0" w:type="dxa"/>
              <w:right w:w="0" w:type="dxa"/>
            </w:tcMar>
            <w:vAlign w:val="center"/>
          </w:tcPr>
          <w:p w14:paraId="099C91D4">
            <w:pPr>
              <w:widowControl/>
              <w:adjustRightInd w:val="0"/>
              <w:snapToGrid w:val="0"/>
              <w:jc w:val="center"/>
              <w:textAlignment w:val="center"/>
              <w:rPr>
                <w:b/>
                <w:bCs/>
                <w:sz w:val="21"/>
                <w:szCs w:val="21"/>
              </w:rPr>
            </w:pPr>
            <w:r>
              <w:rPr>
                <w:b/>
                <w:bCs/>
                <w:sz w:val="21"/>
                <w:szCs w:val="21"/>
              </w:rPr>
              <w:t>监测因子</w:t>
            </w:r>
          </w:p>
        </w:tc>
        <w:tc>
          <w:tcPr>
            <w:tcW w:w="73" w:type="pct"/>
            <w:tcBorders>
              <w:bottom w:val="single" w:color="auto" w:sz="12" w:space="0"/>
            </w:tcBorders>
            <w:noWrap w:val="0"/>
            <w:tcMar>
              <w:left w:w="0" w:type="dxa"/>
              <w:right w:w="0" w:type="dxa"/>
            </w:tcMar>
            <w:vAlign w:val="center"/>
          </w:tcPr>
          <w:p w14:paraId="1C6A1A9C">
            <w:pPr>
              <w:widowControl/>
              <w:adjustRightInd w:val="0"/>
              <w:snapToGrid w:val="0"/>
              <w:jc w:val="center"/>
              <w:textAlignment w:val="center"/>
              <w:rPr>
                <w:b/>
                <w:bCs/>
                <w:sz w:val="21"/>
                <w:szCs w:val="21"/>
              </w:rPr>
            </w:pPr>
            <w:r>
              <w:rPr>
                <w:b/>
                <w:bCs/>
                <w:sz w:val="21"/>
                <w:szCs w:val="21"/>
              </w:rPr>
              <w:t>监测频次</w:t>
            </w:r>
          </w:p>
        </w:tc>
      </w:tr>
      <w:tr w14:paraId="1A434EE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4" w:type="pct"/>
          <w:trHeight w:val="2848" w:hRule="atLeast"/>
          <w:jc w:val="center"/>
        </w:trPr>
        <w:tc>
          <w:tcPr>
            <w:tcW w:w="114" w:type="pct"/>
            <w:tcBorders>
              <w:top w:val="single" w:color="auto" w:sz="12" w:space="0"/>
              <w:bottom w:val="single" w:color="auto" w:sz="4" w:space="0"/>
            </w:tcBorders>
            <w:noWrap w:val="0"/>
            <w:vAlign w:val="center"/>
          </w:tcPr>
          <w:p w14:paraId="2A6BF36A">
            <w:pPr>
              <w:jc w:val="center"/>
              <w:rPr>
                <w:rFonts w:hint="default"/>
                <w:sz w:val="21"/>
                <w:szCs w:val="21"/>
                <w:lang w:val="en-US" w:eastAsia="zh-CN"/>
              </w:rPr>
            </w:pPr>
            <w:r>
              <w:rPr>
                <w:rFonts w:hint="eastAsia"/>
                <w:sz w:val="21"/>
                <w:szCs w:val="21"/>
                <w:lang w:val="en-US" w:eastAsia="zh-CN"/>
              </w:rPr>
              <w:t>拉毛、刷呢、剪毛、烫光、摇粒废气</w:t>
            </w:r>
          </w:p>
        </w:tc>
        <w:tc>
          <w:tcPr>
            <w:tcW w:w="205" w:type="pct"/>
            <w:tcBorders>
              <w:top w:val="single" w:color="auto" w:sz="12" w:space="0"/>
              <w:bottom w:val="single" w:color="auto" w:sz="4" w:space="0"/>
            </w:tcBorders>
            <w:noWrap w:val="0"/>
            <w:tcMar>
              <w:left w:w="0" w:type="dxa"/>
              <w:right w:w="0" w:type="dxa"/>
            </w:tcMar>
            <w:vAlign w:val="center"/>
          </w:tcPr>
          <w:p w14:paraId="116F75E2">
            <w:pPr>
              <w:jc w:val="center"/>
              <w:rPr>
                <w:rFonts w:hint="eastAsia" w:eastAsia="宋体"/>
                <w:sz w:val="21"/>
                <w:szCs w:val="21"/>
                <w:lang w:val="en-US" w:eastAsia="zh-CN"/>
              </w:rPr>
            </w:pPr>
            <w:r>
              <w:rPr>
                <w:rFonts w:hint="eastAsia"/>
                <w:sz w:val="21"/>
                <w:szCs w:val="21"/>
                <w:lang w:val="en-US" w:eastAsia="zh-CN"/>
              </w:rPr>
              <w:t>颗粒物</w:t>
            </w:r>
          </w:p>
        </w:tc>
        <w:tc>
          <w:tcPr>
            <w:tcW w:w="194" w:type="pct"/>
            <w:tcBorders>
              <w:top w:val="single" w:color="auto" w:sz="12" w:space="0"/>
              <w:bottom w:val="single" w:color="auto" w:sz="4" w:space="0"/>
            </w:tcBorders>
            <w:noWrap w:val="0"/>
            <w:tcMar>
              <w:left w:w="0" w:type="dxa"/>
              <w:right w:w="0" w:type="dxa"/>
            </w:tcMar>
            <w:vAlign w:val="center"/>
          </w:tcPr>
          <w:p w14:paraId="7784BD4F">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1.069</w:t>
            </w:r>
          </w:p>
        </w:tc>
        <w:tc>
          <w:tcPr>
            <w:tcW w:w="225" w:type="pct"/>
            <w:tcBorders>
              <w:top w:val="single" w:color="auto" w:sz="12" w:space="0"/>
              <w:bottom w:val="single" w:color="auto" w:sz="4" w:space="0"/>
            </w:tcBorders>
            <w:noWrap w:val="0"/>
            <w:tcMar>
              <w:left w:w="0" w:type="dxa"/>
              <w:right w:w="0" w:type="dxa"/>
            </w:tcMar>
            <w:vAlign w:val="center"/>
          </w:tcPr>
          <w:p w14:paraId="25030FC3">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7.7</w:t>
            </w:r>
          </w:p>
        </w:tc>
        <w:tc>
          <w:tcPr>
            <w:tcW w:w="86" w:type="pct"/>
            <w:tcBorders>
              <w:top w:val="single" w:color="auto" w:sz="12" w:space="0"/>
              <w:bottom w:val="single" w:color="auto" w:sz="4" w:space="0"/>
            </w:tcBorders>
            <w:noWrap w:val="0"/>
            <w:tcMar>
              <w:left w:w="0" w:type="dxa"/>
              <w:right w:w="0" w:type="dxa"/>
            </w:tcMar>
            <w:vAlign w:val="center"/>
          </w:tcPr>
          <w:p w14:paraId="053381DE">
            <w:pPr>
              <w:widowControl/>
              <w:jc w:val="center"/>
              <w:textAlignment w:val="center"/>
              <w:rPr>
                <w:rFonts w:hint="default"/>
                <w:sz w:val="21"/>
                <w:szCs w:val="21"/>
                <w:lang w:val="en-US" w:eastAsia="zh-CN"/>
              </w:rPr>
            </w:pPr>
            <w:r>
              <w:rPr>
                <w:rFonts w:hint="eastAsia"/>
                <w:sz w:val="21"/>
                <w:szCs w:val="21"/>
                <w:lang w:val="en-US" w:eastAsia="zh-CN"/>
              </w:rPr>
              <w:t>封闭车间+集气罩</w:t>
            </w:r>
          </w:p>
        </w:tc>
        <w:tc>
          <w:tcPr>
            <w:tcW w:w="116" w:type="pct"/>
            <w:tcBorders>
              <w:top w:val="single" w:color="auto" w:sz="12" w:space="0"/>
              <w:bottom w:val="single" w:color="auto" w:sz="4" w:space="0"/>
            </w:tcBorders>
            <w:noWrap w:val="0"/>
            <w:tcMar>
              <w:left w:w="0" w:type="dxa"/>
              <w:right w:w="0" w:type="dxa"/>
            </w:tcMar>
            <w:vAlign w:val="center"/>
          </w:tcPr>
          <w:p w14:paraId="6A05301B">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99</w:t>
            </w:r>
          </w:p>
        </w:tc>
        <w:tc>
          <w:tcPr>
            <w:tcW w:w="208" w:type="pct"/>
            <w:tcBorders>
              <w:top w:val="single" w:color="auto" w:sz="12" w:space="0"/>
              <w:bottom w:val="single" w:color="auto" w:sz="4" w:space="0"/>
            </w:tcBorders>
            <w:noWrap w:val="0"/>
            <w:tcMar>
              <w:left w:w="0" w:type="dxa"/>
              <w:right w:w="0" w:type="dxa"/>
            </w:tcMar>
            <w:vAlign w:val="center"/>
          </w:tcPr>
          <w:p w14:paraId="590B7CD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44.125</w:t>
            </w:r>
          </w:p>
        </w:tc>
        <w:tc>
          <w:tcPr>
            <w:tcW w:w="208" w:type="pct"/>
            <w:tcBorders>
              <w:top w:val="single" w:color="auto" w:sz="12" w:space="0"/>
              <w:bottom w:val="single" w:color="auto" w:sz="4" w:space="0"/>
            </w:tcBorders>
            <w:noWrap w:val="0"/>
            <w:tcMar>
              <w:left w:w="0" w:type="dxa"/>
              <w:right w:w="0" w:type="dxa"/>
            </w:tcMar>
            <w:vAlign w:val="center"/>
          </w:tcPr>
          <w:p w14:paraId="3E1DC98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1.059</w:t>
            </w:r>
          </w:p>
        </w:tc>
        <w:tc>
          <w:tcPr>
            <w:tcW w:w="329" w:type="pct"/>
            <w:tcBorders>
              <w:top w:val="single" w:color="auto" w:sz="12" w:space="0"/>
              <w:bottom w:val="single" w:color="auto" w:sz="4" w:space="0"/>
            </w:tcBorders>
            <w:noWrap w:val="0"/>
            <w:tcMar>
              <w:left w:w="0" w:type="dxa"/>
              <w:right w:w="0" w:type="dxa"/>
            </w:tcMar>
            <w:vAlign w:val="center"/>
          </w:tcPr>
          <w:p w14:paraId="5B43DA5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7.623</w:t>
            </w:r>
          </w:p>
        </w:tc>
        <w:tc>
          <w:tcPr>
            <w:tcW w:w="157" w:type="pct"/>
            <w:vMerge w:val="restart"/>
            <w:tcBorders>
              <w:top w:val="single" w:color="auto" w:sz="12" w:space="0"/>
            </w:tcBorders>
            <w:noWrap w:val="0"/>
            <w:tcMar>
              <w:left w:w="0" w:type="dxa"/>
              <w:right w:w="0" w:type="dxa"/>
            </w:tcMar>
            <w:vAlign w:val="center"/>
          </w:tcPr>
          <w:p w14:paraId="53057FC9">
            <w:pPr>
              <w:widowControl/>
              <w:jc w:val="center"/>
              <w:textAlignment w:val="center"/>
              <w:rPr>
                <w:kern w:val="0"/>
                <w:sz w:val="21"/>
                <w:szCs w:val="21"/>
                <w:lang w:bidi="ar"/>
              </w:rPr>
            </w:pPr>
            <w:r>
              <w:rPr>
                <w:rFonts w:hint="eastAsia"/>
                <w:kern w:val="0"/>
                <w:sz w:val="21"/>
                <w:szCs w:val="21"/>
                <w:lang w:bidi="ar"/>
              </w:rPr>
              <w:t>有组织</w:t>
            </w:r>
          </w:p>
        </w:tc>
        <w:tc>
          <w:tcPr>
            <w:tcW w:w="288" w:type="pct"/>
            <w:tcBorders>
              <w:top w:val="single" w:color="auto" w:sz="12" w:space="0"/>
            </w:tcBorders>
            <w:noWrap w:val="0"/>
            <w:tcMar>
              <w:left w:w="0" w:type="dxa"/>
              <w:right w:w="0" w:type="dxa"/>
            </w:tcMar>
            <w:vAlign w:val="center"/>
          </w:tcPr>
          <w:p w14:paraId="0B71B331">
            <w:pPr>
              <w:widowControl/>
              <w:jc w:val="center"/>
              <w:textAlignment w:val="center"/>
              <w:rPr>
                <w:rFonts w:hint="eastAsia"/>
                <w:kern w:val="0"/>
                <w:sz w:val="21"/>
                <w:szCs w:val="21"/>
                <w:lang w:bidi="ar"/>
              </w:rPr>
            </w:pPr>
            <w:r>
              <w:rPr>
                <w:rFonts w:hint="eastAsia"/>
                <w:kern w:val="0"/>
                <w:sz w:val="21"/>
                <w:szCs w:val="21"/>
                <w:lang w:val="en-US" w:eastAsia="zh-CN" w:bidi="ar"/>
              </w:rPr>
              <w:t>布袋除尘</w:t>
            </w:r>
            <w:r>
              <w:rPr>
                <w:rFonts w:hint="eastAsia"/>
                <w:kern w:val="0"/>
                <w:sz w:val="21"/>
                <w:szCs w:val="21"/>
                <w:lang w:bidi="ar"/>
              </w:rPr>
              <w:t>，</w:t>
            </w:r>
            <w:r>
              <w:rPr>
                <w:rFonts w:hint="eastAsia"/>
                <w:bCs/>
                <w:iCs/>
                <w:snapToGrid w:val="0"/>
                <w:spacing w:val="-4"/>
                <w:kern w:val="0"/>
                <w:sz w:val="21"/>
                <w:szCs w:val="21"/>
                <w:lang w:val="en-US" w:eastAsia="zh-CN" w:bidi="en-US"/>
              </w:rPr>
              <w:t>240</w:t>
            </w:r>
            <w:r>
              <w:rPr>
                <w:rFonts w:hint="eastAsia"/>
                <w:bCs/>
                <w:iCs/>
                <w:snapToGrid w:val="0"/>
                <w:spacing w:val="-4"/>
                <w:kern w:val="0"/>
                <w:sz w:val="21"/>
                <w:szCs w:val="21"/>
                <w:lang w:bidi="en-US"/>
              </w:rPr>
              <w:t>00</w:t>
            </w:r>
            <w:r>
              <w:rPr>
                <w:sz w:val="21"/>
                <w:szCs w:val="21"/>
              </w:rPr>
              <w:t>m</w:t>
            </w:r>
            <w:r>
              <w:rPr>
                <w:sz w:val="21"/>
                <w:szCs w:val="21"/>
                <w:vertAlign w:val="superscript"/>
              </w:rPr>
              <w:t>3</w:t>
            </w:r>
            <w:r>
              <w:rPr>
                <w:sz w:val="21"/>
                <w:szCs w:val="21"/>
              </w:rPr>
              <w:t>/h</w:t>
            </w:r>
          </w:p>
        </w:tc>
        <w:tc>
          <w:tcPr>
            <w:tcW w:w="180" w:type="pct"/>
            <w:tcBorders>
              <w:top w:val="single" w:color="auto" w:sz="12" w:space="0"/>
              <w:bottom w:val="single" w:color="auto" w:sz="4" w:space="0"/>
            </w:tcBorders>
            <w:noWrap w:val="0"/>
            <w:tcMar>
              <w:left w:w="0" w:type="dxa"/>
              <w:right w:w="0" w:type="dxa"/>
            </w:tcMar>
            <w:vAlign w:val="center"/>
          </w:tcPr>
          <w:p w14:paraId="3DF30E54">
            <w:pPr>
              <w:widowControl/>
              <w:jc w:val="center"/>
              <w:textAlignment w:val="center"/>
              <w:rPr>
                <w:rFonts w:hint="default"/>
                <w:kern w:val="0"/>
                <w:sz w:val="21"/>
                <w:szCs w:val="21"/>
                <w:lang w:val="en-US" w:eastAsia="zh-CN" w:bidi="ar"/>
              </w:rPr>
            </w:pPr>
            <w:r>
              <w:rPr>
                <w:rFonts w:hint="eastAsia"/>
                <w:kern w:val="0"/>
                <w:sz w:val="21"/>
                <w:szCs w:val="21"/>
                <w:lang w:val="en-US" w:eastAsia="zh-CN" w:bidi="ar"/>
              </w:rPr>
              <w:t>99</w:t>
            </w:r>
          </w:p>
        </w:tc>
        <w:tc>
          <w:tcPr>
            <w:tcW w:w="157" w:type="pct"/>
            <w:tcBorders>
              <w:top w:val="single" w:color="auto" w:sz="12" w:space="0"/>
              <w:bottom w:val="single" w:color="auto" w:sz="4" w:space="0"/>
            </w:tcBorders>
            <w:noWrap w:val="0"/>
            <w:tcMar>
              <w:left w:w="0" w:type="dxa"/>
              <w:right w:w="0" w:type="dxa"/>
            </w:tcMar>
            <w:vAlign w:val="center"/>
          </w:tcPr>
          <w:p w14:paraId="5ED25E7E">
            <w:pPr>
              <w:widowControl/>
              <w:jc w:val="center"/>
              <w:textAlignment w:val="center"/>
              <w:rPr>
                <w:rFonts w:hint="eastAsia" w:eastAsia="宋体"/>
                <w:kern w:val="0"/>
                <w:sz w:val="21"/>
                <w:szCs w:val="21"/>
                <w:lang w:val="en-US" w:eastAsia="zh-CN" w:bidi="ar"/>
              </w:rPr>
            </w:pPr>
            <w:r>
              <w:rPr>
                <w:rFonts w:hint="eastAsia"/>
                <w:kern w:val="0"/>
                <w:sz w:val="21"/>
                <w:szCs w:val="21"/>
                <w:lang w:val="en-US" w:eastAsia="zh-CN" w:bidi="ar"/>
              </w:rPr>
              <w:t>是</w:t>
            </w:r>
          </w:p>
        </w:tc>
        <w:tc>
          <w:tcPr>
            <w:tcW w:w="175" w:type="pct"/>
            <w:tcBorders>
              <w:top w:val="single" w:color="auto" w:sz="12" w:space="0"/>
              <w:bottom w:val="single" w:color="auto" w:sz="4" w:space="0"/>
            </w:tcBorders>
            <w:noWrap w:val="0"/>
            <w:tcMar>
              <w:left w:w="0" w:type="dxa"/>
              <w:right w:w="0" w:type="dxa"/>
            </w:tcMar>
            <w:vAlign w:val="center"/>
          </w:tcPr>
          <w:p w14:paraId="023A92C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0.44</w:t>
            </w:r>
          </w:p>
        </w:tc>
        <w:tc>
          <w:tcPr>
            <w:tcW w:w="225" w:type="pct"/>
            <w:tcBorders>
              <w:top w:val="single" w:color="auto" w:sz="12" w:space="0"/>
              <w:bottom w:val="single" w:color="auto" w:sz="4" w:space="0"/>
            </w:tcBorders>
            <w:noWrap w:val="0"/>
            <w:tcMar>
              <w:left w:w="0" w:type="dxa"/>
              <w:right w:w="0" w:type="dxa"/>
            </w:tcMar>
            <w:vAlign w:val="center"/>
          </w:tcPr>
          <w:p w14:paraId="7DE9103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w:t>
            </w:r>
          </w:p>
        </w:tc>
        <w:tc>
          <w:tcPr>
            <w:tcW w:w="199" w:type="pct"/>
            <w:tcBorders>
              <w:top w:val="single" w:color="auto" w:sz="12" w:space="0"/>
              <w:bottom w:val="single" w:color="auto" w:sz="4" w:space="0"/>
            </w:tcBorders>
            <w:noWrap w:val="0"/>
            <w:tcMar>
              <w:left w:w="0" w:type="dxa"/>
              <w:right w:w="0" w:type="dxa"/>
            </w:tcMar>
            <w:vAlign w:val="center"/>
          </w:tcPr>
          <w:p w14:paraId="438E5FD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0.076</w:t>
            </w:r>
          </w:p>
        </w:tc>
        <w:tc>
          <w:tcPr>
            <w:tcW w:w="107" w:type="pct"/>
            <w:vMerge w:val="restart"/>
            <w:tcBorders>
              <w:top w:val="single" w:color="auto" w:sz="12" w:space="0"/>
            </w:tcBorders>
            <w:noWrap w:val="0"/>
            <w:tcMar>
              <w:left w:w="0" w:type="dxa"/>
              <w:right w:w="0" w:type="dxa"/>
            </w:tcMar>
            <w:vAlign w:val="center"/>
          </w:tcPr>
          <w:p w14:paraId="3D2291DC">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15</w:t>
            </w:r>
          </w:p>
        </w:tc>
        <w:tc>
          <w:tcPr>
            <w:tcW w:w="122" w:type="pct"/>
            <w:vMerge w:val="restart"/>
            <w:tcBorders>
              <w:top w:val="single" w:color="auto" w:sz="12" w:space="0"/>
            </w:tcBorders>
            <w:noWrap w:val="0"/>
            <w:tcMar>
              <w:left w:w="0" w:type="dxa"/>
              <w:right w:w="0" w:type="dxa"/>
            </w:tcMar>
            <w:vAlign w:val="center"/>
          </w:tcPr>
          <w:p w14:paraId="56C86E61">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0.8</w:t>
            </w:r>
          </w:p>
        </w:tc>
        <w:tc>
          <w:tcPr>
            <w:tcW w:w="125" w:type="pct"/>
            <w:vMerge w:val="restart"/>
            <w:tcBorders>
              <w:top w:val="single" w:color="auto" w:sz="12" w:space="0"/>
            </w:tcBorders>
            <w:noWrap w:val="0"/>
            <w:tcMar>
              <w:left w:w="0" w:type="dxa"/>
              <w:right w:w="0" w:type="dxa"/>
            </w:tcMar>
            <w:vAlign w:val="center"/>
          </w:tcPr>
          <w:p w14:paraId="4499BAA6">
            <w:pPr>
              <w:widowControl/>
              <w:jc w:val="center"/>
              <w:textAlignment w:val="center"/>
              <w:rPr>
                <w:kern w:val="0"/>
                <w:sz w:val="21"/>
                <w:szCs w:val="21"/>
                <w:lang w:bidi="ar"/>
              </w:rPr>
            </w:pPr>
            <w:r>
              <w:rPr>
                <w:rFonts w:hint="eastAsia"/>
                <w:kern w:val="0"/>
                <w:sz w:val="21"/>
                <w:szCs w:val="21"/>
                <w:lang w:bidi="ar"/>
              </w:rPr>
              <w:t>25</w:t>
            </w:r>
          </w:p>
        </w:tc>
        <w:tc>
          <w:tcPr>
            <w:tcW w:w="189" w:type="pct"/>
            <w:vMerge w:val="restart"/>
            <w:tcBorders>
              <w:top w:val="single" w:color="auto" w:sz="12" w:space="0"/>
            </w:tcBorders>
            <w:noWrap w:val="0"/>
            <w:tcMar>
              <w:left w:w="0" w:type="dxa"/>
              <w:right w:w="0" w:type="dxa"/>
            </w:tcMar>
            <w:vAlign w:val="center"/>
          </w:tcPr>
          <w:p w14:paraId="687070B8">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DA001</w:t>
            </w:r>
          </w:p>
        </w:tc>
        <w:tc>
          <w:tcPr>
            <w:tcW w:w="233" w:type="pct"/>
            <w:vMerge w:val="restart"/>
            <w:tcBorders>
              <w:top w:val="single" w:color="auto" w:sz="12" w:space="0"/>
            </w:tcBorders>
            <w:noWrap w:val="0"/>
            <w:tcMar>
              <w:left w:w="0" w:type="dxa"/>
              <w:right w:w="0" w:type="dxa"/>
            </w:tcMar>
            <w:vAlign w:val="center"/>
          </w:tcPr>
          <w:p w14:paraId="56140BA3">
            <w:pPr>
              <w:widowControl/>
              <w:jc w:val="center"/>
              <w:textAlignment w:val="center"/>
              <w:rPr>
                <w:kern w:val="0"/>
                <w:sz w:val="21"/>
                <w:szCs w:val="21"/>
                <w:lang w:bidi="ar"/>
              </w:rPr>
            </w:pPr>
            <w:r>
              <w:rPr>
                <w:rFonts w:hint="eastAsia"/>
                <w:kern w:val="0"/>
                <w:sz w:val="21"/>
                <w:szCs w:val="21"/>
                <w:lang w:bidi="ar"/>
              </w:rPr>
              <w:t>一般排放口</w:t>
            </w:r>
          </w:p>
        </w:tc>
        <w:tc>
          <w:tcPr>
            <w:tcW w:w="257" w:type="pct"/>
            <w:vMerge w:val="restart"/>
            <w:tcBorders>
              <w:top w:val="single" w:color="auto" w:sz="12" w:space="0"/>
            </w:tcBorders>
            <w:noWrap w:val="0"/>
            <w:tcMar>
              <w:left w:w="0" w:type="dxa"/>
              <w:right w:w="0" w:type="dxa"/>
            </w:tcMar>
            <w:vAlign w:val="center"/>
          </w:tcPr>
          <w:p w14:paraId="0352CA6F">
            <w:pPr>
              <w:jc w:val="center"/>
              <w:rPr>
                <w:rFonts w:hint="default" w:ascii="Times New Roman" w:hAnsi="Times New Roman" w:cs="Times New Roman"/>
                <w:kern w:val="0"/>
                <w:sz w:val="21"/>
                <w:szCs w:val="21"/>
                <w:lang w:bidi="ar"/>
              </w:rPr>
            </w:pPr>
            <w:r>
              <w:rPr>
                <w:rFonts w:hint="default" w:ascii="Times New Roman" w:hAnsi="Times New Roman" w:eastAsia="宋体" w:cs="Times New Roman"/>
                <w:b w:val="0"/>
                <w:sz w:val="21"/>
                <w:szCs w:val="21"/>
              </w:rPr>
              <w:t>120.649853</w:t>
            </w:r>
            <w:r>
              <w:rPr>
                <w:rFonts w:hint="default" w:ascii="Times New Roman" w:hAnsi="Times New Roman" w:eastAsia="宋体" w:cs="Times New Roman"/>
                <w:b w:val="0"/>
                <w:sz w:val="21"/>
                <w:szCs w:val="21"/>
                <w:lang w:eastAsia="zh-CN"/>
              </w:rPr>
              <w:t>，</w:t>
            </w:r>
            <w:r>
              <w:rPr>
                <w:rFonts w:hint="default" w:ascii="Times New Roman" w:hAnsi="Times New Roman" w:eastAsia="宋体" w:cs="Times New Roman"/>
                <w:b w:val="0"/>
                <w:sz w:val="21"/>
                <w:szCs w:val="21"/>
              </w:rPr>
              <w:t>32.13945</w:t>
            </w:r>
          </w:p>
        </w:tc>
        <w:tc>
          <w:tcPr>
            <w:tcW w:w="216" w:type="pct"/>
            <w:vMerge w:val="restart"/>
            <w:tcBorders>
              <w:top w:val="single" w:color="auto" w:sz="12" w:space="0"/>
            </w:tcBorders>
            <w:noWrap w:val="0"/>
            <w:tcMar>
              <w:left w:w="0" w:type="dxa"/>
              <w:right w:w="0" w:type="dxa"/>
            </w:tcMar>
            <w:vAlign w:val="center"/>
          </w:tcPr>
          <w:p w14:paraId="47620FC9">
            <w:pPr>
              <w:jc w:val="center"/>
              <w:rPr>
                <w:rFonts w:hint="default" w:eastAsia="宋体"/>
                <w:sz w:val="21"/>
                <w:szCs w:val="21"/>
                <w:lang w:val="en-US" w:eastAsia="zh-CN"/>
              </w:rPr>
            </w:pPr>
            <w:r>
              <w:rPr>
                <w:rFonts w:hint="eastAsia"/>
                <w:sz w:val="21"/>
                <w:szCs w:val="21"/>
                <w:lang w:val="en-US" w:eastAsia="zh-CN"/>
              </w:rPr>
              <w:t>20</w:t>
            </w:r>
          </w:p>
        </w:tc>
        <w:tc>
          <w:tcPr>
            <w:tcW w:w="127" w:type="pct"/>
            <w:vMerge w:val="restart"/>
            <w:tcBorders>
              <w:top w:val="single" w:color="auto" w:sz="12" w:space="0"/>
            </w:tcBorders>
            <w:noWrap w:val="0"/>
            <w:tcMar>
              <w:left w:w="0" w:type="dxa"/>
              <w:right w:w="0" w:type="dxa"/>
            </w:tcMar>
            <w:vAlign w:val="center"/>
          </w:tcPr>
          <w:p w14:paraId="2B8E1331">
            <w:pPr>
              <w:jc w:val="center"/>
              <w:rPr>
                <w:rFonts w:hint="eastAsia"/>
                <w:sz w:val="21"/>
                <w:szCs w:val="21"/>
              </w:rPr>
            </w:pPr>
            <w:r>
              <w:rPr>
                <w:rFonts w:hint="eastAsia"/>
                <w:sz w:val="21"/>
                <w:szCs w:val="21"/>
              </w:rPr>
              <w:t>1</w:t>
            </w:r>
          </w:p>
        </w:tc>
        <w:tc>
          <w:tcPr>
            <w:tcW w:w="256" w:type="pct"/>
            <w:vMerge w:val="restart"/>
            <w:tcBorders>
              <w:top w:val="single" w:color="auto" w:sz="12" w:space="0"/>
            </w:tcBorders>
            <w:noWrap w:val="0"/>
            <w:tcMar>
              <w:left w:w="0" w:type="dxa"/>
              <w:right w:w="0" w:type="dxa"/>
            </w:tcMar>
            <w:vAlign w:val="center"/>
          </w:tcPr>
          <w:p w14:paraId="654716C6">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7200</w:t>
            </w:r>
          </w:p>
        </w:tc>
        <w:tc>
          <w:tcPr>
            <w:tcW w:w="82" w:type="pct"/>
            <w:vMerge w:val="restart"/>
            <w:tcBorders>
              <w:top w:val="single" w:color="auto" w:sz="12" w:space="0"/>
            </w:tcBorders>
            <w:noWrap w:val="0"/>
            <w:tcMar>
              <w:left w:w="0" w:type="dxa"/>
              <w:right w:w="0" w:type="dxa"/>
            </w:tcMar>
            <w:vAlign w:val="center"/>
          </w:tcPr>
          <w:p w14:paraId="1C38866F">
            <w:pPr>
              <w:widowControl/>
              <w:adjustRightInd w:val="0"/>
              <w:snapToGrid w:val="0"/>
              <w:jc w:val="center"/>
              <w:rPr>
                <w:rFonts w:hint="eastAsia"/>
                <w:bCs/>
                <w:iCs/>
                <w:snapToGrid w:val="0"/>
                <w:spacing w:val="-4"/>
                <w:kern w:val="0"/>
                <w:sz w:val="21"/>
                <w:szCs w:val="21"/>
                <w:lang w:bidi="en-US"/>
              </w:rPr>
            </w:pPr>
            <w:r>
              <w:rPr>
                <w:rFonts w:hint="eastAsia"/>
                <w:bCs/>
                <w:iCs/>
                <w:snapToGrid w:val="0"/>
                <w:spacing w:val="-4"/>
                <w:kern w:val="0"/>
                <w:sz w:val="21"/>
                <w:szCs w:val="21"/>
                <w:lang w:bidi="en-US"/>
              </w:rPr>
              <w:t>排气筒出口</w:t>
            </w:r>
          </w:p>
        </w:tc>
        <w:tc>
          <w:tcPr>
            <w:tcW w:w="110" w:type="pct"/>
            <w:vMerge w:val="restart"/>
            <w:tcBorders>
              <w:top w:val="single" w:color="auto" w:sz="12" w:space="0"/>
            </w:tcBorders>
            <w:noWrap w:val="0"/>
            <w:tcMar>
              <w:left w:w="0" w:type="dxa"/>
              <w:right w:w="0" w:type="dxa"/>
            </w:tcMar>
            <w:vAlign w:val="center"/>
          </w:tcPr>
          <w:p w14:paraId="1E8DA3CD">
            <w:pPr>
              <w:widowControl/>
              <w:adjustRightInd w:val="0"/>
              <w:snapToGrid w:val="0"/>
              <w:jc w:val="center"/>
              <w:rPr>
                <w:rFonts w:hint="default" w:eastAsia="宋体"/>
                <w:bCs/>
                <w:iCs/>
                <w:snapToGrid w:val="0"/>
                <w:spacing w:val="-4"/>
                <w:kern w:val="0"/>
                <w:sz w:val="21"/>
                <w:szCs w:val="21"/>
                <w:lang w:val="en-US" w:eastAsia="zh-CN" w:bidi="en-US"/>
              </w:rPr>
            </w:pPr>
            <w:r>
              <w:rPr>
                <w:rFonts w:hint="eastAsia"/>
                <w:bCs/>
                <w:iCs/>
                <w:snapToGrid w:val="0"/>
                <w:spacing w:val="-4"/>
                <w:kern w:val="0"/>
                <w:sz w:val="21"/>
                <w:szCs w:val="21"/>
                <w:lang w:bidi="en-US"/>
              </w:rPr>
              <w:t>颗粒物、</w:t>
            </w:r>
            <w:r>
              <w:rPr>
                <w:rFonts w:hint="eastAsia"/>
                <w:color w:val="000000"/>
                <w:kern w:val="0"/>
                <w:sz w:val="21"/>
                <w:szCs w:val="21"/>
                <w:lang w:val="en-US" w:eastAsia="zh-CN"/>
              </w:rPr>
              <w:t>非甲烷总烃、SO2、NOx、汞及其化合物</w:t>
            </w:r>
          </w:p>
        </w:tc>
        <w:tc>
          <w:tcPr>
            <w:tcW w:w="73" w:type="pct"/>
            <w:vMerge w:val="restart"/>
            <w:tcBorders>
              <w:top w:val="single" w:color="auto" w:sz="12" w:space="0"/>
            </w:tcBorders>
            <w:noWrap w:val="0"/>
            <w:tcMar>
              <w:left w:w="0" w:type="dxa"/>
              <w:right w:w="0" w:type="dxa"/>
            </w:tcMar>
            <w:vAlign w:val="center"/>
          </w:tcPr>
          <w:p w14:paraId="5CF9CC38">
            <w:pPr>
              <w:widowControl/>
              <w:adjustRightInd w:val="0"/>
              <w:snapToGrid w:val="0"/>
              <w:jc w:val="center"/>
              <w:rPr>
                <w:rFonts w:hint="eastAsia"/>
                <w:bCs/>
                <w:iCs/>
                <w:snapToGrid w:val="0"/>
                <w:spacing w:val="-4"/>
                <w:kern w:val="0"/>
                <w:sz w:val="21"/>
                <w:szCs w:val="21"/>
                <w:lang w:bidi="en-US"/>
              </w:rPr>
            </w:pPr>
            <w:r>
              <w:rPr>
                <w:bCs/>
                <w:iCs/>
                <w:snapToGrid w:val="0"/>
                <w:spacing w:val="-4"/>
                <w:kern w:val="0"/>
                <w:sz w:val="21"/>
                <w:szCs w:val="21"/>
                <w:lang w:bidi="en-US"/>
              </w:rPr>
              <w:t>1次/</w:t>
            </w:r>
            <w:r>
              <w:rPr>
                <w:rFonts w:hint="eastAsia"/>
                <w:bCs/>
                <w:iCs/>
                <w:snapToGrid w:val="0"/>
                <w:spacing w:val="-4"/>
                <w:kern w:val="0"/>
                <w:sz w:val="21"/>
                <w:szCs w:val="21"/>
                <w:lang w:val="en-US" w:eastAsia="zh-CN" w:bidi="en-US"/>
              </w:rPr>
              <w:t>半</w:t>
            </w:r>
            <w:r>
              <w:rPr>
                <w:bCs/>
                <w:iCs/>
                <w:snapToGrid w:val="0"/>
                <w:spacing w:val="-4"/>
                <w:kern w:val="0"/>
                <w:sz w:val="21"/>
                <w:szCs w:val="21"/>
                <w:lang w:bidi="en-US"/>
              </w:rPr>
              <w:t>年</w:t>
            </w:r>
          </w:p>
        </w:tc>
      </w:tr>
      <w:tr w14:paraId="16ED8E17">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4" w:type="pct"/>
          <w:trHeight w:val="2848" w:hRule="atLeast"/>
          <w:jc w:val="center"/>
        </w:trPr>
        <w:tc>
          <w:tcPr>
            <w:tcW w:w="114" w:type="pct"/>
            <w:vMerge w:val="restart"/>
            <w:tcBorders>
              <w:top w:val="single" w:color="auto" w:sz="4" w:space="0"/>
              <w:bottom w:val="single" w:color="auto" w:sz="4" w:space="0"/>
            </w:tcBorders>
            <w:noWrap w:val="0"/>
            <w:vAlign w:val="center"/>
          </w:tcPr>
          <w:p w14:paraId="7AC60060">
            <w:pPr>
              <w:jc w:val="center"/>
              <w:rPr>
                <w:sz w:val="21"/>
                <w:szCs w:val="21"/>
              </w:rPr>
            </w:pPr>
            <w:r>
              <w:rPr>
                <w:rFonts w:hint="eastAsia"/>
                <w:sz w:val="21"/>
                <w:szCs w:val="21"/>
              </w:rPr>
              <w:t>定型</w:t>
            </w:r>
            <w:r>
              <w:rPr>
                <w:rFonts w:hint="eastAsia"/>
                <w:sz w:val="21"/>
                <w:szCs w:val="21"/>
                <w:lang w:eastAsia="zh-CN"/>
              </w:rPr>
              <w:t>、</w:t>
            </w:r>
            <w:r>
              <w:rPr>
                <w:rFonts w:hint="eastAsia"/>
                <w:sz w:val="21"/>
                <w:szCs w:val="21"/>
                <w:lang w:val="en-US" w:eastAsia="zh-CN"/>
              </w:rPr>
              <w:t>蒸呢废气</w:t>
            </w:r>
          </w:p>
        </w:tc>
        <w:tc>
          <w:tcPr>
            <w:tcW w:w="205" w:type="pct"/>
            <w:tcBorders>
              <w:top w:val="single" w:color="auto" w:sz="4" w:space="0"/>
              <w:bottom w:val="single" w:color="auto" w:sz="4" w:space="0"/>
            </w:tcBorders>
            <w:noWrap w:val="0"/>
            <w:tcMar>
              <w:left w:w="0" w:type="dxa"/>
              <w:right w:w="0" w:type="dxa"/>
            </w:tcMar>
            <w:vAlign w:val="center"/>
          </w:tcPr>
          <w:p w14:paraId="7F173A95">
            <w:pPr>
              <w:jc w:val="center"/>
              <w:rPr>
                <w:rFonts w:hint="eastAsia"/>
                <w:sz w:val="21"/>
                <w:szCs w:val="21"/>
              </w:rPr>
            </w:pPr>
            <w:r>
              <w:rPr>
                <w:sz w:val="21"/>
                <w:szCs w:val="21"/>
              </w:rPr>
              <w:t>颗粒物</w:t>
            </w:r>
          </w:p>
        </w:tc>
        <w:tc>
          <w:tcPr>
            <w:tcW w:w="194" w:type="pct"/>
            <w:tcBorders>
              <w:top w:val="single" w:color="auto" w:sz="4" w:space="0"/>
              <w:bottom w:val="single" w:color="auto" w:sz="4" w:space="0"/>
            </w:tcBorders>
            <w:noWrap w:val="0"/>
            <w:tcMar>
              <w:left w:w="0" w:type="dxa"/>
              <w:right w:w="0" w:type="dxa"/>
            </w:tcMar>
            <w:vAlign w:val="center"/>
          </w:tcPr>
          <w:p w14:paraId="0F6060E4">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0.034</w:t>
            </w:r>
          </w:p>
        </w:tc>
        <w:tc>
          <w:tcPr>
            <w:tcW w:w="225" w:type="pct"/>
            <w:tcBorders>
              <w:top w:val="single" w:color="auto" w:sz="4" w:space="0"/>
              <w:bottom w:val="single" w:color="auto" w:sz="4" w:space="0"/>
            </w:tcBorders>
            <w:noWrap w:val="0"/>
            <w:tcMar>
              <w:left w:w="0" w:type="dxa"/>
              <w:right w:w="0" w:type="dxa"/>
            </w:tcMar>
            <w:vAlign w:val="center"/>
          </w:tcPr>
          <w:p w14:paraId="5E4CB999">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0.246</w:t>
            </w:r>
          </w:p>
        </w:tc>
        <w:tc>
          <w:tcPr>
            <w:tcW w:w="86" w:type="pct"/>
            <w:vMerge w:val="restart"/>
            <w:tcBorders>
              <w:top w:val="single" w:color="auto" w:sz="4" w:space="0"/>
            </w:tcBorders>
            <w:noWrap w:val="0"/>
            <w:tcMar>
              <w:left w:w="0" w:type="dxa"/>
              <w:right w:w="0" w:type="dxa"/>
            </w:tcMar>
            <w:vAlign w:val="center"/>
          </w:tcPr>
          <w:p w14:paraId="40381B94">
            <w:pPr>
              <w:widowControl/>
              <w:jc w:val="center"/>
              <w:textAlignment w:val="center"/>
              <w:rPr>
                <w:kern w:val="0"/>
                <w:sz w:val="21"/>
                <w:szCs w:val="21"/>
                <w:lang w:bidi="ar"/>
              </w:rPr>
            </w:pPr>
            <w:r>
              <w:rPr>
                <w:rFonts w:hint="eastAsia"/>
                <w:kern w:val="0"/>
                <w:sz w:val="21"/>
                <w:szCs w:val="21"/>
                <w:lang w:val="en-US" w:eastAsia="zh-CN" w:bidi="ar"/>
              </w:rPr>
              <w:t>设备</w:t>
            </w:r>
            <w:r>
              <w:rPr>
                <w:rFonts w:hint="eastAsia"/>
                <w:kern w:val="0"/>
                <w:sz w:val="21"/>
                <w:szCs w:val="21"/>
                <w:lang w:bidi="ar"/>
              </w:rPr>
              <w:t>密闭收集</w:t>
            </w:r>
          </w:p>
        </w:tc>
        <w:tc>
          <w:tcPr>
            <w:tcW w:w="116" w:type="pct"/>
            <w:vMerge w:val="restart"/>
            <w:tcBorders>
              <w:top w:val="single" w:color="auto" w:sz="4" w:space="0"/>
            </w:tcBorders>
            <w:noWrap w:val="0"/>
            <w:tcMar>
              <w:left w:w="0" w:type="dxa"/>
              <w:right w:w="0" w:type="dxa"/>
            </w:tcMar>
            <w:vAlign w:val="center"/>
          </w:tcPr>
          <w:p w14:paraId="0BC6AB47">
            <w:pPr>
              <w:widowControl/>
              <w:jc w:val="center"/>
              <w:textAlignment w:val="center"/>
              <w:rPr>
                <w:rFonts w:hint="default" w:eastAsia="宋体"/>
                <w:kern w:val="0"/>
                <w:sz w:val="21"/>
                <w:szCs w:val="21"/>
                <w:lang w:val="en-US" w:eastAsia="zh-CN" w:bidi="ar"/>
              </w:rPr>
            </w:pPr>
            <w:r>
              <w:rPr>
                <w:rFonts w:hint="eastAsia"/>
                <w:kern w:val="0"/>
                <w:sz w:val="21"/>
                <w:szCs w:val="21"/>
                <w:lang w:bidi="ar"/>
              </w:rPr>
              <w:t>9</w:t>
            </w:r>
            <w:r>
              <w:rPr>
                <w:rFonts w:hint="eastAsia"/>
                <w:kern w:val="0"/>
                <w:sz w:val="21"/>
                <w:szCs w:val="21"/>
                <w:lang w:val="en-US" w:eastAsia="zh-CN" w:bidi="ar"/>
              </w:rPr>
              <w:t>5</w:t>
            </w:r>
          </w:p>
        </w:tc>
        <w:tc>
          <w:tcPr>
            <w:tcW w:w="208" w:type="pct"/>
            <w:tcBorders>
              <w:top w:val="single" w:color="auto" w:sz="4" w:space="0"/>
              <w:bottom w:val="single" w:color="auto" w:sz="4" w:space="0"/>
            </w:tcBorders>
            <w:noWrap w:val="0"/>
            <w:tcMar>
              <w:left w:w="0" w:type="dxa"/>
              <w:right w:w="0" w:type="dxa"/>
            </w:tcMar>
            <w:vAlign w:val="center"/>
          </w:tcPr>
          <w:p w14:paraId="7DAF62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1.35</w:t>
            </w:r>
          </w:p>
        </w:tc>
        <w:tc>
          <w:tcPr>
            <w:tcW w:w="208" w:type="pct"/>
            <w:tcBorders>
              <w:top w:val="single" w:color="auto" w:sz="4" w:space="0"/>
              <w:bottom w:val="single" w:color="auto" w:sz="4" w:space="0"/>
            </w:tcBorders>
            <w:noWrap w:val="0"/>
            <w:tcMar>
              <w:left w:w="0" w:type="dxa"/>
              <w:right w:w="0" w:type="dxa"/>
            </w:tcMar>
            <w:vAlign w:val="center"/>
          </w:tcPr>
          <w:p w14:paraId="0B2B77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0.033</w:t>
            </w:r>
          </w:p>
        </w:tc>
        <w:tc>
          <w:tcPr>
            <w:tcW w:w="329" w:type="pct"/>
            <w:tcBorders>
              <w:top w:val="single" w:color="auto" w:sz="4" w:space="0"/>
              <w:bottom w:val="single" w:color="auto" w:sz="4" w:space="0"/>
            </w:tcBorders>
            <w:noWrap w:val="0"/>
            <w:tcMar>
              <w:left w:w="0" w:type="dxa"/>
              <w:right w:w="0" w:type="dxa"/>
            </w:tcMar>
            <w:vAlign w:val="center"/>
          </w:tcPr>
          <w:p w14:paraId="6C1883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0.234</w:t>
            </w:r>
          </w:p>
        </w:tc>
        <w:tc>
          <w:tcPr>
            <w:tcW w:w="157" w:type="pct"/>
            <w:vMerge w:val="continue"/>
            <w:noWrap w:val="0"/>
            <w:tcMar>
              <w:left w:w="0" w:type="dxa"/>
              <w:right w:w="0" w:type="dxa"/>
            </w:tcMar>
            <w:vAlign w:val="center"/>
          </w:tcPr>
          <w:p w14:paraId="66B7D8F1">
            <w:pPr>
              <w:widowControl/>
              <w:jc w:val="center"/>
              <w:textAlignment w:val="center"/>
              <w:rPr>
                <w:kern w:val="0"/>
                <w:sz w:val="21"/>
                <w:szCs w:val="21"/>
                <w:lang w:bidi="ar"/>
              </w:rPr>
            </w:pPr>
          </w:p>
        </w:tc>
        <w:tc>
          <w:tcPr>
            <w:tcW w:w="288" w:type="pct"/>
            <w:vMerge w:val="restart"/>
            <w:noWrap w:val="0"/>
            <w:tcMar>
              <w:left w:w="0" w:type="dxa"/>
              <w:right w:w="0" w:type="dxa"/>
            </w:tcMar>
            <w:vAlign w:val="center"/>
          </w:tcPr>
          <w:p w14:paraId="73EE6103">
            <w:pPr>
              <w:widowControl/>
              <w:jc w:val="center"/>
              <w:textAlignment w:val="center"/>
              <w:rPr>
                <w:rFonts w:hint="eastAsia"/>
                <w:kern w:val="0"/>
                <w:sz w:val="21"/>
                <w:szCs w:val="21"/>
                <w:lang w:bidi="ar"/>
              </w:rPr>
            </w:pPr>
            <w:r>
              <w:rPr>
                <w:rFonts w:hint="eastAsia"/>
                <w:kern w:val="0"/>
                <w:sz w:val="21"/>
                <w:szCs w:val="21"/>
                <w:lang w:val="en-US" w:eastAsia="zh-CN" w:bidi="ar"/>
              </w:rPr>
              <w:t>水喷淋+静电净化</w:t>
            </w:r>
            <w:r>
              <w:rPr>
                <w:rFonts w:hint="eastAsia"/>
                <w:kern w:val="0"/>
                <w:sz w:val="21"/>
                <w:szCs w:val="21"/>
                <w:lang w:bidi="ar"/>
              </w:rPr>
              <w:t>，</w:t>
            </w:r>
            <w:r>
              <w:rPr>
                <w:rFonts w:hint="eastAsia"/>
                <w:bCs/>
                <w:iCs/>
                <w:snapToGrid w:val="0"/>
                <w:spacing w:val="-4"/>
                <w:kern w:val="0"/>
                <w:sz w:val="21"/>
                <w:szCs w:val="21"/>
                <w:lang w:val="en-US" w:eastAsia="zh-CN" w:bidi="en-US"/>
              </w:rPr>
              <w:t>240</w:t>
            </w:r>
            <w:r>
              <w:rPr>
                <w:rFonts w:hint="eastAsia"/>
                <w:bCs/>
                <w:iCs/>
                <w:snapToGrid w:val="0"/>
                <w:spacing w:val="-4"/>
                <w:kern w:val="0"/>
                <w:sz w:val="21"/>
                <w:szCs w:val="21"/>
                <w:lang w:bidi="en-US"/>
              </w:rPr>
              <w:t>00</w:t>
            </w:r>
            <w:r>
              <w:rPr>
                <w:sz w:val="21"/>
                <w:szCs w:val="21"/>
              </w:rPr>
              <w:t>m</w:t>
            </w:r>
            <w:r>
              <w:rPr>
                <w:sz w:val="21"/>
                <w:szCs w:val="21"/>
                <w:vertAlign w:val="superscript"/>
              </w:rPr>
              <w:t>3</w:t>
            </w:r>
            <w:r>
              <w:rPr>
                <w:sz w:val="21"/>
                <w:szCs w:val="21"/>
              </w:rPr>
              <w:t>/h</w:t>
            </w:r>
          </w:p>
        </w:tc>
        <w:tc>
          <w:tcPr>
            <w:tcW w:w="180" w:type="pct"/>
            <w:tcBorders>
              <w:top w:val="single" w:color="auto" w:sz="4" w:space="0"/>
            </w:tcBorders>
            <w:noWrap w:val="0"/>
            <w:tcMar>
              <w:left w:w="0" w:type="dxa"/>
              <w:right w:w="0" w:type="dxa"/>
            </w:tcMar>
            <w:vAlign w:val="center"/>
          </w:tcPr>
          <w:p w14:paraId="675F7D47">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80</w:t>
            </w:r>
          </w:p>
        </w:tc>
        <w:tc>
          <w:tcPr>
            <w:tcW w:w="157" w:type="pct"/>
            <w:vMerge w:val="restart"/>
            <w:tcBorders>
              <w:top w:val="single" w:color="auto" w:sz="4" w:space="0"/>
            </w:tcBorders>
            <w:noWrap w:val="0"/>
            <w:tcMar>
              <w:left w:w="0" w:type="dxa"/>
              <w:right w:w="0" w:type="dxa"/>
            </w:tcMar>
            <w:vAlign w:val="center"/>
          </w:tcPr>
          <w:p w14:paraId="1371C60B">
            <w:pPr>
              <w:widowControl/>
              <w:jc w:val="center"/>
              <w:textAlignment w:val="center"/>
              <w:rPr>
                <w:rFonts w:hint="eastAsia"/>
                <w:kern w:val="0"/>
                <w:sz w:val="21"/>
                <w:szCs w:val="21"/>
                <w:lang w:bidi="ar"/>
              </w:rPr>
            </w:pPr>
            <w:r>
              <w:rPr>
                <w:rFonts w:hint="eastAsia"/>
                <w:kern w:val="0"/>
                <w:sz w:val="21"/>
                <w:szCs w:val="21"/>
                <w:lang w:bidi="ar"/>
              </w:rPr>
              <w:t>是</w:t>
            </w:r>
          </w:p>
        </w:tc>
        <w:tc>
          <w:tcPr>
            <w:tcW w:w="175" w:type="pct"/>
            <w:tcBorders>
              <w:top w:val="single" w:color="auto" w:sz="4" w:space="0"/>
              <w:bottom w:val="single" w:color="auto" w:sz="4" w:space="0"/>
            </w:tcBorders>
            <w:noWrap w:val="0"/>
            <w:tcMar>
              <w:left w:w="0" w:type="dxa"/>
              <w:right w:w="0" w:type="dxa"/>
            </w:tcMar>
            <w:vAlign w:val="center"/>
          </w:tcPr>
          <w:p w14:paraId="24BB99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0.272</w:t>
            </w:r>
          </w:p>
        </w:tc>
        <w:tc>
          <w:tcPr>
            <w:tcW w:w="225" w:type="pct"/>
            <w:tcBorders>
              <w:top w:val="single" w:color="auto" w:sz="4" w:space="0"/>
              <w:bottom w:val="single" w:color="auto" w:sz="4" w:space="0"/>
            </w:tcBorders>
            <w:noWrap w:val="0"/>
            <w:tcMar>
              <w:left w:w="0" w:type="dxa"/>
              <w:right w:w="0" w:type="dxa"/>
            </w:tcMar>
            <w:vAlign w:val="center"/>
          </w:tcPr>
          <w:p w14:paraId="18FF94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0.0065</w:t>
            </w:r>
          </w:p>
        </w:tc>
        <w:tc>
          <w:tcPr>
            <w:tcW w:w="199" w:type="pct"/>
            <w:tcBorders>
              <w:top w:val="single" w:color="auto" w:sz="4" w:space="0"/>
              <w:bottom w:val="single" w:color="auto" w:sz="4" w:space="0"/>
            </w:tcBorders>
            <w:noWrap w:val="0"/>
            <w:tcMar>
              <w:left w:w="0" w:type="dxa"/>
              <w:right w:w="0" w:type="dxa"/>
            </w:tcMar>
            <w:vAlign w:val="center"/>
          </w:tcPr>
          <w:p w14:paraId="1EE26E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0.047</w:t>
            </w:r>
          </w:p>
        </w:tc>
        <w:tc>
          <w:tcPr>
            <w:tcW w:w="107" w:type="pct"/>
            <w:vMerge w:val="continue"/>
            <w:noWrap w:val="0"/>
            <w:tcMar>
              <w:left w:w="0" w:type="dxa"/>
              <w:right w:w="0" w:type="dxa"/>
            </w:tcMar>
            <w:vAlign w:val="center"/>
          </w:tcPr>
          <w:p w14:paraId="5D75F788">
            <w:pPr>
              <w:widowControl/>
              <w:jc w:val="center"/>
              <w:textAlignment w:val="center"/>
              <w:rPr>
                <w:rFonts w:hint="default" w:eastAsia="宋体"/>
                <w:kern w:val="0"/>
                <w:sz w:val="21"/>
                <w:szCs w:val="21"/>
                <w:lang w:val="en-US" w:eastAsia="zh-CN" w:bidi="ar"/>
              </w:rPr>
            </w:pPr>
          </w:p>
        </w:tc>
        <w:tc>
          <w:tcPr>
            <w:tcW w:w="122" w:type="pct"/>
            <w:vMerge w:val="continue"/>
            <w:noWrap w:val="0"/>
            <w:tcMar>
              <w:left w:w="0" w:type="dxa"/>
              <w:right w:w="0" w:type="dxa"/>
            </w:tcMar>
            <w:vAlign w:val="center"/>
          </w:tcPr>
          <w:p w14:paraId="78983DD4">
            <w:pPr>
              <w:widowControl/>
              <w:jc w:val="center"/>
              <w:textAlignment w:val="center"/>
              <w:rPr>
                <w:rFonts w:hint="default" w:eastAsia="宋体"/>
                <w:kern w:val="0"/>
                <w:sz w:val="21"/>
                <w:szCs w:val="21"/>
                <w:lang w:val="en-US" w:eastAsia="zh-CN" w:bidi="ar"/>
              </w:rPr>
            </w:pPr>
          </w:p>
        </w:tc>
        <w:tc>
          <w:tcPr>
            <w:tcW w:w="125" w:type="pct"/>
            <w:vMerge w:val="continue"/>
            <w:noWrap w:val="0"/>
            <w:tcMar>
              <w:left w:w="0" w:type="dxa"/>
              <w:right w:w="0" w:type="dxa"/>
            </w:tcMar>
            <w:vAlign w:val="center"/>
          </w:tcPr>
          <w:p w14:paraId="7819F5DB">
            <w:pPr>
              <w:widowControl/>
              <w:jc w:val="center"/>
              <w:textAlignment w:val="center"/>
              <w:rPr>
                <w:kern w:val="0"/>
                <w:sz w:val="21"/>
                <w:szCs w:val="21"/>
                <w:lang w:bidi="ar"/>
              </w:rPr>
            </w:pPr>
          </w:p>
        </w:tc>
        <w:tc>
          <w:tcPr>
            <w:tcW w:w="189" w:type="pct"/>
            <w:vMerge w:val="continue"/>
            <w:noWrap w:val="0"/>
            <w:tcMar>
              <w:left w:w="0" w:type="dxa"/>
              <w:right w:w="0" w:type="dxa"/>
            </w:tcMar>
            <w:vAlign w:val="center"/>
          </w:tcPr>
          <w:p w14:paraId="0F54B623">
            <w:pPr>
              <w:widowControl/>
              <w:jc w:val="center"/>
              <w:textAlignment w:val="center"/>
              <w:rPr>
                <w:rFonts w:hint="default" w:eastAsia="宋体"/>
                <w:kern w:val="0"/>
                <w:sz w:val="21"/>
                <w:szCs w:val="21"/>
                <w:lang w:val="en-US" w:eastAsia="zh-CN" w:bidi="ar"/>
              </w:rPr>
            </w:pPr>
          </w:p>
        </w:tc>
        <w:tc>
          <w:tcPr>
            <w:tcW w:w="233" w:type="pct"/>
            <w:vMerge w:val="continue"/>
            <w:noWrap w:val="0"/>
            <w:tcMar>
              <w:left w:w="0" w:type="dxa"/>
              <w:right w:w="0" w:type="dxa"/>
            </w:tcMar>
            <w:vAlign w:val="center"/>
          </w:tcPr>
          <w:p w14:paraId="0B1B766E">
            <w:pPr>
              <w:widowControl/>
              <w:jc w:val="center"/>
              <w:textAlignment w:val="center"/>
              <w:rPr>
                <w:kern w:val="0"/>
                <w:sz w:val="21"/>
                <w:szCs w:val="21"/>
                <w:lang w:bidi="ar"/>
              </w:rPr>
            </w:pPr>
          </w:p>
        </w:tc>
        <w:tc>
          <w:tcPr>
            <w:tcW w:w="257" w:type="pct"/>
            <w:vMerge w:val="continue"/>
            <w:noWrap w:val="0"/>
            <w:tcMar>
              <w:left w:w="0" w:type="dxa"/>
              <w:right w:w="0" w:type="dxa"/>
            </w:tcMar>
            <w:vAlign w:val="center"/>
          </w:tcPr>
          <w:p w14:paraId="6C142730">
            <w:pPr>
              <w:widowControl/>
              <w:jc w:val="center"/>
              <w:textAlignment w:val="center"/>
              <w:rPr>
                <w:rFonts w:hint="default" w:ascii="Times New Roman" w:hAnsi="Times New Roman" w:cs="Times New Roman"/>
                <w:kern w:val="0"/>
                <w:sz w:val="21"/>
                <w:szCs w:val="21"/>
                <w:lang w:bidi="ar"/>
              </w:rPr>
            </w:pPr>
          </w:p>
        </w:tc>
        <w:tc>
          <w:tcPr>
            <w:tcW w:w="216" w:type="pct"/>
            <w:vMerge w:val="continue"/>
            <w:tcBorders>
              <w:bottom w:val="single" w:color="auto" w:sz="4" w:space="0"/>
            </w:tcBorders>
            <w:noWrap w:val="0"/>
            <w:tcMar>
              <w:left w:w="0" w:type="dxa"/>
              <w:right w:w="0" w:type="dxa"/>
            </w:tcMar>
            <w:vAlign w:val="center"/>
          </w:tcPr>
          <w:p w14:paraId="0D79CFB6">
            <w:pPr>
              <w:jc w:val="center"/>
              <w:rPr>
                <w:rFonts w:hint="default" w:eastAsia="宋体"/>
                <w:sz w:val="21"/>
                <w:szCs w:val="21"/>
                <w:lang w:val="en-US" w:eastAsia="zh-CN"/>
              </w:rPr>
            </w:pPr>
          </w:p>
        </w:tc>
        <w:tc>
          <w:tcPr>
            <w:tcW w:w="127" w:type="pct"/>
            <w:vMerge w:val="continue"/>
            <w:tcBorders>
              <w:bottom w:val="single" w:color="auto" w:sz="4" w:space="0"/>
            </w:tcBorders>
            <w:noWrap w:val="0"/>
            <w:tcMar>
              <w:left w:w="0" w:type="dxa"/>
              <w:right w:w="0" w:type="dxa"/>
            </w:tcMar>
            <w:vAlign w:val="center"/>
          </w:tcPr>
          <w:p w14:paraId="41D82520">
            <w:pPr>
              <w:jc w:val="center"/>
              <w:rPr>
                <w:rFonts w:hint="eastAsia"/>
                <w:sz w:val="21"/>
                <w:szCs w:val="21"/>
              </w:rPr>
            </w:pPr>
          </w:p>
        </w:tc>
        <w:tc>
          <w:tcPr>
            <w:tcW w:w="256" w:type="pct"/>
            <w:vMerge w:val="continue"/>
            <w:noWrap w:val="0"/>
            <w:tcMar>
              <w:left w:w="0" w:type="dxa"/>
              <w:right w:w="0" w:type="dxa"/>
            </w:tcMar>
            <w:vAlign w:val="center"/>
          </w:tcPr>
          <w:p w14:paraId="00C3C303">
            <w:pPr>
              <w:widowControl/>
              <w:jc w:val="center"/>
              <w:textAlignment w:val="center"/>
              <w:rPr>
                <w:rFonts w:hint="default" w:eastAsia="宋体"/>
                <w:kern w:val="0"/>
                <w:sz w:val="21"/>
                <w:szCs w:val="21"/>
                <w:lang w:val="en-US" w:eastAsia="zh-CN" w:bidi="ar"/>
              </w:rPr>
            </w:pPr>
          </w:p>
        </w:tc>
        <w:tc>
          <w:tcPr>
            <w:tcW w:w="82" w:type="pct"/>
            <w:vMerge w:val="continue"/>
            <w:noWrap w:val="0"/>
            <w:tcMar>
              <w:left w:w="0" w:type="dxa"/>
              <w:right w:w="0" w:type="dxa"/>
            </w:tcMar>
            <w:vAlign w:val="center"/>
          </w:tcPr>
          <w:p w14:paraId="00DF181A">
            <w:pPr>
              <w:widowControl/>
              <w:adjustRightInd w:val="0"/>
              <w:snapToGrid w:val="0"/>
              <w:jc w:val="center"/>
              <w:rPr>
                <w:rFonts w:hint="eastAsia"/>
                <w:bCs/>
                <w:iCs/>
                <w:snapToGrid w:val="0"/>
                <w:spacing w:val="-4"/>
                <w:kern w:val="0"/>
                <w:sz w:val="21"/>
                <w:szCs w:val="21"/>
                <w:lang w:bidi="en-US"/>
              </w:rPr>
            </w:pPr>
          </w:p>
        </w:tc>
        <w:tc>
          <w:tcPr>
            <w:tcW w:w="110" w:type="pct"/>
            <w:vMerge w:val="continue"/>
            <w:noWrap w:val="0"/>
            <w:tcMar>
              <w:left w:w="0" w:type="dxa"/>
              <w:right w:w="0" w:type="dxa"/>
            </w:tcMar>
            <w:vAlign w:val="center"/>
          </w:tcPr>
          <w:p w14:paraId="7E65AD43">
            <w:pPr>
              <w:widowControl/>
              <w:adjustRightInd w:val="0"/>
              <w:snapToGrid w:val="0"/>
              <w:jc w:val="center"/>
              <w:rPr>
                <w:rFonts w:hint="default" w:eastAsia="宋体"/>
                <w:bCs/>
                <w:iCs/>
                <w:snapToGrid w:val="0"/>
                <w:spacing w:val="-4"/>
                <w:kern w:val="0"/>
                <w:sz w:val="21"/>
                <w:szCs w:val="21"/>
                <w:lang w:val="en-US" w:eastAsia="zh-CN" w:bidi="en-US"/>
              </w:rPr>
            </w:pPr>
          </w:p>
        </w:tc>
        <w:tc>
          <w:tcPr>
            <w:tcW w:w="73" w:type="pct"/>
            <w:vMerge w:val="continue"/>
            <w:noWrap w:val="0"/>
            <w:tcMar>
              <w:left w:w="0" w:type="dxa"/>
              <w:right w:w="0" w:type="dxa"/>
            </w:tcMar>
            <w:vAlign w:val="center"/>
          </w:tcPr>
          <w:p w14:paraId="2BFFDAE2">
            <w:pPr>
              <w:widowControl/>
              <w:adjustRightInd w:val="0"/>
              <w:snapToGrid w:val="0"/>
              <w:jc w:val="center"/>
              <w:rPr>
                <w:rFonts w:hint="eastAsia"/>
                <w:bCs/>
                <w:iCs/>
                <w:snapToGrid w:val="0"/>
                <w:spacing w:val="-4"/>
                <w:kern w:val="0"/>
                <w:sz w:val="21"/>
                <w:szCs w:val="21"/>
                <w:lang w:bidi="en-US"/>
              </w:rPr>
            </w:pPr>
          </w:p>
        </w:tc>
      </w:tr>
      <w:tr w14:paraId="0615418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4" w:type="pct"/>
          <w:trHeight w:val="933" w:hRule="atLeast"/>
          <w:jc w:val="center"/>
        </w:trPr>
        <w:tc>
          <w:tcPr>
            <w:tcW w:w="114" w:type="pct"/>
            <w:vMerge w:val="continue"/>
            <w:tcBorders>
              <w:top w:val="single" w:color="auto" w:sz="4" w:space="0"/>
              <w:bottom w:val="single" w:color="auto" w:sz="4" w:space="0"/>
            </w:tcBorders>
            <w:noWrap w:val="0"/>
            <w:vAlign w:val="center"/>
          </w:tcPr>
          <w:p w14:paraId="13DEF32C">
            <w:pPr>
              <w:jc w:val="center"/>
              <w:rPr>
                <w:sz w:val="21"/>
                <w:szCs w:val="21"/>
              </w:rPr>
            </w:pPr>
          </w:p>
        </w:tc>
        <w:tc>
          <w:tcPr>
            <w:tcW w:w="205" w:type="pct"/>
            <w:tcBorders>
              <w:top w:val="single" w:color="auto" w:sz="4" w:space="0"/>
              <w:bottom w:val="single" w:color="auto" w:sz="4" w:space="0"/>
            </w:tcBorders>
            <w:noWrap w:val="0"/>
            <w:tcMar>
              <w:left w:w="0" w:type="dxa"/>
              <w:right w:w="0" w:type="dxa"/>
            </w:tcMar>
            <w:vAlign w:val="center"/>
          </w:tcPr>
          <w:p w14:paraId="3738B448">
            <w:pPr>
              <w:jc w:val="center"/>
              <w:rPr>
                <w:rFonts w:hint="default" w:eastAsia="宋体"/>
                <w:sz w:val="21"/>
                <w:szCs w:val="21"/>
                <w:lang w:val="en-US" w:eastAsia="zh-CN"/>
              </w:rPr>
            </w:pPr>
            <w:r>
              <w:rPr>
                <w:rFonts w:hint="eastAsia"/>
                <w:sz w:val="21"/>
                <w:szCs w:val="21"/>
                <w:lang w:val="en-US" w:eastAsia="zh-CN"/>
              </w:rPr>
              <w:t>非甲烷总烃</w:t>
            </w:r>
          </w:p>
        </w:tc>
        <w:tc>
          <w:tcPr>
            <w:tcW w:w="194" w:type="pct"/>
            <w:tcBorders>
              <w:top w:val="single" w:color="auto" w:sz="4" w:space="0"/>
              <w:bottom w:val="single" w:color="auto" w:sz="4" w:space="0"/>
            </w:tcBorders>
            <w:noWrap w:val="0"/>
            <w:tcMar>
              <w:left w:w="0" w:type="dxa"/>
              <w:right w:w="0" w:type="dxa"/>
            </w:tcMar>
            <w:vAlign w:val="center"/>
          </w:tcPr>
          <w:p w14:paraId="797CB3E9">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0.225</w:t>
            </w:r>
          </w:p>
        </w:tc>
        <w:tc>
          <w:tcPr>
            <w:tcW w:w="225" w:type="pct"/>
            <w:tcBorders>
              <w:top w:val="single" w:color="auto" w:sz="4" w:space="0"/>
              <w:bottom w:val="single" w:color="auto" w:sz="4" w:space="0"/>
            </w:tcBorders>
            <w:noWrap w:val="0"/>
            <w:tcMar>
              <w:left w:w="0" w:type="dxa"/>
              <w:right w:w="0" w:type="dxa"/>
            </w:tcMar>
            <w:vAlign w:val="center"/>
          </w:tcPr>
          <w:p w14:paraId="0ADB3B31">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1.62</w:t>
            </w:r>
          </w:p>
        </w:tc>
        <w:tc>
          <w:tcPr>
            <w:tcW w:w="86" w:type="pct"/>
            <w:vMerge w:val="continue"/>
            <w:noWrap w:val="0"/>
            <w:tcMar>
              <w:left w:w="0" w:type="dxa"/>
              <w:right w:w="0" w:type="dxa"/>
            </w:tcMar>
            <w:vAlign w:val="center"/>
          </w:tcPr>
          <w:p w14:paraId="1D28AC51">
            <w:pPr>
              <w:widowControl/>
              <w:jc w:val="center"/>
              <w:textAlignment w:val="center"/>
              <w:rPr>
                <w:rFonts w:hint="eastAsia"/>
                <w:kern w:val="0"/>
                <w:sz w:val="21"/>
                <w:szCs w:val="21"/>
                <w:lang w:bidi="ar"/>
              </w:rPr>
            </w:pPr>
          </w:p>
        </w:tc>
        <w:tc>
          <w:tcPr>
            <w:tcW w:w="116" w:type="pct"/>
            <w:vMerge w:val="continue"/>
            <w:tcBorders>
              <w:bottom w:val="single" w:color="auto" w:sz="4" w:space="0"/>
            </w:tcBorders>
            <w:noWrap w:val="0"/>
            <w:tcMar>
              <w:left w:w="0" w:type="dxa"/>
              <w:right w:w="0" w:type="dxa"/>
            </w:tcMar>
            <w:vAlign w:val="center"/>
          </w:tcPr>
          <w:p w14:paraId="2799E874">
            <w:pPr>
              <w:widowControl/>
              <w:jc w:val="center"/>
              <w:textAlignment w:val="center"/>
              <w:rPr>
                <w:rFonts w:hint="eastAsia"/>
                <w:kern w:val="0"/>
                <w:sz w:val="21"/>
                <w:szCs w:val="21"/>
                <w:lang w:bidi="ar"/>
              </w:rPr>
            </w:pPr>
          </w:p>
        </w:tc>
        <w:tc>
          <w:tcPr>
            <w:tcW w:w="208" w:type="pct"/>
            <w:tcBorders>
              <w:top w:val="single" w:color="auto" w:sz="4" w:space="0"/>
              <w:bottom w:val="single" w:color="auto" w:sz="4" w:space="0"/>
            </w:tcBorders>
            <w:noWrap w:val="0"/>
            <w:tcMar>
              <w:left w:w="0" w:type="dxa"/>
              <w:right w:w="0" w:type="dxa"/>
            </w:tcMar>
            <w:vAlign w:val="center"/>
          </w:tcPr>
          <w:p w14:paraId="732D40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8.9</w:t>
            </w:r>
          </w:p>
        </w:tc>
        <w:tc>
          <w:tcPr>
            <w:tcW w:w="208" w:type="pct"/>
            <w:tcBorders>
              <w:top w:val="single" w:color="auto" w:sz="4" w:space="0"/>
              <w:bottom w:val="single" w:color="auto" w:sz="4" w:space="0"/>
            </w:tcBorders>
            <w:noWrap w:val="0"/>
            <w:tcMar>
              <w:left w:w="0" w:type="dxa"/>
              <w:right w:w="0" w:type="dxa"/>
            </w:tcMar>
            <w:vAlign w:val="center"/>
          </w:tcPr>
          <w:p w14:paraId="086D91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0.214</w:t>
            </w:r>
          </w:p>
        </w:tc>
        <w:tc>
          <w:tcPr>
            <w:tcW w:w="329" w:type="pct"/>
            <w:tcBorders>
              <w:top w:val="single" w:color="auto" w:sz="4" w:space="0"/>
              <w:bottom w:val="single" w:color="auto" w:sz="4" w:space="0"/>
            </w:tcBorders>
            <w:noWrap w:val="0"/>
            <w:tcMar>
              <w:left w:w="0" w:type="dxa"/>
              <w:right w:w="0" w:type="dxa"/>
            </w:tcMar>
            <w:vAlign w:val="center"/>
          </w:tcPr>
          <w:p w14:paraId="6D8CC2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1.539</w:t>
            </w:r>
          </w:p>
        </w:tc>
        <w:tc>
          <w:tcPr>
            <w:tcW w:w="157" w:type="pct"/>
            <w:vMerge w:val="continue"/>
            <w:noWrap w:val="0"/>
            <w:tcMar>
              <w:left w:w="0" w:type="dxa"/>
              <w:right w:w="0" w:type="dxa"/>
            </w:tcMar>
            <w:vAlign w:val="center"/>
          </w:tcPr>
          <w:p w14:paraId="5139298C">
            <w:pPr>
              <w:widowControl/>
              <w:jc w:val="center"/>
              <w:textAlignment w:val="center"/>
              <w:rPr>
                <w:rFonts w:hint="eastAsia"/>
                <w:kern w:val="0"/>
                <w:sz w:val="21"/>
                <w:szCs w:val="21"/>
                <w:lang w:bidi="ar"/>
              </w:rPr>
            </w:pPr>
          </w:p>
        </w:tc>
        <w:tc>
          <w:tcPr>
            <w:tcW w:w="288" w:type="pct"/>
            <w:vMerge w:val="continue"/>
            <w:tcBorders>
              <w:bottom w:val="single" w:color="auto" w:sz="4" w:space="0"/>
            </w:tcBorders>
            <w:noWrap w:val="0"/>
            <w:tcMar>
              <w:left w:w="0" w:type="dxa"/>
              <w:right w:w="0" w:type="dxa"/>
            </w:tcMar>
            <w:vAlign w:val="center"/>
          </w:tcPr>
          <w:p w14:paraId="5A11A38B">
            <w:pPr>
              <w:widowControl/>
              <w:jc w:val="center"/>
              <w:textAlignment w:val="center"/>
              <w:rPr>
                <w:rFonts w:hint="eastAsia"/>
                <w:kern w:val="0"/>
                <w:sz w:val="21"/>
                <w:szCs w:val="21"/>
                <w:lang w:bidi="ar"/>
              </w:rPr>
            </w:pPr>
          </w:p>
        </w:tc>
        <w:tc>
          <w:tcPr>
            <w:tcW w:w="180" w:type="pct"/>
            <w:tcBorders>
              <w:bottom w:val="single" w:color="auto" w:sz="4" w:space="0"/>
            </w:tcBorders>
            <w:noWrap w:val="0"/>
            <w:tcMar>
              <w:left w:w="0" w:type="dxa"/>
              <w:right w:w="0" w:type="dxa"/>
            </w:tcMar>
            <w:vAlign w:val="center"/>
          </w:tcPr>
          <w:p w14:paraId="0CBD6506">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80</w:t>
            </w:r>
          </w:p>
        </w:tc>
        <w:tc>
          <w:tcPr>
            <w:tcW w:w="157" w:type="pct"/>
            <w:vMerge w:val="continue"/>
            <w:noWrap w:val="0"/>
            <w:tcMar>
              <w:left w:w="0" w:type="dxa"/>
              <w:right w:w="0" w:type="dxa"/>
            </w:tcMar>
            <w:vAlign w:val="center"/>
          </w:tcPr>
          <w:p w14:paraId="05DB3BE8">
            <w:pPr>
              <w:widowControl/>
              <w:jc w:val="center"/>
              <w:textAlignment w:val="center"/>
              <w:rPr>
                <w:rFonts w:hint="eastAsia"/>
                <w:kern w:val="0"/>
                <w:sz w:val="21"/>
                <w:szCs w:val="21"/>
                <w:lang w:bidi="ar"/>
              </w:rPr>
            </w:pPr>
          </w:p>
        </w:tc>
        <w:tc>
          <w:tcPr>
            <w:tcW w:w="175" w:type="pct"/>
            <w:tcBorders>
              <w:top w:val="single" w:color="auto" w:sz="4" w:space="0"/>
              <w:bottom w:val="single" w:color="auto" w:sz="4" w:space="0"/>
            </w:tcBorders>
            <w:noWrap w:val="0"/>
            <w:tcMar>
              <w:left w:w="0" w:type="dxa"/>
              <w:right w:w="0" w:type="dxa"/>
            </w:tcMar>
            <w:vAlign w:val="center"/>
          </w:tcPr>
          <w:p w14:paraId="4F0DDB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1.78</w:t>
            </w:r>
          </w:p>
        </w:tc>
        <w:tc>
          <w:tcPr>
            <w:tcW w:w="225" w:type="pct"/>
            <w:tcBorders>
              <w:top w:val="single" w:color="auto" w:sz="4" w:space="0"/>
              <w:bottom w:val="single" w:color="auto" w:sz="4" w:space="0"/>
            </w:tcBorders>
            <w:noWrap w:val="0"/>
            <w:tcMar>
              <w:left w:w="0" w:type="dxa"/>
              <w:right w:w="0" w:type="dxa"/>
            </w:tcMar>
            <w:vAlign w:val="center"/>
          </w:tcPr>
          <w:p w14:paraId="5CCDC6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0.043</w:t>
            </w:r>
          </w:p>
        </w:tc>
        <w:tc>
          <w:tcPr>
            <w:tcW w:w="199" w:type="pct"/>
            <w:tcBorders>
              <w:top w:val="single" w:color="auto" w:sz="4" w:space="0"/>
              <w:bottom w:val="single" w:color="auto" w:sz="4" w:space="0"/>
            </w:tcBorders>
            <w:noWrap w:val="0"/>
            <w:tcMar>
              <w:left w:w="0" w:type="dxa"/>
              <w:right w:w="0" w:type="dxa"/>
            </w:tcMar>
            <w:vAlign w:val="center"/>
          </w:tcPr>
          <w:p w14:paraId="542852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0.308</w:t>
            </w:r>
          </w:p>
        </w:tc>
        <w:tc>
          <w:tcPr>
            <w:tcW w:w="107" w:type="pct"/>
            <w:vMerge w:val="continue"/>
            <w:tcBorders>
              <w:bottom w:val="single" w:color="auto" w:sz="4" w:space="0"/>
            </w:tcBorders>
            <w:noWrap w:val="0"/>
            <w:tcMar>
              <w:left w:w="0" w:type="dxa"/>
              <w:right w:w="0" w:type="dxa"/>
            </w:tcMar>
            <w:vAlign w:val="center"/>
          </w:tcPr>
          <w:p w14:paraId="13DDEBBF">
            <w:pPr>
              <w:widowControl/>
              <w:jc w:val="center"/>
              <w:textAlignment w:val="center"/>
              <w:rPr>
                <w:rFonts w:hint="eastAsia"/>
                <w:kern w:val="0"/>
                <w:sz w:val="21"/>
                <w:szCs w:val="21"/>
                <w:lang w:bidi="ar"/>
              </w:rPr>
            </w:pPr>
          </w:p>
        </w:tc>
        <w:tc>
          <w:tcPr>
            <w:tcW w:w="122" w:type="pct"/>
            <w:vMerge w:val="continue"/>
            <w:tcBorders>
              <w:bottom w:val="single" w:color="auto" w:sz="4" w:space="0"/>
            </w:tcBorders>
            <w:noWrap w:val="0"/>
            <w:tcMar>
              <w:left w:w="0" w:type="dxa"/>
              <w:right w:w="0" w:type="dxa"/>
            </w:tcMar>
            <w:vAlign w:val="center"/>
          </w:tcPr>
          <w:p w14:paraId="4C517DC4">
            <w:pPr>
              <w:widowControl/>
              <w:jc w:val="center"/>
              <w:textAlignment w:val="center"/>
              <w:rPr>
                <w:rFonts w:hint="eastAsia"/>
                <w:kern w:val="0"/>
                <w:sz w:val="21"/>
                <w:szCs w:val="21"/>
                <w:lang w:bidi="ar"/>
              </w:rPr>
            </w:pPr>
          </w:p>
        </w:tc>
        <w:tc>
          <w:tcPr>
            <w:tcW w:w="125" w:type="pct"/>
            <w:vMerge w:val="continue"/>
            <w:tcBorders>
              <w:bottom w:val="single" w:color="auto" w:sz="4" w:space="0"/>
            </w:tcBorders>
            <w:noWrap w:val="0"/>
            <w:tcMar>
              <w:left w:w="0" w:type="dxa"/>
              <w:right w:w="0" w:type="dxa"/>
            </w:tcMar>
            <w:vAlign w:val="center"/>
          </w:tcPr>
          <w:p w14:paraId="176A8928">
            <w:pPr>
              <w:widowControl/>
              <w:jc w:val="center"/>
              <w:textAlignment w:val="center"/>
              <w:rPr>
                <w:rFonts w:hint="eastAsia"/>
                <w:kern w:val="0"/>
                <w:sz w:val="21"/>
                <w:szCs w:val="21"/>
                <w:lang w:bidi="ar"/>
              </w:rPr>
            </w:pPr>
          </w:p>
        </w:tc>
        <w:tc>
          <w:tcPr>
            <w:tcW w:w="189" w:type="pct"/>
            <w:vMerge w:val="continue"/>
            <w:tcBorders>
              <w:bottom w:val="single" w:color="auto" w:sz="4" w:space="0"/>
            </w:tcBorders>
            <w:noWrap w:val="0"/>
            <w:tcMar>
              <w:left w:w="0" w:type="dxa"/>
              <w:right w:w="0" w:type="dxa"/>
            </w:tcMar>
            <w:vAlign w:val="center"/>
          </w:tcPr>
          <w:p w14:paraId="25E44771">
            <w:pPr>
              <w:widowControl/>
              <w:jc w:val="center"/>
              <w:textAlignment w:val="center"/>
              <w:rPr>
                <w:rFonts w:hint="eastAsia"/>
                <w:kern w:val="0"/>
                <w:sz w:val="21"/>
                <w:szCs w:val="21"/>
                <w:lang w:bidi="ar"/>
              </w:rPr>
            </w:pPr>
          </w:p>
        </w:tc>
        <w:tc>
          <w:tcPr>
            <w:tcW w:w="233" w:type="pct"/>
            <w:vMerge w:val="continue"/>
            <w:tcBorders>
              <w:bottom w:val="single" w:color="auto" w:sz="4" w:space="0"/>
            </w:tcBorders>
            <w:noWrap w:val="0"/>
            <w:tcMar>
              <w:left w:w="0" w:type="dxa"/>
              <w:right w:w="0" w:type="dxa"/>
            </w:tcMar>
            <w:vAlign w:val="center"/>
          </w:tcPr>
          <w:p w14:paraId="28DF2A22">
            <w:pPr>
              <w:widowControl/>
              <w:jc w:val="center"/>
              <w:textAlignment w:val="center"/>
              <w:rPr>
                <w:rFonts w:hint="eastAsia"/>
                <w:kern w:val="0"/>
                <w:sz w:val="21"/>
                <w:szCs w:val="21"/>
                <w:lang w:bidi="ar"/>
              </w:rPr>
            </w:pPr>
          </w:p>
        </w:tc>
        <w:tc>
          <w:tcPr>
            <w:tcW w:w="257" w:type="pct"/>
            <w:vMerge w:val="continue"/>
            <w:tcBorders>
              <w:bottom w:val="single" w:color="auto" w:sz="4" w:space="0"/>
            </w:tcBorders>
            <w:noWrap w:val="0"/>
            <w:tcMar>
              <w:left w:w="0" w:type="dxa"/>
              <w:right w:w="0" w:type="dxa"/>
            </w:tcMar>
            <w:vAlign w:val="center"/>
          </w:tcPr>
          <w:p w14:paraId="642D64DE">
            <w:pPr>
              <w:widowControl/>
              <w:jc w:val="center"/>
              <w:textAlignment w:val="center"/>
              <w:rPr>
                <w:rFonts w:hint="default" w:ascii="Times New Roman" w:hAnsi="Times New Roman" w:cs="Times New Roman"/>
                <w:kern w:val="0"/>
                <w:sz w:val="21"/>
                <w:szCs w:val="21"/>
                <w:lang w:bidi="ar"/>
              </w:rPr>
            </w:pPr>
          </w:p>
        </w:tc>
        <w:tc>
          <w:tcPr>
            <w:tcW w:w="216" w:type="pct"/>
            <w:tcBorders>
              <w:top w:val="single" w:color="auto" w:sz="4" w:space="0"/>
              <w:bottom w:val="single" w:color="auto" w:sz="4" w:space="0"/>
            </w:tcBorders>
            <w:noWrap w:val="0"/>
            <w:tcMar>
              <w:left w:w="0" w:type="dxa"/>
              <w:right w:w="0" w:type="dxa"/>
            </w:tcMar>
            <w:vAlign w:val="center"/>
          </w:tcPr>
          <w:p w14:paraId="100DA37E">
            <w:pPr>
              <w:jc w:val="center"/>
              <w:rPr>
                <w:rFonts w:hint="default" w:eastAsia="宋体"/>
                <w:sz w:val="21"/>
                <w:szCs w:val="21"/>
                <w:lang w:val="en-US" w:eastAsia="zh-CN"/>
              </w:rPr>
            </w:pPr>
            <w:r>
              <w:rPr>
                <w:rFonts w:hint="eastAsia"/>
                <w:sz w:val="21"/>
                <w:szCs w:val="21"/>
                <w:lang w:val="en-US" w:eastAsia="zh-CN"/>
              </w:rPr>
              <w:t>60</w:t>
            </w:r>
          </w:p>
        </w:tc>
        <w:tc>
          <w:tcPr>
            <w:tcW w:w="127" w:type="pct"/>
            <w:tcBorders>
              <w:top w:val="single" w:color="auto" w:sz="4" w:space="0"/>
              <w:bottom w:val="single" w:color="auto" w:sz="4" w:space="0"/>
            </w:tcBorders>
            <w:noWrap w:val="0"/>
            <w:tcMar>
              <w:left w:w="0" w:type="dxa"/>
              <w:right w:w="0" w:type="dxa"/>
            </w:tcMar>
            <w:vAlign w:val="center"/>
          </w:tcPr>
          <w:p w14:paraId="651CE6AC">
            <w:pPr>
              <w:jc w:val="center"/>
              <w:rPr>
                <w:rFonts w:hint="eastAsia" w:eastAsia="宋体"/>
                <w:sz w:val="21"/>
                <w:szCs w:val="21"/>
                <w:lang w:eastAsia="zh-CN"/>
              </w:rPr>
            </w:pPr>
            <w:r>
              <w:rPr>
                <w:rFonts w:hint="eastAsia"/>
                <w:sz w:val="21"/>
                <w:szCs w:val="21"/>
                <w:lang w:val="en-US" w:eastAsia="zh-CN"/>
              </w:rPr>
              <w:t>3</w:t>
            </w:r>
          </w:p>
        </w:tc>
        <w:tc>
          <w:tcPr>
            <w:tcW w:w="256" w:type="pct"/>
            <w:vMerge w:val="continue"/>
            <w:tcBorders>
              <w:bottom w:val="single" w:color="auto" w:sz="4" w:space="0"/>
            </w:tcBorders>
            <w:noWrap w:val="0"/>
            <w:tcMar>
              <w:left w:w="0" w:type="dxa"/>
              <w:right w:w="0" w:type="dxa"/>
            </w:tcMar>
            <w:vAlign w:val="center"/>
          </w:tcPr>
          <w:p w14:paraId="5DB284B2">
            <w:pPr>
              <w:widowControl/>
              <w:jc w:val="center"/>
              <w:textAlignment w:val="center"/>
              <w:rPr>
                <w:rFonts w:hint="eastAsia"/>
                <w:kern w:val="0"/>
                <w:sz w:val="21"/>
                <w:szCs w:val="21"/>
                <w:lang w:bidi="ar"/>
              </w:rPr>
            </w:pPr>
          </w:p>
        </w:tc>
        <w:tc>
          <w:tcPr>
            <w:tcW w:w="82" w:type="pct"/>
            <w:vMerge w:val="continue"/>
            <w:noWrap w:val="0"/>
            <w:tcMar>
              <w:left w:w="0" w:type="dxa"/>
              <w:right w:w="0" w:type="dxa"/>
            </w:tcMar>
            <w:vAlign w:val="center"/>
          </w:tcPr>
          <w:p w14:paraId="37E8EF3F">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0E4B390B">
            <w:pPr>
              <w:widowControl/>
              <w:jc w:val="center"/>
              <w:textAlignment w:val="center"/>
              <w:rPr>
                <w:rFonts w:hint="eastAsia"/>
                <w:kern w:val="0"/>
                <w:sz w:val="21"/>
                <w:szCs w:val="21"/>
                <w:lang w:bidi="ar"/>
              </w:rPr>
            </w:pPr>
          </w:p>
        </w:tc>
        <w:tc>
          <w:tcPr>
            <w:tcW w:w="73" w:type="pct"/>
            <w:vMerge w:val="continue"/>
            <w:tcBorders>
              <w:bottom w:val="single" w:color="auto" w:sz="4" w:space="0"/>
            </w:tcBorders>
            <w:noWrap w:val="0"/>
            <w:tcMar>
              <w:left w:w="0" w:type="dxa"/>
              <w:right w:w="0" w:type="dxa"/>
            </w:tcMar>
            <w:vAlign w:val="center"/>
          </w:tcPr>
          <w:p w14:paraId="523E1D75">
            <w:pPr>
              <w:widowControl/>
              <w:jc w:val="center"/>
              <w:textAlignment w:val="center"/>
              <w:rPr>
                <w:rFonts w:hint="eastAsia"/>
                <w:kern w:val="0"/>
                <w:sz w:val="21"/>
                <w:szCs w:val="21"/>
                <w:lang w:bidi="ar"/>
              </w:rPr>
            </w:pPr>
          </w:p>
        </w:tc>
      </w:tr>
      <w:tr w14:paraId="0460B5A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restart"/>
            <w:tcBorders>
              <w:top w:val="single" w:color="auto" w:sz="4" w:space="0"/>
              <w:bottom w:val="single" w:color="auto" w:sz="4" w:space="0"/>
            </w:tcBorders>
            <w:noWrap w:val="0"/>
            <w:vAlign w:val="center"/>
          </w:tcPr>
          <w:p w14:paraId="6A4DE767">
            <w:pPr>
              <w:jc w:val="center"/>
              <w:rPr>
                <w:rFonts w:hint="default" w:eastAsia="宋体"/>
                <w:sz w:val="21"/>
                <w:szCs w:val="21"/>
                <w:lang w:val="en-US" w:eastAsia="zh-CN"/>
              </w:rPr>
            </w:pPr>
            <w:r>
              <w:rPr>
                <w:rFonts w:hint="eastAsia"/>
                <w:sz w:val="21"/>
                <w:szCs w:val="21"/>
                <w:lang w:val="en-US" w:eastAsia="zh-CN"/>
              </w:rPr>
              <w:t>蒸汽锅炉废气</w:t>
            </w:r>
          </w:p>
        </w:tc>
        <w:tc>
          <w:tcPr>
            <w:tcW w:w="205" w:type="pct"/>
            <w:tcBorders>
              <w:top w:val="single" w:color="auto" w:sz="4" w:space="0"/>
              <w:bottom w:val="single" w:color="auto" w:sz="4" w:space="0"/>
            </w:tcBorders>
            <w:noWrap w:val="0"/>
            <w:tcMar>
              <w:left w:w="0" w:type="dxa"/>
              <w:right w:w="0" w:type="dxa"/>
            </w:tcMar>
            <w:vAlign w:val="center"/>
          </w:tcPr>
          <w:p w14:paraId="560C32B7">
            <w:pPr>
              <w:jc w:val="center"/>
              <w:rPr>
                <w:rFonts w:hint="eastAsia"/>
                <w:sz w:val="21"/>
                <w:szCs w:val="21"/>
              </w:rPr>
            </w:pPr>
            <w:r>
              <w:rPr>
                <w:sz w:val="21"/>
                <w:szCs w:val="21"/>
              </w:rPr>
              <w:t>颗粒物</w:t>
            </w:r>
          </w:p>
        </w:tc>
        <w:tc>
          <w:tcPr>
            <w:tcW w:w="194" w:type="pct"/>
            <w:tcBorders>
              <w:top w:val="single" w:color="auto" w:sz="4" w:space="0"/>
              <w:bottom w:val="single" w:color="auto" w:sz="4" w:space="0"/>
            </w:tcBorders>
            <w:noWrap w:val="0"/>
            <w:tcMar>
              <w:left w:w="0" w:type="dxa"/>
              <w:right w:w="0" w:type="dxa"/>
            </w:tcMar>
            <w:vAlign w:val="center"/>
          </w:tcPr>
          <w:p w14:paraId="479B17D2">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0.485</w:t>
            </w:r>
          </w:p>
        </w:tc>
        <w:tc>
          <w:tcPr>
            <w:tcW w:w="225" w:type="pct"/>
            <w:tcBorders>
              <w:top w:val="single" w:color="auto" w:sz="4" w:space="0"/>
              <w:bottom w:val="single" w:color="auto" w:sz="4" w:space="0"/>
            </w:tcBorders>
            <w:noWrap w:val="0"/>
            <w:tcMar>
              <w:left w:w="0" w:type="dxa"/>
              <w:right w:w="0" w:type="dxa"/>
            </w:tcMar>
            <w:vAlign w:val="center"/>
          </w:tcPr>
          <w:p w14:paraId="333FD224">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3.5</w:t>
            </w:r>
          </w:p>
        </w:tc>
        <w:tc>
          <w:tcPr>
            <w:tcW w:w="86" w:type="pct"/>
            <w:vMerge w:val="continue"/>
            <w:noWrap w:val="0"/>
            <w:tcMar>
              <w:left w:w="0" w:type="dxa"/>
              <w:right w:w="0" w:type="dxa"/>
            </w:tcMar>
            <w:vAlign w:val="center"/>
          </w:tcPr>
          <w:p w14:paraId="27D2E7E8">
            <w:pPr>
              <w:widowControl/>
              <w:jc w:val="center"/>
              <w:textAlignment w:val="center"/>
              <w:rPr>
                <w:rFonts w:hint="eastAsia"/>
                <w:kern w:val="0"/>
                <w:sz w:val="21"/>
                <w:szCs w:val="21"/>
                <w:lang w:bidi="ar"/>
              </w:rPr>
            </w:pPr>
          </w:p>
        </w:tc>
        <w:tc>
          <w:tcPr>
            <w:tcW w:w="116" w:type="pct"/>
            <w:vMerge w:val="restart"/>
            <w:tcBorders>
              <w:top w:val="single" w:color="auto" w:sz="4" w:space="0"/>
            </w:tcBorders>
            <w:noWrap w:val="0"/>
            <w:tcMar>
              <w:left w:w="0" w:type="dxa"/>
              <w:right w:w="0" w:type="dxa"/>
            </w:tcMar>
            <w:vAlign w:val="center"/>
          </w:tcPr>
          <w:p w14:paraId="2BBD3769">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100</w:t>
            </w:r>
          </w:p>
        </w:tc>
        <w:tc>
          <w:tcPr>
            <w:tcW w:w="208" w:type="pct"/>
            <w:tcBorders>
              <w:top w:val="single" w:color="auto" w:sz="4" w:space="0"/>
              <w:bottom w:val="single" w:color="auto" w:sz="4" w:space="0"/>
            </w:tcBorders>
            <w:noWrap w:val="0"/>
            <w:tcMar>
              <w:left w:w="0" w:type="dxa"/>
              <w:right w:w="0" w:type="dxa"/>
            </w:tcMar>
            <w:vAlign w:val="center"/>
          </w:tcPr>
          <w:p w14:paraId="76A11D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69.29</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14:paraId="4F8C9DD7">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0.485</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14:paraId="2481D102">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3.5</w:t>
            </w:r>
          </w:p>
        </w:tc>
        <w:tc>
          <w:tcPr>
            <w:tcW w:w="157" w:type="pct"/>
            <w:vMerge w:val="continue"/>
            <w:noWrap w:val="0"/>
            <w:tcMar>
              <w:left w:w="0" w:type="dxa"/>
              <w:right w:w="0" w:type="dxa"/>
            </w:tcMar>
            <w:vAlign w:val="center"/>
          </w:tcPr>
          <w:p w14:paraId="7DA4B9EA">
            <w:pPr>
              <w:widowControl/>
              <w:jc w:val="center"/>
              <w:textAlignment w:val="center"/>
              <w:rPr>
                <w:rFonts w:hint="eastAsia"/>
                <w:kern w:val="0"/>
                <w:sz w:val="21"/>
                <w:szCs w:val="21"/>
                <w:lang w:bidi="ar"/>
              </w:rPr>
            </w:pPr>
          </w:p>
        </w:tc>
        <w:tc>
          <w:tcPr>
            <w:tcW w:w="288" w:type="pct"/>
            <w:vMerge w:val="restart"/>
            <w:tcBorders>
              <w:top w:val="single" w:color="auto" w:sz="4" w:space="0"/>
            </w:tcBorders>
            <w:noWrap w:val="0"/>
            <w:tcMar>
              <w:left w:w="0" w:type="dxa"/>
              <w:right w:w="0" w:type="dxa"/>
            </w:tcMar>
            <w:vAlign w:val="center"/>
          </w:tcPr>
          <w:p w14:paraId="28AADF32">
            <w:pPr>
              <w:widowControl/>
              <w:jc w:val="center"/>
              <w:textAlignment w:val="center"/>
              <w:rPr>
                <w:rFonts w:hint="default"/>
                <w:kern w:val="0"/>
                <w:sz w:val="21"/>
                <w:szCs w:val="21"/>
                <w:lang w:val="en-US" w:bidi="ar"/>
              </w:rPr>
            </w:pPr>
            <w:r>
              <w:rPr>
                <w:rFonts w:hint="eastAsia" w:cs="Times New Roman"/>
                <w:kern w:val="0"/>
                <w:sz w:val="21"/>
                <w:szCs w:val="21"/>
                <w:lang w:val="en-US" w:eastAsia="zh-CN" w:bidi="ar"/>
              </w:rPr>
              <w:t>低氮燃烧+S</w:t>
            </w:r>
            <w:r>
              <w:rPr>
                <w:rFonts w:hint="eastAsia" w:ascii="Times New Roman" w:hAnsi="Times New Roman" w:eastAsia="宋体" w:cs="Times New Roman"/>
                <w:kern w:val="0"/>
                <w:sz w:val="21"/>
                <w:szCs w:val="21"/>
                <w:lang w:val="en-US" w:eastAsia="zh-CN" w:bidi="ar"/>
              </w:rPr>
              <w:t>NCR+石灰喷雾干燥+余热回收+</w:t>
            </w:r>
            <w:r>
              <w:rPr>
                <w:rFonts w:hint="eastAsia" w:cs="Times New Roman"/>
                <w:kern w:val="0"/>
                <w:sz w:val="21"/>
                <w:szCs w:val="21"/>
                <w:lang w:val="en-US" w:eastAsia="zh-CN" w:bidi="ar"/>
              </w:rPr>
              <w:t>旋风除尘+布袋除尘+水幕除尘</w:t>
            </w:r>
            <w:r>
              <w:rPr>
                <w:rFonts w:hint="eastAsia" w:ascii="Times New Roman" w:hAnsi="Times New Roman" w:eastAsia="宋体" w:cs="Times New Roman"/>
                <w:kern w:val="0"/>
                <w:sz w:val="21"/>
                <w:szCs w:val="21"/>
                <w:lang w:val="en-US" w:eastAsia="zh-CN" w:bidi="ar"/>
              </w:rPr>
              <w:t>，</w:t>
            </w:r>
            <w:r>
              <w:rPr>
                <w:rFonts w:hint="eastAsia" w:cs="Times New Roman"/>
                <w:kern w:val="0"/>
                <w:sz w:val="21"/>
                <w:szCs w:val="21"/>
                <w:lang w:val="en-US" w:eastAsia="zh-CN" w:bidi="ar"/>
              </w:rPr>
              <w:t>7</w:t>
            </w:r>
            <w:r>
              <w:rPr>
                <w:rFonts w:hint="eastAsia" w:ascii="Times New Roman" w:hAnsi="Times New Roman" w:eastAsia="宋体" w:cs="Times New Roman"/>
                <w:kern w:val="0"/>
                <w:sz w:val="21"/>
                <w:szCs w:val="21"/>
                <w:lang w:val="en-US" w:eastAsia="zh-CN" w:bidi="ar"/>
              </w:rPr>
              <w:t>000</w:t>
            </w:r>
            <w:r>
              <w:rPr>
                <w:sz w:val="21"/>
                <w:szCs w:val="21"/>
              </w:rPr>
              <w:t>m</w:t>
            </w:r>
            <w:r>
              <w:rPr>
                <w:sz w:val="21"/>
                <w:szCs w:val="21"/>
                <w:vertAlign w:val="superscript"/>
              </w:rPr>
              <w:t>3</w:t>
            </w:r>
            <w:r>
              <w:rPr>
                <w:sz w:val="21"/>
                <w:szCs w:val="21"/>
              </w:rPr>
              <w:t>/h</w:t>
            </w:r>
          </w:p>
        </w:tc>
        <w:tc>
          <w:tcPr>
            <w:tcW w:w="180" w:type="pct"/>
            <w:tcBorders>
              <w:top w:val="single" w:color="auto" w:sz="4" w:space="0"/>
              <w:bottom w:val="single" w:color="auto" w:sz="4" w:space="0"/>
            </w:tcBorders>
            <w:noWrap w:val="0"/>
            <w:tcMar>
              <w:left w:w="0" w:type="dxa"/>
              <w:right w:w="0" w:type="dxa"/>
            </w:tcMar>
            <w:vAlign w:val="center"/>
          </w:tcPr>
          <w:p w14:paraId="00360BD5">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99.98</w:t>
            </w:r>
          </w:p>
        </w:tc>
        <w:tc>
          <w:tcPr>
            <w:tcW w:w="157" w:type="pct"/>
            <w:vMerge w:val="continue"/>
            <w:noWrap w:val="0"/>
            <w:tcMar>
              <w:left w:w="0" w:type="dxa"/>
              <w:right w:w="0" w:type="dxa"/>
            </w:tcMar>
            <w:vAlign w:val="center"/>
          </w:tcPr>
          <w:p w14:paraId="6479D548">
            <w:pPr>
              <w:widowControl/>
              <w:jc w:val="center"/>
              <w:textAlignment w:val="center"/>
              <w:rPr>
                <w:rFonts w:hint="eastAsia"/>
                <w:kern w:val="0"/>
                <w:sz w:val="21"/>
                <w:szCs w:val="21"/>
                <w:lang w:bidi="ar"/>
              </w:rPr>
            </w:pPr>
          </w:p>
        </w:tc>
        <w:tc>
          <w:tcPr>
            <w:tcW w:w="175" w:type="pct"/>
            <w:tcBorders>
              <w:top w:val="single" w:color="auto" w:sz="4" w:space="0"/>
              <w:bottom w:val="single" w:color="auto" w:sz="4" w:space="0"/>
            </w:tcBorders>
            <w:noWrap w:val="0"/>
            <w:tcMar>
              <w:left w:w="0" w:type="dxa"/>
              <w:right w:w="0" w:type="dxa"/>
            </w:tcMar>
            <w:vAlign w:val="center"/>
          </w:tcPr>
          <w:p w14:paraId="70F76A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0.143</w:t>
            </w:r>
          </w:p>
        </w:tc>
        <w:tc>
          <w:tcPr>
            <w:tcW w:w="225" w:type="pct"/>
            <w:tcBorders>
              <w:top w:val="single" w:color="auto" w:sz="4" w:space="0"/>
              <w:bottom w:val="single" w:color="auto" w:sz="4" w:space="0"/>
            </w:tcBorders>
            <w:noWrap w:val="0"/>
            <w:tcMar>
              <w:left w:w="0" w:type="dxa"/>
              <w:right w:w="0" w:type="dxa"/>
            </w:tcMar>
            <w:vAlign w:val="center"/>
          </w:tcPr>
          <w:p w14:paraId="197A79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w:t>
            </w:r>
          </w:p>
        </w:tc>
        <w:tc>
          <w:tcPr>
            <w:tcW w:w="199" w:type="pct"/>
            <w:tcBorders>
              <w:top w:val="single" w:color="auto" w:sz="4" w:space="0"/>
              <w:bottom w:val="single" w:color="auto" w:sz="4" w:space="0"/>
            </w:tcBorders>
            <w:noWrap w:val="0"/>
            <w:tcMar>
              <w:left w:w="0" w:type="dxa"/>
              <w:right w:w="0" w:type="dxa"/>
            </w:tcMar>
            <w:vAlign w:val="center"/>
          </w:tcPr>
          <w:p w14:paraId="71969B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0.007</w:t>
            </w:r>
          </w:p>
        </w:tc>
        <w:tc>
          <w:tcPr>
            <w:tcW w:w="107" w:type="pct"/>
            <w:vMerge w:val="restart"/>
            <w:tcBorders>
              <w:top w:val="single" w:color="auto" w:sz="4" w:space="0"/>
            </w:tcBorders>
            <w:noWrap w:val="0"/>
            <w:tcMar>
              <w:left w:w="0" w:type="dxa"/>
              <w:right w:w="0" w:type="dxa"/>
            </w:tcMar>
            <w:vAlign w:val="center"/>
          </w:tcPr>
          <w:p w14:paraId="5024897A">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35</w:t>
            </w:r>
          </w:p>
        </w:tc>
        <w:tc>
          <w:tcPr>
            <w:tcW w:w="122" w:type="pct"/>
            <w:vMerge w:val="restart"/>
            <w:tcBorders>
              <w:top w:val="single" w:color="auto" w:sz="4" w:space="0"/>
            </w:tcBorders>
            <w:noWrap w:val="0"/>
            <w:tcMar>
              <w:left w:w="0" w:type="dxa"/>
              <w:right w:w="0" w:type="dxa"/>
            </w:tcMar>
            <w:vAlign w:val="center"/>
          </w:tcPr>
          <w:p w14:paraId="115B9163">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0.36</w:t>
            </w:r>
          </w:p>
        </w:tc>
        <w:tc>
          <w:tcPr>
            <w:tcW w:w="125" w:type="pct"/>
            <w:vMerge w:val="restart"/>
            <w:tcBorders>
              <w:top w:val="single" w:color="auto" w:sz="4" w:space="0"/>
            </w:tcBorders>
            <w:shd w:val="clear" w:color="auto" w:fill="auto"/>
            <w:noWrap w:val="0"/>
            <w:tcMar>
              <w:left w:w="0" w:type="dxa"/>
              <w:right w:w="0" w:type="dxa"/>
            </w:tcMar>
            <w:vAlign w:val="center"/>
          </w:tcPr>
          <w:p w14:paraId="45E069C8">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25</w:t>
            </w:r>
          </w:p>
        </w:tc>
        <w:tc>
          <w:tcPr>
            <w:tcW w:w="189" w:type="pct"/>
            <w:vMerge w:val="restart"/>
            <w:tcBorders>
              <w:top w:val="single" w:color="auto" w:sz="4" w:space="0"/>
            </w:tcBorders>
            <w:shd w:val="clear" w:color="auto" w:fill="auto"/>
            <w:noWrap w:val="0"/>
            <w:tcMar>
              <w:left w:w="0" w:type="dxa"/>
              <w:right w:w="0" w:type="dxa"/>
            </w:tcMar>
            <w:vAlign w:val="center"/>
          </w:tcPr>
          <w:p w14:paraId="706F90E8">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DA002</w:t>
            </w:r>
          </w:p>
        </w:tc>
        <w:tc>
          <w:tcPr>
            <w:tcW w:w="233" w:type="pct"/>
            <w:vMerge w:val="restart"/>
            <w:tcBorders>
              <w:top w:val="single" w:color="auto" w:sz="4" w:space="0"/>
            </w:tcBorders>
            <w:shd w:val="clear" w:color="auto" w:fill="auto"/>
            <w:noWrap w:val="0"/>
            <w:tcMar>
              <w:left w:w="0" w:type="dxa"/>
              <w:right w:w="0" w:type="dxa"/>
            </w:tcMar>
            <w:vAlign w:val="center"/>
          </w:tcPr>
          <w:p w14:paraId="55AC2923">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主要</w:t>
            </w:r>
            <w:r>
              <w:rPr>
                <w:rFonts w:hint="eastAsia"/>
                <w:kern w:val="0"/>
                <w:sz w:val="21"/>
                <w:szCs w:val="21"/>
                <w:lang w:bidi="ar"/>
              </w:rPr>
              <w:t>排放口</w:t>
            </w:r>
          </w:p>
        </w:tc>
        <w:tc>
          <w:tcPr>
            <w:tcW w:w="257" w:type="pct"/>
            <w:vMerge w:val="restart"/>
            <w:tcBorders>
              <w:top w:val="single" w:color="auto" w:sz="4" w:space="0"/>
            </w:tcBorders>
            <w:noWrap w:val="0"/>
            <w:tcMar>
              <w:left w:w="0" w:type="dxa"/>
              <w:right w:w="0" w:type="dxa"/>
            </w:tcMar>
            <w:vAlign w:val="center"/>
          </w:tcPr>
          <w:p w14:paraId="20439C44">
            <w:pPr>
              <w:jc w:val="center"/>
              <w:rPr>
                <w:rFonts w:hint="default" w:ascii="Times New Roman" w:hAnsi="Times New Roman" w:cs="Times New Roman"/>
                <w:kern w:val="0"/>
                <w:sz w:val="21"/>
                <w:szCs w:val="21"/>
                <w:lang w:bidi="ar"/>
              </w:rPr>
            </w:pPr>
            <w:r>
              <w:rPr>
                <w:rFonts w:hint="default" w:ascii="Times New Roman" w:hAnsi="Times New Roman" w:eastAsia="宋体" w:cs="Times New Roman"/>
                <w:b w:val="0"/>
                <w:sz w:val="21"/>
                <w:szCs w:val="21"/>
              </w:rPr>
              <w:t>120.650492</w:t>
            </w:r>
            <w:r>
              <w:rPr>
                <w:rFonts w:hint="default" w:ascii="Times New Roman" w:hAnsi="Times New Roman" w:eastAsia="宋体" w:cs="Times New Roman"/>
                <w:b w:val="0"/>
                <w:sz w:val="21"/>
                <w:szCs w:val="21"/>
                <w:lang w:eastAsia="zh-CN"/>
              </w:rPr>
              <w:t>，</w:t>
            </w:r>
            <w:r>
              <w:rPr>
                <w:rFonts w:hint="default" w:ascii="Times New Roman" w:hAnsi="Times New Roman" w:eastAsia="宋体" w:cs="Times New Roman"/>
                <w:b w:val="0"/>
                <w:sz w:val="21"/>
                <w:szCs w:val="21"/>
              </w:rPr>
              <w:t>32.139581</w:t>
            </w:r>
          </w:p>
        </w:tc>
        <w:tc>
          <w:tcPr>
            <w:tcW w:w="216" w:type="pct"/>
            <w:tcBorders>
              <w:top w:val="single" w:color="auto" w:sz="4" w:space="0"/>
              <w:bottom w:val="single" w:color="auto" w:sz="4" w:space="0"/>
            </w:tcBorders>
            <w:noWrap w:val="0"/>
            <w:tcMar>
              <w:left w:w="0" w:type="dxa"/>
              <w:right w:w="0" w:type="dxa"/>
            </w:tcMar>
            <w:vAlign w:val="center"/>
          </w:tcPr>
          <w:p w14:paraId="46C0A3A6">
            <w:pPr>
              <w:jc w:val="center"/>
              <w:rPr>
                <w:sz w:val="21"/>
                <w:szCs w:val="21"/>
              </w:rPr>
            </w:pPr>
            <w:r>
              <w:rPr>
                <w:rFonts w:hint="eastAsia"/>
                <w:sz w:val="21"/>
                <w:szCs w:val="21"/>
              </w:rPr>
              <w:t>10</w:t>
            </w:r>
          </w:p>
        </w:tc>
        <w:tc>
          <w:tcPr>
            <w:tcW w:w="127" w:type="pct"/>
            <w:tcBorders>
              <w:top w:val="single" w:color="auto" w:sz="4" w:space="0"/>
              <w:bottom w:val="single" w:color="auto" w:sz="4" w:space="0"/>
            </w:tcBorders>
            <w:noWrap w:val="0"/>
            <w:tcMar>
              <w:left w:w="0" w:type="dxa"/>
              <w:right w:w="0" w:type="dxa"/>
            </w:tcMar>
            <w:vAlign w:val="center"/>
          </w:tcPr>
          <w:p w14:paraId="43C0AC4A">
            <w:pPr>
              <w:jc w:val="center"/>
              <w:rPr>
                <w:rFonts w:hint="eastAsia" w:eastAsia="宋体"/>
                <w:sz w:val="21"/>
                <w:szCs w:val="21"/>
                <w:lang w:eastAsia="zh-CN"/>
              </w:rPr>
            </w:pPr>
            <w:r>
              <w:rPr>
                <w:rFonts w:hint="eastAsia"/>
                <w:sz w:val="21"/>
                <w:szCs w:val="21"/>
                <w:lang w:val="en-US" w:eastAsia="zh-CN"/>
              </w:rPr>
              <w:t>/</w:t>
            </w:r>
          </w:p>
        </w:tc>
        <w:tc>
          <w:tcPr>
            <w:tcW w:w="256" w:type="pct"/>
            <w:vMerge w:val="restart"/>
            <w:tcBorders>
              <w:top w:val="single" w:color="auto" w:sz="4" w:space="0"/>
            </w:tcBorders>
            <w:noWrap w:val="0"/>
            <w:tcMar>
              <w:left w:w="0" w:type="dxa"/>
              <w:right w:w="0" w:type="dxa"/>
            </w:tcMar>
            <w:vAlign w:val="center"/>
          </w:tcPr>
          <w:p w14:paraId="32CC4648">
            <w:pPr>
              <w:widowControl/>
              <w:jc w:val="center"/>
              <w:textAlignment w:val="center"/>
              <w:rPr>
                <w:kern w:val="0"/>
                <w:sz w:val="21"/>
                <w:szCs w:val="21"/>
                <w:lang w:bidi="ar"/>
              </w:rPr>
            </w:pPr>
            <w:r>
              <w:rPr>
                <w:rFonts w:hint="eastAsia"/>
                <w:kern w:val="0"/>
                <w:sz w:val="21"/>
                <w:szCs w:val="21"/>
                <w:lang w:bidi="ar"/>
              </w:rPr>
              <w:t>7200</w:t>
            </w:r>
          </w:p>
        </w:tc>
        <w:tc>
          <w:tcPr>
            <w:tcW w:w="82" w:type="pct"/>
            <w:vMerge w:val="continue"/>
            <w:noWrap w:val="0"/>
            <w:tcMar>
              <w:left w:w="0" w:type="dxa"/>
              <w:right w:w="0" w:type="dxa"/>
            </w:tcMar>
            <w:vAlign w:val="center"/>
          </w:tcPr>
          <w:p w14:paraId="223CE9D8">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716E5E12">
            <w:pPr>
              <w:widowControl/>
              <w:jc w:val="center"/>
              <w:textAlignment w:val="center"/>
              <w:rPr>
                <w:rFonts w:hint="eastAsia"/>
                <w:kern w:val="0"/>
                <w:sz w:val="21"/>
                <w:szCs w:val="21"/>
                <w:lang w:bidi="ar"/>
              </w:rPr>
            </w:pPr>
          </w:p>
        </w:tc>
        <w:tc>
          <w:tcPr>
            <w:tcW w:w="97" w:type="pct"/>
            <w:gridSpan w:val="2"/>
            <w:vMerge w:val="restart"/>
            <w:tcBorders>
              <w:top w:val="single" w:color="auto" w:sz="4" w:space="0"/>
            </w:tcBorders>
            <w:noWrap w:val="0"/>
            <w:tcMar>
              <w:left w:w="0" w:type="dxa"/>
              <w:right w:w="0" w:type="dxa"/>
            </w:tcMar>
            <w:vAlign w:val="center"/>
          </w:tcPr>
          <w:p w14:paraId="6F1914C5">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1次/月</w:t>
            </w:r>
          </w:p>
        </w:tc>
      </w:tr>
      <w:tr w14:paraId="76DFDA2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continue"/>
            <w:tcBorders>
              <w:top w:val="single" w:color="auto" w:sz="4" w:space="0"/>
              <w:bottom w:val="single" w:color="auto" w:sz="4" w:space="0"/>
            </w:tcBorders>
            <w:noWrap w:val="0"/>
            <w:vAlign w:val="center"/>
          </w:tcPr>
          <w:p w14:paraId="732D30CC">
            <w:pPr>
              <w:jc w:val="center"/>
              <w:rPr>
                <w:sz w:val="21"/>
                <w:szCs w:val="21"/>
              </w:rPr>
            </w:pPr>
          </w:p>
        </w:tc>
        <w:tc>
          <w:tcPr>
            <w:tcW w:w="205" w:type="pct"/>
            <w:tcBorders>
              <w:top w:val="single" w:color="auto" w:sz="4" w:space="0"/>
              <w:bottom w:val="single" w:color="auto" w:sz="4" w:space="0"/>
            </w:tcBorders>
            <w:noWrap w:val="0"/>
            <w:tcMar>
              <w:left w:w="0" w:type="dxa"/>
              <w:right w:w="0" w:type="dxa"/>
            </w:tcMar>
            <w:vAlign w:val="center"/>
          </w:tcPr>
          <w:p w14:paraId="5DA2FE90">
            <w:pPr>
              <w:jc w:val="center"/>
              <w:rPr>
                <w:rFonts w:hint="default" w:eastAsia="宋体"/>
                <w:sz w:val="21"/>
                <w:szCs w:val="21"/>
                <w:lang w:val="en-US" w:eastAsia="zh-CN"/>
              </w:rPr>
            </w:pPr>
            <w:r>
              <w:rPr>
                <w:rFonts w:hint="eastAsia"/>
                <w:sz w:val="21"/>
                <w:szCs w:val="21"/>
                <w:lang w:val="en-US" w:eastAsia="zh-CN"/>
              </w:rPr>
              <w:t>SO</w:t>
            </w:r>
            <w:r>
              <w:rPr>
                <w:rFonts w:hint="eastAsia"/>
                <w:sz w:val="21"/>
                <w:szCs w:val="21"/>
                <w:vertAlign w:val="subscript"/>
                <w:lang w:val="en-US" w:eastAsia="zh-CN"/>
              </w:rPr>
              <w:t>2</w:t>
            </w:r>
          </w:p>
        </w:tc>
        <w:tc>
          <w:tcPr>
            <w:tcW w:w="194" w:type="pct"/>
            <w:tcBorders>
              <w:top w:val="single" w:color="auto" w:sz="4" w:space="0"/>
              <w:bottom w:val="single" w:color="auto" w:sz="4" w:space="0"/>
            </w:tcBorders>
            <w:noWrap w:val="0"/>
            <w:tcMar>
              <w:left w:w="0" w:type="dxa"/>
              <w:right w:w="0" w:type="dxa"/>
            </w:tcMar>
            <w:vAlign w:val="center"/>
          </w:tcPr>
          <w:p w14:paraId="116B368C">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0.33</w:t>
            </w:r>
          </w:p>
        </w:tc>
        <w:tc>
          <w:tcPr>
            <w:tcW w:w="225" w:type="pct"/>
            <w:tcBorders>
              <w:top w:val="single" w:color="auto" w:sz="4" w:space="0"/>
              <w:bottom w:val="single" w:color="auto" w:sz="4" w:space="0"/>
            </w:tcBorders>
            <w:noWrap w:val="0"/>
            <w:tcMar>
              <w:left w:w="0" w:type="dxa"/>
              <w:right w:w="0" w:type="dxa"/>
            </w:tcMar>
            <w:vAlign w:val="center"/>
          </w:tcPr>
          <w:p w14:paraId="2FD44D59">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2.38</w:t>
            </w:r>
          </w:p>
        </w:tc>
        <w:tc>
          <w:tcPr>
            <w:tcW w:w="86" w:type="pct"/>
            <w:vMerge w:val="continue"/>
            <w:noWrap w:val="0"/>
            <w:tcMar>
              <w:left w:w="0" w:type="dxa"/>
              <w:right w:w="0" w:type="dxa"/>
            </w:tcMar>
            <w:vAlign w:val="center"/>
          </w:tcPr>
          <w:p w14:paraId="056FEDDB">
            <w:pPr>
              <w:widowControl/>
              <w:jc w:val="center"/>
              <w:textAlignment w:val="center"/>
              <w:rPr>
                <w:rFonts w:hint="eastAsia"/>
                <w:kern w:val="0"/>
                <w:sz w:val="21"/>
                <w:szCs w:val="21"/>
                <w:lang w:bidi="ar"/>
              </w:rPr>
            </w:pPr>
          </w:p>
        </w:tc>
        <w:tc>
          <w:tcPr>
            <w:tcW w:w="116" w:type="pct"/>
            <w:vMerge w:val="continue"/>
            <w:noWrap w:val="0"/>
            <w:tcMar>
              <w:left w:w="0" w:type="dxa"/>
              <w:right w:w="0" w:type="dxa"/>
            </w:tcMar>
            <w:vAlign w:val="center"/>
          </w:tcPr>
          <w:p w14:paraId="53362F9E">
            <w:pPr>
              <w:widowControl/>
              <w:jc w:val="center"/>
              <w:textAlignment w:val="center"/>
              <w:rPr>
                <w:rFonts w:hint="eastAsia"/>
                <w:kern w:val="0"/>
                <w:sz w:val="21"/>
                <w:szCs w:val="21"/>
                <w:lang w:bidi="ar"/>
              </w:rPr>
            </w:pPr>
          </w:p>
        </w:tc>
        <w:tc>
          <w:tcPr>
            <w:tcW w:w="208" w:type="pct"/>
            <w:tcBorders>
              <w:top w:val="single" w:color="auto" w:sz="4" w:space="0"/>
              <w:bottom w:val="single" w:color="auto" w:sz="4" w:space="0"/>
            </w:tcBorders>
            <w:noWrap w:val="0"/>
            <w:tcMar>
              <w:left w:w="0" w:type="dxa"/>
              <w:right w:w="0" w:type="dxa"/>
            </w:tcMar>
            <w:vAlign w:val="center"/>
          </w:tcPr>
          <w:p w14:paraId="5FD125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47.14</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14:paraId="2B491E11">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0.33</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14:paraId="34CF5F52">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2.38</w:t>
            </w:r>
          </w:p>
        </w:tc>
        <w:tc>
          <w:tcPr>
            <w:tcW w:w="157" w:type="pct"/>
            <w:vMerge w:val="continue"/>
            <w:noWrap w:val="0"/>
            <w:tcMar>
              <w:left w:w="0" w:type="dxa"/>
              <w:right w:w="0" w:type="dxa"/>
            </w:tcMar>
            <w:vAlign w:val="center"/>
          </w:tcPr>
          <w:p w14:paraId="1AABD65A">
            <w:pPr>
              <w:widowControl/>
              <w:jc w:val="center"/>
              <w:textAlignment w:val="center"/>
              <w:rPr>
                <w:rFonts w:hint="eastAsia"/>
                <w:kern w:val="0"/>
                <w:sz w:val="21"/>
                <w:szCs w:val="21"/>
                <w:lang w:bidi="ar"/>
              </w:rPr>
            </w:pPr>
          </w:p>
        </w:tc>
        <w:tc>
          <w:tcPr>
            <w:tcW w:w="288" w:type="pct"/>
            <w:vMerge w:val="continue"/>
            <w:noWrap w:val="0"/>
            <w:tcMar>
              <w:left w:w="0" w:type="dxa"/>
              <w:right w:w="0" w:type="dxa"/>
            </w:tcMar>
            <w:vAlign w:val="center"/>
          </w:tcPr>
          <w:p w14:paraId="6DD90D0F">
            <w:pPr>
              <w:widowControl/>
              <w:jc w:val="center"/>
              <w:textAlignment w:val="center"/>
              <w:rPr>
                <w:rFonts w:hint="eastAsia"/>
                <w:kern w:val="0"/>
                <w:sz w:val="21"/>
                <w:szCs w:val="21"/>
                <w:lang w:bidi="ar"/>
              </w:rPr>
            </w:pPr>
          </w:p>
        </w:tc>
        <w:tc>
          <w:tcPr>
            <w:tcW w:w="180" w:type="pct"/>
            <w:tcBorders>
              <w:top w:val="single" w:color="auto" w:sz="4" w:space="0"/>
              <w:bottom w:val="single" w:color="auto" w:sz="4" w:space="0"/>
            </w:tcBorders>
            <w:noWrap w:val="0"/>
            <w:tcMar>
              <w:left w:w="0" w:type="dxa"/>
              <w:right w:w="0" w:type="dxa"/>
            </w:tcMar>
            <w:vAlign w:val="center"/>
          </w:tcPr>
          <w:p w14:paraId="4B7C53EA">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70</w:t>
            </w:r>
          </w:p>
        </w:tc>
        <w:tc>
          <w:tcPr>
            <w:tcW w:w="157" w:type="pct"/>
            <w:vMerge w:val="continue"/>
            <w:noWrap w:val="0"/>
            <w:tcMar>
              <w:left w:w="0" w:type="dxa"/>
              <w:right w:w="0" w:type="dxa"/>
            </w:tcMar>
            <w:vAlign w:val="center"/>
          </w:tcPr>
          <w:p w14:paraId="7B9F52E5">
            <w:pPr>
              <w:widowControl/>
              <w:jc w:val="center"/>
              <w:textAlignment w:val="center"/>
              <w:rPr>
                <w:rFonts w:hint="eastAsia"/>
                <w:kern w:val="0"/>
                <w:sz w:val="21"/>
                <w:szCs w:val="21"/>
                <w:lang w:bidi="ar"/>
              </w:rPr>
            </w:pPr>
          </w:p>
        </w:tc>
        <w:tc>
          <w:tcPr>
            <w:tcW w:w="175" w:type="pct"/>
            <w:tcBorders>
              <w:top w:val="single" w:color="auto" w:sz="4" w:space="0"/>
              <w:bottom w:val="single" w:color="auto" w:sz="4" w:space="0"/>
            </w:tcBorders>
            <w:shd w:val="clear" w:color="auto" w:fill="auto"/>
            <w:noWrap w:val="0"/>
            <w:tcMar>
              <w:left w:w="0" w:type="dxa"/>
              <w:right w:w="0" w:type="dxa"/>
            </w:tcMar>
            <w:vAlign w:val="center"/>
          </w:tcPr>
          <w:p w14:paraId="20286A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14.14</w:t>
            </w:r>
          </w:p>
        </w:tc>
        <w:tc>
          <w:tcPr>
            <w:tcW w:w="225" w:type="pct"/>
            <w:tcBorders>
              <w:top w:val="single" w:color="auto" w:sz="4" w:space="0"/>
              <w:bottom w:val="single" w:color="auto" w:sz="4" w:space="0"/>
            </w:tcBorders>
            <w:shd w:val="clear" w:color="auto" w:fill="auto"/>
            <w:noWrap w:val="0"/>
            <w:tcMar>
              <w:left w:w="0" w:type="dxa"/>
              <w:right w:w="0" w:type="dxa"/>
            </w:tcMar>
            <w:vAlign w:val="center"/>
          </w:tcPr>
          <w:p w14:paraId="0C09E3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0.099</w:t>
            </w:r>
          </w:p>
        </w:tc>
        <w:tc>
          <w:tcPr>
            <w:tcW w:w="199" w:type="pct"/>
            <w:tcBorders>
              <w:top w:val="single" w:color="auto" w:sz="4" w:space="0"/>
              <w:bottom w:val="single" w:color="auto" w:sz="4" w:space="0"/>
            </w:tcBorders>
            <w:shd w:val="clear" w:color="auto" w:fill="auto"/>
            <w:noWrap w:val="0"/>
            <w:tcMar>
              <w:left w:w="0" w:type="dxa"/>
              <w:right w:w="0" w:type="dxa"/>
            </w:tcMar>
            <w:vAlign w:val="center"/>
          </w:tcPr>
          <w:p w14:paraId="5865E56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0.714</w:t>
            </w:r>
          </w:p>
        </w:tc>
        <w:tc>
          <w:tcPr>
            <w:tcW w:w="107" w:type="pct"/>
            <w:vMerge w:val="continue"/>
            <w:noWrap w:val="0"/>
            <w:tcMar>
              <w:left w:w="0" w:type="dxa"/>
              <w:right w:w="0" w:type="dxa"/>
            </w:tcMar>
            <w:vAlign w:val="center"/>
          </w:tcPr>
          <w:p w14:paraId="39000D22">
            <w:pPr>
              <w:widowControl/>
              <w:jc w:val="center"/>
              <w:textAlignment w:val="center"/>
              <w:rPr>
                <w:rFonts w:hint="eastAsia"/>
                <w:kern w:val="0"/>
                <w:sz w:val="21"/>
                <w:szCs w:val="21"/>
                <w:lang w:bidi="ar"/>
              </w:rPr>
            </w:pPr>
          </w:p>
        </w:tc>
        <w:tc>
          <w:tcPr>
            <w:tcW w:w="122" w:type="pct"/>
            <w:vMerge w:val="continue"/>
            <w:noWrap w:val="0"/>
            <w:tcMar>
              <w:left w:w="0" w:type="dxa"/>
              <w:right w:w="0" w:type="dxa"/>
            </w:tcMar>
            <w:vAlign w:val="center"/>
          </w:tcPr>
          <w:p w14:paraId="5112AF2C">
            <w:pPr>
              <w:widowControl/>
              <w:jc w:val="center"/>
              <w:textAlignment w:val="center"/>
              <w:rPr>
                <w:rFonts w:hint="eastAsia"/>
                <w:kern w:val="0"/>
                <w:sz w:val="21"/>
                <w:szCs w:val="21"/>
                <w:lang w:bidi="ar"/>
              </w:rPr>
            </w:pPr>
          </w:p>
        </w:tc>
        <w:tc>
          <w:tcPr>
            <w:tcW w:w="125" w:type="pct"/>
            <w:vMerge w:val="continue"/>
            <w:noWrap w:val="0"/>
            <w:tcMar>
              <w:left w:w="0" w:type="dxa"/>
              <w:right w:w="0" w:type="dxa"/>
            </w:tcMar>
            <w:vAlign w:val="center"/>
          </w:tcPr>
          <w:p w14:paraId="41E2C753">
            <w:pPr>
              <w:widowControl/>
              <w:jc w:val="center"/>
              <w:textAlignment w:val="center"/>
              <w:rPr>
                <w:rFonts w:hint="eastAsia"/>
                <w:kern w:val="0"/>
                <w:sz w:val="21"/>
                <w:szCs w:val="21"/>
                <w:lang w:bidi="ar"/>
              </w:rPr>
            </w:pPr>
          </w:p>
        </w:tc>
        <w:tc>
          <w:tcPr>
            <w:tcW w:w="189" w:type="pct"/>
            <w:vMerge w:val="continue"/>
            <w:noWrap w:val="0"/>
            <w:tcMar>
              <w:left w:w="0" w:type="dxa"/>
              <w:right w:w="0" w:type="dxa"/>
            </w:tcMar>
            <w:vAlign w:val="center"/>
          </w:tcPr>
          <w:p w14:paraId="6BC2631F">
            <w:pPr>
              <w:widowControl/>
              <w:jc w:val="center"/>
              <w:textAlignment w:val="center"/>
              <w:rPr>
                <w:rFonts w:hint="eastAsia"/>
                <w:kern w:val="0"/>
                <w:sz w:val="21"/>
                <w:szCs w:val="21"/>
                <w:lang w:bidi="ar"/>
              </w:rPr>
            </w:pPr>
          </w:p>
        </w:tc>
        <w:tc>
          <w:tcPr>
            <w:tcW w:w="233" w:type="pct"/>
            <w:vMerge w:val="continue"/>
            <w:noWrap w:val="0"/>
            <w:tcMar>
              <w:left w:w="0" w:type="dxa"/>
              <w:right w:w="0" w:type="dxa"/>
            </w:tcMar>
            <w:vAlign w:val="center"/>
          </w:tcPr>
          <w:p w14:paraId="1B0CB529">
            <w:pPr>
              <w:widowControl/>
              <w:jc w:val="center"/>
              <w:textAlignment w:val="center"/>
              <w:rPr>
                <w:rFonts w:hint="eastAsia"/>
                <w:kern w:val="0"/>
                <w:sz w:val="21"/>
                <w:szCs w:val="21"/>
                <w:lang w:bidi="ar"/>
              </w:rPr>
            </w:pPr>
          </w:p>
        </w:tc>
        <w:tc>
          <w:tcPr>
            <w:tcW w:w="257" w:type="pct"/>
            <w:vMerge w:val="continue"/>
            <w:noWrap w:val="0"/>
            <w:tcMar>
              <w:left w:w="0" w:type="dxa"/>
              <w:right w:w="0" w:type="dxa"/>
            </w:tcMar>
            <w:vAlign w:val="center"/>
          </w:tcPr>
          <w:p w14:paraId="57227042">
            <w:pPr>
              <w:widowControl/>
              <w:jc w:val="center"/>
              <w:textAlignment w:val="center"/>
              <w:rPr>
                <w:rFonts w:hint="default" w:ascii="Times New Roman" w:hAnsi="Times New Roman" w:cs="Times New Roman"/>
                <w:kern w:val="0"/>
                <w:sz w:val="21"/>
                <w:szCs w:val="21"/>
                <w:lang w:bidi="ar"/>
              </w:rPr>
            </w:pPr>
          </w:p>
        </w:tc>
        <w:tc>
          <w:tcPr>
            <w:tcW w:w="216" w:type="pct"/>
            <w:tcBorders>
              <w:top w:val="single" w:color="auto" w:sz="4" w:space="0"/>
              <w:bottom w:val="single" w:color="auto" w:sz="4" w:space="0"/>
            </w:tcBorders>
            <w:noWrap w:val="0"/>
            <w:tcMar>
              <w:left w:w="0" w:type="dxa"/>
              <w:right w:w="0" w:type="dxa"/>
            </w:tcMar>
            <w:vAlign w:val="center"/>
          </w:tcPr>
          <w:p w14:paraId="4631752F">
            <w:pPr>
              <w:jc w:val="center"/>
              <w:rPr>
                <w:rFonts w:hint="default" w:eastAsia="宋体"/>
                <w:sz w:val="21"/>
                <w:szCs w:val="21"/>
                <w:lang w:val="en-US" w:eastAsia="zh-CN"/>
              </w:rPr>
            </w:pPr>
            <w:r>
              <w:rPr>
                <w:rFonts w:hint="eastAsia"/>
                <w:sz w:val="21"/>
                <w:szCs w:val="21"/>
                <w:lang w:val="en-US" w:eastAsia="zh-CN"/>
              </w:rPr>
              <w:t>35</w:t>
            </w:r>
          </w:p>
        </w:tc>
        <w:tc>
          <w:tcPr>
            <w:tcW w:w="127" w:type="pct"/>
            <w:tcBorders>
              <w:top w:val="single" w:color="auto" w:sz="4" w:space="0"/>
              <w:bottom w:val="single" w:color="auto" w:sz="4" w:space="0"/>
            </w:tcBorders>
            <w:noWrap w:val="0"/>
            <w:tcMar>
              <w:left w:w="0" w:type="dxa"/>
              <w:right w:w="0" w:type="dxa"/>
            </w:tcMar>
            <w:vAlign w:val="center"/>
          </w:tcPr>
          <w:p w14:paraId="0B51332D">
            <w:pPr>
              <w:jc w:val="center"/>
              <w:rPr>
                <w:rFonts w:hint="eastAsia" w:eastAsia="宋体"/>
                <w:sz w:val="21"/>
                <w:szCs w:val="21"/>
                <w:lang w:eastAsia="zh-CN"/>
              </w:rPr>
            </w:pPr>
            <w:r>
              <w:rPr>
                <w:rFonts w:hint="eastAsia"/>
                <w:sz w:val="21"/>
                <w:szCs w:val="21"/>
                <w:lang w:val="en-US" w:eastAsia="zh-CN"/>
              </w:rPr>
              <w:t>/</w:t>
            </w:r>
          </w:p>
        </w:tc>
        <w:tc>
          <w:tcPr>
            <w:tcW w:w="256" w:type="pct"/>
            <w:vMerge w:val="continue"/>
            <w:noWrap w:val="0"/>
            <w:tcMar>
              <w:left w:w="0" w:type="dxa"/>
              <w:right w:w="0" w:type="dxa"/>
            </w:tcMar>
            <w:vAlign w:val="center"/>
          </w:tcPr>
          <w:p w14:paraId="6F4F7DDD">
            <w:pPr>
              <w:widowControl/>
              <w:jc w:val="center"/>
              <w:textAlignment w:val="center"/>
              <w:rPr>
                <w:rFonts w:hint="eastAsia"/>
                <w:kern w:val="0"/>
                <w:sz w:val="21"/>
                <w:szCs w:val="21"/>
                <w:lang w:bidi="ar"/>
              </w:rPr>
            </w:pPr>
          </w:p>
        </w:tc>
        <w:tc>
          <w:tcPr>
            <w:tcW w:w="82" w:type="pct"/>
            <w:vMerge w:val="continue"/>
            <w:noWrap w:val="0"/>
            <w:tcMar>
              <w:left w:w="0" w:type="dxa"/>
              <w:right w:w="0" w:type="dxa"/>
            </w:tcMar>
            <w:vAlign w:val="center"/>
          </w:tcPr>
          <w:p w14:paraId="4F063F4C">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78413E29">
            <w:pPr>
              <w:widowControl/>
              <w:jc w:val="center"/>
              <w:textAlignment w:val="center"/>
              <w:rPr>
                <w:rFonts w:hint="eastAsia"/>
                <w:kern w:val="0"/>
                <w:sz w:val="21"/>
                <w:szCs w:val="21"/>
                <w:lang w:bidi="ar"/>
              </w:rPr>
            </w:pPr>
          </w:p>
        </w:tc>
        <w:tc>
          <w:tcPr>
            <w:tcW w:w="97" w:type="pct"/>
            <w:gridSpan w:val="2"/>
            <w:vMerge w:val="continue"/>
            <w:noWrap w:val="0"/>
            <w:tcMar>
              <w:left w:w="0" w:type="dxa"/>
              <w:right w:w="0" w:type="dxa"/>
            </w:tcMar>
            <w:vAlign w:val="center"/>
          </w:tcPr>
          <w:p w14:paraId="0B40BFB2">
            <w:pPr>
              <w:widowControl/>
              <w:jc w:val="center"/>
              <w:textAlignment w:val="center"/>
              <w:rPr>
                <w:rFonts w:hint="eastAsia"/>
                <w:kern w:val="0"/>
                <w:sz w:val="21"/>
                <w:szCs w:val="21"/>
                <w:lang w:bidi="ar"/>
              </w:rPr>
            </w:pPr>
          </w:p>
        </w:tc>
      </w:tr>
      <w:tr w14:paraId="1364BB5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continue"/>
            <w:tcBorders>
              <w:top w:val="single" w:color="auto" w:sz="4" w:space="0"/>
              <w:bottom w:val="single" w:color="auto" w:sz="4" w:space="0"/>
            </w:tcBorders>
            <w:noWrap w:val="0"/>
            <w:vAlign w:val="center"/>
          </w:tcPr>
          <w:p w14:paraId="0690B648">
            <w:pPr>
              <w:jc w:val="center"/>
              <w:rPr>
                <w:sz w:val="21"/>
                <w:szCs w:val="21"/>
              </w:rPr>
            </w:pPr>
          </w:p>
        </w:tc>
        <w:tc>
          <w:tcPr>
            <w:tcW w:w="205" w:type="pct"/>
            <w:tcBorders>
              <w:top w:val="single" w:color="auto" w:sz="4" w:space="0"/>
              <w:bottom w:val="single" w:color="auto" w:sz="4" w:space="0"/>
            </w:tcBorders>
            <w:noWrap w:val="0"/>
            <w:tcMar>
              <w:left w:w="0" w:type="dxa"/>
              <w:right w:w="0" w:type="dxa"/>
            </w:tcMar>
            <w:vAlign w:val="center"/>
          </w:tcPr>
          <w:p w14:paraId="616B8375">
            <w:pPr>
              <w:jc w:val="center"/>
              <w:rPr>
                <w:rFonts w:hint="default" w:eastAsia="宋体"/>
                <w:sz w:val="21"/>
                <w:szCs w:val="21"/>
                <w:lang w:val="en-US" w:eastAsia="zh-CN"/>
              </w:rPr>
            </w:pPr>
            <w:r>
              <w:rPr>
                <w:rFonts w:hint="eastAsia"/>
                <w:sz w:val="21"/>
                <w:szCs w:val="21"/>
                <w:lang w:val="en-US" w:eastAsia="zh-CN"/>
              </w:rPr>
              <w:t>NO</w:t>
            </w:r>
            <w:r>
              <w:rPr>
                <w:rFonts w:hint="eastAsia"/>
                <w:sz w:val="21"/>
                <w:szCs w:val="21"/>
                <w:vertAlign w:val="subscript"/>
                <w:lang w:val="en-US" w:eastAsia="zh-CN"/>
              </w:rPr>
              <w:t>x</w:t>
            </w:r>
          </w:p>
        </w:tc>
        <w:tc>
          <w:tcPr>
            <w:tcW w:w="194" w:type="pct"/>
            <w:tcBorders>
              <w:top w:val="single" w:color="auto" w:sz="4" w:space="0"/>
              <w:bottom w:val="single" w:color="auto" w:sz="4" w:space="0"/>
            </w:tcBorders>
            <w:noWrap w:val="0"/>
            <w:tcMar>
              <w:left w:w="0" w:type="dxa"/>
              <w:right w:w="0" w:type="dxa"/>
            </w:tcMar>
            <w:vAlign w:val="center"/>
          </w:tcPr>
          <w:p w14:paraId="0A6314DF">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0.69</w:t>
            </w:r>
          </w:p>
        </w:tc>
        <w:tc>
          <w:tcPr>
            <w:tcW w:w="225" w:type="pct"/>
            <w:tcBorders>
              <w:top w:val="single" w:color="auto" w:sz="4" w:space="0"/>
              <w:bottom w:val="single" w:color="auto" w:sz="4" w:space="0"/>
            </w:tcBorders>
            <w:noWrap w:val="0"/>
            <w:tcMar>
              <w:left w:w="0" w:type="dxa"/>
              <w:right w:w="0" w:type="dxa"/>
            </w:tcMar>
            <w:vAlign w:val="center"/>
          </w:tcPr>
          <w:p w14:paraId="52BCA214">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4.97</w:t>
            </w:r>
          </w:p>
        </w:tc>
        <w:tc>
          <w:tcPr>
            <w:tcW w:w="86" w:type="pct"/>
            <w:vMerge w:val="continue"/>
            <w:noWrap w:val="0"/>
            <w:tcMar>
              <w:left w:w="0" w:type="dxa"/>
              <w:right w:w="0" w:type="dxa"/>
            </w:tcMar>
            <w:vAlign w:val="center"/>
          </w:tcPr>
          <w:p w14:paraId="6CDE4243">
            <w:pPr>
              <w:widowControl/>
              <w:jc w:val="center"/>
              <w:textAlignment w:val="center"/>
              <w:rPr>
                <w:rFonts w:hint="eastAsia"/>
                <w:kern w:val="0"/>
                <w:sz w:val="21"/>
                <w:szCs w:val="21"/>
                <w:lang w:bidi="ar"/>
              </w:rPr>
            </w:pPr>
          </w:p>
        </w:tc>
        <w:tc>
          <w:tcPr>
            <w:tcW w:w="116" w:type="pct"/>
            <w:vMerge w:val="continue"/>
            <w:noWrap w:val="0"/>
            <w:tcMar>
              <w:left w:w="0" w:type="dxa"/>
              <w:right w:w="0" w:type="dxa"/>
            </w:tcMar>
            <w:vAlign w:val="center"/>
          </w:tcPr>
          <w:p w14:paraId="17E61029">
            <w:pPr>
              <w:widowControl/>
              <w:jc w:val="center"/>
              <w:textAlignment w:val="center"/>
              <w:rPr>
                <w:rFonts w:hint="eastAsia"/>
                <w:kern w:val="0"/>
                <w:sz w:val="21"/>
                <w:szCs w:val="21"/>
                <w:lang w:bidi="ar"/>
              </w:rPr>
            </w:pPr>
          </w:p>
        </w:tc>
        <w:tc>
          <w:tcPr>
            <w:tcW w:w="208" w:type="pct"/>
            <w:tcBorders>
              <w:top w:val="single" w:color="auto" w:sz="4" w:space="0"/>
              <w:bottom w:val="single" w:color="auto" w:sz="4" w:space="0"/>
            </w:tcBorders>
            <w:noWrap w:val="0"/>
            <w:tcMar>
              <w:left w:w="0" w:type="dxa"/>
              <w:right w:w="0" w:type="dxa"/>
            </w:tcMar>
            <w:vAlign w:val="center"/>
          </w:tcPr>
          <w:p w14:paraId="7066D4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98.61</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14:paraId="0F07B996">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0.69</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14:paraId="5F2230B5">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4.97</w:t>
            </w:r>
          </w:p>
        </w:tc>
        <w:tc>
          <w:tcPr>
            <w:tcW w:w="157" w:type="pct"/>
            <w:vMerge w:val="continue"/>
            <w:noWrap w:val="0"/>
            <w:tcMar>
              <w:left w:w="0" w:type="dxa"/>
              <w:right w:w="0" w:type="dxa"/>
            </w:tcMar>
            <w:vAlign w:val="center"/>
          </w:tcPr>
          <w:p w14:paraId="0415A29F">
            <w:pPr>
              <w:widowControl/>
              <w:jc w:val="center"/>
              <w:textAlignment w:val="center"/>
              <w:rPr>
                <w:rFonts w:hint="eastAsia"/>
                <w:kern w:val="0"/>
                <w:sz w:val="21"/>
                <w:szCs w:val="21"/>
                <w:lang w:bidi="ar"/>
              </w:rPr>
            </w:pPr>
          </w:p>
        </w:tc>
        <w:tc>
          <w:tcPr>
            <w:tcW w:w="288" w:type="pct"/>
            <w:vMerge w:val="continue"/>
            <w:noWrap w:val="0"/>
            <w:tcMar>
              <w:left w:w="0" w:type="dxa"/>
              <w:right w:w="0" w:type="dxa"/>
            </w:tcMar>
            <w:vAlign w:val="center"/>
          </w:tcPr>
          <w:p w14:paraId="6F17409A">
            <w:pPr>
              <w:widowControl/>
              <w:jc w:val="center"/>
              <w:textAlignment w:val="center"/>
              <w:rPr>
                <w:rFonts w:hint="eastAsia"/>
                <w:kern w:val="0"/>
                <w:sz w:val="21"/>
                <w:szCs w:val="21"/>
                <w:lang w:bidi="ar"/>
              </w:rPr>
            </w:pPr>
          </w:p>
        </w:tc>
        <w:tc>
          <w:tcPr>
            <w:tcW w:w="180" w:type="pct"/>
            <w:tcBorders>
              <w:top w:val="single" w:color="auto" w:sz="4" w:space="0"/>
              <w:bottom w:val="single" w:color="auto" w:sz="4" w:space="0"/>
            </w:tcBorders>
            <w:noWrap w:val="0"/>
            <w:tcMar>
              <w:left w:w="0" w:type="dxa"/>
              <w:right w:w="0" w:type="dxa"/>
            </w:tcMar>
            <w:vAlign w:val="center"/>
          </w:tcPr>
          <w:p w14:paraId="635DECFA">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80</w:t>
            </w:r>
          </w:p>
        </w:tc>
        <w:tc>
          <w:tcPr>
            <w:tcW w:w="157" w:type="pct"/>
            <w:vMerge w:val="continue"/>
            <w:noWrap w:val="0"/>
            <w:tcMar>
              <w:left w:w="0" w:type="dxa"/>
              <w:right w:w="0" w:type="dxa"/>
            </w:tcMar>
            <w:vAlign w:val="center"/>
          </w:tcPr>
          <w:p w14:paraId="44DC13E6">
            <w:pPr>
              <w:widowControl/>
              <w:jc w:val="center"/>
              <w:textAlignment w:val="center"/>
              <w:rPr>
                <w:rFonts w:hint="eastAsia"/>
                <w:kern w:val="0"/>
                <w:sz w:val="21"/>
                <w:szCs w:val="21"/>
                <w:lang w:bidi="ar"/>
              </w:rPr>
            </w:pPr>
          </w:p>
        </w:tc>
        <w:tc>
          <w:tcPr>
            <w:tcW w:w="175" w:type="pct"/>
            <w:tcBorders>
              <w:top w:val="single" w:color="auto" w:sz="4" w:space="0"/>
              <w:bottom w:val="single" w:color="auto" w:sz="4" w:space="0"/>
            </w:tcBorders>
            <w:noWrap w:val="0"/>
            <w:tcMar>
              <w:left w:w="0" w:type="dxa"/>
              <w:right w:w="0" w:type="dxa"/>
            </w:tcMar>
            <w:vAlign w:val="center"/>
          </w:tcPr>
          <w:p w14:paraId="526FC2D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19.72</w:t>
            </w:r>
          </w:p>
        </w:tc>
        <w:tc>
          <w:tcPr>
            <w:tcW w:w="225" w:type="pct"/>
            <w:tcBorders>
              <w:top w:val="single" w:color="auto" w:sz="4" w:space="0"/>
              <w:bottom w:val="single" w:color="auto" w:sz="4" w:space="0"/>
            </w:tcBorders>
            <w:noWrap w:val="0"/>
            <w:tcMar>
              <w:left w:w="0" w:type="dxa"/>
              <w:right w:w="0" w:type="dxa"/>
            </w:tcMar>
            <w:vAlign w:val="center"/>
          </w:tcPr>
          <w:p w14:paraId="193C2DE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0.138</w:t>
            </w:r>
          </w:p>
        </w:tc>
        <w:tc>
          <w:tcPr>
            <w:tcW w:w="199" w:type="pct"/>
            <w:tcBorders>
              <w:top w:val="single" w:color="auto" w:sz="4" w:space="0"/>
              <w:bottom w:val="single" w:color="auto" w:sz="4" w:space="0"/>
            </w:tcBorders>
            <w:noWrap w:val="0"/>
            <w:tcMar>
              <w:left w:w="0" w:type="dxa"/>
              <w:right w:w="0" w:type="dxa"/>
            </w:tcMar>
            <w:vAlign w:val="center"/>
          </w:tcPr>
          <w:p w14:paraId="684C8AF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0.994</w:t>
            </w:r>
          </w:p>
        </w:tc>
        <w:tc>
          <w:tcPr>
            <w:tcW w:w="107" w:type="pct"/>
            <w:vMerge w:val="continue"/>
            <w:noWrap w:val="0"/>
            <w:tcMar>
              <w:left w:w="0" w:type="dxa"/>
              <w:right w:w="0" w:type="dxa"/>
            </w:tcMar>
            <w:vAlign w:val="center"/>
          </w:tcPr>
          <w:p w14:paraId="2D54FA38">
            <w:pPr>
              <w:widowControl/>
              <w:jc w:val="center"/>
              <w:textAlignment w:val="center"/>
              <w:rPr>
                <w:rFonts w:hint="eastAsia"/>
                <w:kern w:val="0"/>
                <w:sz w:val="21"/>
                <w:szCs w:val="21"/>
                <w:lang w:bidi="ar"/>
              </w:rPr>
            </w:pPr>
          </w:p>
        </w:tc>
        <w:tc>
          <w:tcPr>
            <w:tcW w:w="122" w:type="pct"/>
            <w:vMerge w:val="continue"/>
            <w:noWrap w:val="0"/>
            <w:tcMar>
              <w:left w:w="0" w:type="dxa"/>
              <w:right w:w="0" w:type="dxa"/>
            </w:tcMar>
            <w:vAlign w:val="center"/>
          </w:tcPr>
          <w:p w14:paraId="7E0D65EC">
            <w:pPr>
              <w:widowControl/>
              <w:jc w:val="center"/>
              <w:textAlignment w:val="center"/>
              <w:rPr>
                <w:rFonts w:hint="eastAsia"/>
                <w:kern w:val="0"/>
                <w:sz w:val="21"/>
                <w:szCs w:val="21"/>
                <w:lang w:bidi="ar"/>
              </w:rPr>
            </w:pPr>
          </w:p>
        </w:tc>
        <w:tc>
          <w:tcPr>
            <w:tcW w:w="125" w:type="pct"/>
            <w:vMerge w:val="continue"/>
            <w:noWrap w:val="0"/>
            <w:tcMar>
              <w:left w:w="0" w:type="dxa"/>
              <w:right w:w="0" w:type="dxa"/>
            </w:tcMar>
            <w:vAlign w:val="center"/>
          </w:tcPr>
          <w:p w14:paraId="3185EFC4">
            <w:pPr>
              <w:widowControl/>
              <w:jc w:val="center"/>
              <w:textAlignment w:val="center"/>
              <w:rPr>
                <w:rFonts w:hint="eastAsia"/>
                <w:kern w:val="0"/>
                <w:sz w:val="21"/>
                <w:szCs w:val="21"/>
                <w:lang w:bidi="ar"/>
              </w:rPr>
            </w:pPr>
          </w:p>
        </w:tc>
        <w:tc>
          <w:tcPr>
            <w:tcW w:w="189" w:type="pct"/>
            <w:vMerge w:val="continue"/>
            <w:noWrap w:val="0"/>
            <w:tcMar>
              <w:left w:w="0" w:type="dxa"/>
              <w:right w:w="0" w:type="dxa"/>
            </w:tcMar>
            <w:vAlign w:val="center"/>
          </w:tcPr>
          <w:p w14:paraId="67D36BC5">
            <w:pPr>
              <w:widowControl/>
              <w:jc w:val="center"/>
              <w:textAlignment w:val="center"/>
              <w:rPr>
                <w:rFonts w:hint="eastAsia"/>
                <w:kern w:val="0"/>
                <w:sz w:val="21"/>
                <w:szCs w:val="21"/>
                <w:lang w:bidi="ar"/>
              </w:rPr>
            </w:pPr>
          </w:p>
        </w:tc>
        <w:tc>
          <w:tcPr>
            <w:tcW w:w="233" w:type="pct"/>
            <w:vMerge w:val="continue"/>
            <w:noWrap w:val="0"/>
            <w:tcMar>
              <w:left w:w="0" w:type="dxa"/>
              <w:right w:w="0" w:type="dxa"/>
            </w:tcMar>
            <w:vAlign w:val="center"/>
          </w:tcPr>
          <w:p w14:paraId="79583882">
            <w:pPr>
              <w:widowControl/>
              <w:jc w:val="center"/>
              <w:textAlignment w:val="center"/>
              <w:rPr>
                <w:rFonts w:hint="eastAsia"/>
                <w:kern w:val="0"/>
                <w:sz w:val="21"/>
                <w:szCs w:val="21"/>
                <w:lang w:bidi="ar"/>
              </w:rPr>
            </w:pPr>
          </w:p>
        </w:tc>
        <w:tc>
          <w:tcPr>
            <w:tcW w:w="257" w:type="pct"/>
            <w:vMerge w:val="continue"/>
            <w:noWrap w:val="0"/>
            <w:tcMar>
              <w:left w:w="0" w:type="dxa"/>
              <w:right w:w="0" w:type="dxa"/>
            </w:tcMar>
            <w:vAlign w:val="center"/>
          </w:tcPr>
          <w:p w14:paraId="2850AAB1">
            <w:pPr>
              <w:widowControl/>
              <w:jc w:val="center"/>
              <w:textAlignment w:val="center"/>
              <w:rPr>
                <w:rFonts w:hint="default" w:ascii="Times New Roman" w:hAnsi="Times New Roman" w:cs="Times New Roman"/>
                <w:kern w:val="0"/>
                <w:sz w:val="21"/>
                <w:szCs w:val="21"/>
                <w:lang w:bidi="ar"/>
              </w:rPr>
            </w:pPr>
          </w:p>
        </w:tc>
        <w:tc>
          <w:tcPr>
            <w:tcW w:w="216" w:type="pct"/>
            <w:tcBorders>
              <w:top w:val="single" w:color="auto" w:sz="4" w:space="0"/>
              <w:bottom w:val="single" w:color="auto" w:sz="4" w:space="0"/>
            </w:tcBorders>
            <w:noWrap w:val="0"/>
            <w:tcMar>
              <w:left w:w="0" w:type="dxa"/>
              <w:right w:w="0" w:type="dxa"/>
            </w:tcMar>
            <w:vAlign w:val="center"/>
          </w:tcPr>
          <w:p w14:paraId="2F3106C3">
            <w:pPr>
              <w:jc w:val="center"/>
              <w:rPr>
                <w:rFonts w:hint="default" w:eastAsia="宋体"/>
                <w:sz w:val="21"/>
                <w:szCs w:val="21"/>
                <w:lang w:val="en-US" w:eastAsia="zh-CN"/>
              </w:rPr>
            </w:pPr>
            <w:r>
              <w:rPr>
                <w:rFonts w:hint="eastAsia"/>
                <w:sz w:val="21"/>
                <w:szCs w:val="21"/>
                <w:lang w:val="en-US" w:eastAsia="zh-CN"/>
              </w:rPr>
              <w:t>50</w:t>
            </w:r>
          </w:p>
        </w:tc>
        <w:tc>
          <w:tcPr>
            <w:tcW w:w="127" w:type="pct"/>
            <w:tcBorders>
              <w:top w:val="single" w:color="auto" w:sz="4" w:space="0"/>
              <w:bottom w:val="single" w:color="auto" w:sz="4" w:space="0"/>
            </w:tcBorders>
            <w:noWrap w:val="0"/>
            <w:tcMar>
              <w:left w:w="0" w:type="dxa"/>
              <w:right w:w="0" w:type="dxa"/>
            </w:tcMar>
            <w:vAlign w:val="center"/>
          </w:tcPr>
          <w:p w14:paraId="71CB9301">
            <w:pPr>
              <w:jc w:val="center"/>
              <w:rPr>
                <w:rFonts w:hint="eastAsia"/>
                <w:sz w:val="21"/>
                <w:szCs w:val="21"/>
              </w:rPr>
            </w:pPr>
            <w:r>
              <w:rPr>
                <w:sz w:val="21"/>
                <w:szCs w:val="21"/>
              </w:rPr>
              <w:t>/</w:t>
            </w:r>
          </w:p>
        </w:tc>
        <w:tc>
          <w:tcPr>
            <w:tcW w:w="256" w:type="pct"/>
            <w:vMerge w:val="continue"/>
            <w:noWrap w:val="0"/>
            <w:tcMar>
              <w:left w:w="0" w:type="dxa"/>
              <w:right w:w="0" w:type="dxa"/>
            </w:tcMar>
            <w:vAlign w:val="center"/>
          </w:tcPr>
          <w:p w14:paraId="340D526B">
            <w:pPr>
              <w:widowControl/>
              <w:jc w:val="center"/>
              <w:textAlignment w:val="center"/>
              <w:rPr>
                <w:rFonts w:hint="eastAsia"/>
                <w:kern w:val="0"/>
                <w:sz w:val="21"/>
                <w:szCs w:val="21"/>
                <w:lang w:bidi="ar"/>
              </w:rPr>
            </w:pPr>
          </w:p>
        </w:tc>
        <w:tc>
          <w:tcPr>
            <w:tcW w:w="82" w:type="pct"/>
            <w:vMerge w:val="continue"/>
            <w:noWrap w:val="0"/>
            <w:tcMar>
              <w:left w:w="0" w:type="dxa"/>
              <w:right w:w="0" w:type="dxa"/>
            </w:tcMar>
            <w:vAlign w:val="center"/>
          </w:tcPr>
          <w:p w14:paraId="02E80EB0">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5E6BF365">
            <w:pPr>
              <w:widowControl/>
              <w:jc w:val="center"/>
              <w:textAlignment w:val="center"/>
              <w:rPr>
                <w:rFonts w:hint="eastAsia"/>
                <w:kern w:val="0"/>
                <w:sz w:val="21"/>
                <w:szCs w:val="21"/>
                <w:lang w:bidi="ar"/>
              </w:rPr>
            </w:pPr>
          </w:p>
        </w:tc>
        <w:tc>
          <w:tcPr>
            <w:tcW w:w="97" w:type="pct"/>
            <w:gridSpan w:val="2"/>
            <w:vMerge w:val="continue"/>
            <w:noWrap w:val="0"/>
            <w:tcMar>
              <w:left w:w="0" w:type="dxa"/>
              <w:right w:w="0" w:type="dxa"/>
            </w:tcMar>
            <w:vAlign w:val="center"/>
          </w:tcPr>
          <w:p w14:paraId="1FC8BF70">
            <w:pPr>
              <w:widowControl/>
              <w:jc w:val="center"/>
              <w:textAlignment w:val="center"/>
              <w:rPr>
                <w:rFonts w:hint="eastAsia"/>
                <w:kern w:val="0"/>
                <w:sz w:val="21"/>
                <w:szCs w:val="21"/>
                <w:lang w:bidi="ar"/>
              </w:rPr>
            </w:pPr>
          </w:p>
        </w:tc>
      </w:tr>
      <w:tr w14:paraId="4E32066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continue"/>
            <w:tcBorders>
              <w:top w:val="single" w:color="auto" w:sz="4" w:space="0"/>
              <w:bottom w:val="single" w:color="auto" w:sz="4" w:space="0"/>
            </w:tcBorders>
            <w:noWrap w:val="0"/>
            <w:vAlign w:val="center"/>
          </w:tcPr>
          <w:p w14:paraId="0FEE420D">
            <w:pPr>
              <w:jc w:val="center"/>
              <w:rPr>
                <w:sz w:val="21"/>
                <w:szCs w:val="21"/>
              </w:rPr>
            </w:pPr>
          </w:p>
        </w:tc>
        <w:tc>
          <w:tcPr>
            <w:tcW w:w="205" w:type="pct"/>
            <w:tcBorders>
              <w:top w:val="single" w:color="auto" w:sz="4" w:space="0"/>
              <w:bottom w:val="single" w:color="auto" w:sz="4" w:space="0"/>
            </w:tcBorders>
            <w:noWrap w:val="0"/>
            <w:tcMar>
              <w:left w:w="0" w:type="dxa"/>
              <w:right w:w="0" w:type="dxa"/>
            </w:tcMar>
            <w:vAlign w:val="center"/>
          </w:tcPr>
          <w:p w14:paraId="2667F845">
            <w:pPr>
              <w:jc w:val="center"/>
              <w:rPr>
                <w:rFonts w:hint="default" w:eastAsia="宋体"/>
                <w:sz w:val="21"/>
                <w:szCs w:val="21"/>
                <w:lang w:val="en-US" w:eastAsia="zh-CN"/>
              </w:rPr>
            </w:pPr>
            <w:r>
              <w:rPr>
                <w:rFonts w:hint="eastAsia"/>
                <w:sz w:val="21"/>
                <w:szCs w:val="21"/>
                <w:lang w:val="en-US" w:eastAsia="zh-CN"/>
              </w:rPr>
              <w:t>汞及其化合物</w:t>
            </w:r>
          </w:p>
        </w:tc>
        <w:tc>
          <w:tcPr>
            <w:tcW w:w="194" w:type="pct"/>
            <w:tcBorders>
              <w:top w:val="single" w:color="auto" w:sz="4" w:space="0"/>
              <w:bottom w:val="single" w:color="auto" w:sz="4" w:space="0"/>
            </w:tcBorders>
            <w:noWrap w:val="0"/>
            <w:tcMar>
              <w:left w:w="0" w:type="dxa"/>
              <w:right w:w="0" w:type="dxa"/>
            </w:tcMar>
            <w:vAlign w:val="center"/>
          </w:tcPr>
          <w:p w14:paraId="5BCD12FC">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0.0004</w:t>
            </w:r>
          </w:p>
        </w:tc>
        <w:tc>
          <w:tcPr>
            <w:tcW w:w="225" w:type="pct"/>
            <w:tcBorders>
              <w:top w:val="single" w:color="auto" w:sz="4" w:space="0"/>
              <w:bottom w:val="single" w:color="auto" w:sz="4" w:space="0"/>
            </w:tcBorders>
            <w:noWrap w:val="0"/>
            <w:tcMar>
              <w:left w:w="0" w:type="dxa"/>
              <w:right w:w="0" w:type="dxa"/>
            </w:tcMar>
            <w:vAlign w:val="center"/>
          </w:tcPr>
          <w:p w14:paraId="793BDC93">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2.687kg</w:t>
            </w:r>
          </w:p>
        </w:tc>
        <w:tc>
          <w:tcPr>
            <w:tcW w:w="86" w:type="pct"/>
            <w:vMerge w:val="continue"/>
            <w:noWrap w:val="0"/>
            <w:tcMar>
              <w:left w:w="0" w:type="dxa"/>
              <w:right w:w="0" w:type="dxa"/>
            </w:tcMar>
            <w:vAlign w:val="center"/>
          </w:tcPr>
          <w:p w14:paraId="290AF344">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116" w:type="pct"/>
            <w:vMerge w:val="continue"/>
            <w:noWrap w:val="0"/>
            <w:tcMar>
              <w:left w:w="0" w:type="dxa"/>
              <w:right w:w="0" w:type="dxa"/>
            </w:tcMar>
            <w:vAlign w:val="center"/>
          </w:tcPr>
          <w:p w14:paraId="3CAF445A">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208" w:type="pct"/>
            <w:tcBorders>
              <w:top w:val="single" w:color="auto" w:sz="4" w:space="0"/>
              <w:bottom w:val="single" w:color="auto" w:sz="4" w:space="0"/>
            </w:tcBorders>
            <w:noWrap w:val="0"/>
            <w:tcMar>
              <w:left w:w="0" w:type="dxa"/>
              <w:right w:w="0" w:type="dxa"/>
            </w:tcMar>
            <w:vAlign w:val="center"/>
          </w:tcPr>
          <w:p w14:paraId="7AF25D96">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0.053</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14:paraId="00B95060">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0.0004</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14:paraId="337EC2B1">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2.687kg</w:t>
            </w:r>
          </w:p>
        </w:tc>
        <w:tc>
          <w:tcPr>
            <w:tcW w:w="157" w:type="pct"/>
            <w:vMerge w:val="continue"/>
            <w:noWrap w:val="0"/>
            <w:tcMar>
              <w:left w:w="0" w:type="dxa"/>
              <w:right w:w="0" w:type="dxa"/>
            </w:tcMar>
            <w:vAlign w:val="center"/>
          </w:tcPr>
          <w:p w14:paraId="2CB778F3">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288" w:type="pct"/>
            <w:vMerge w:val="continue"/>
            <w:noWrap w:val="0"/>
            <w:tcMar>
              <w:left w:w="0" w:type="dxa"/>
              <w:right w:w="0" w:type="dxa"/>
            </w:tcMar>
            <w:vAlign w:val="center"/>
          </w:tcPr>
          <w:p w14:paraId="72DD7301">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180" w:type="pct"/>
            <w:tcBorders>
              <w:top w:val="single" w:color="auto" w:sz="4" w:space="0"/>
              <w:bottom w:val="single" w:color="auto" w:sz="4" w:space="0"/>
            </w:tcBorders>
            <w:noWrap w:val="0"/>
            <w:tcMar>
              <w:left w:w="0" w:type="dxa"/>
              <w:right w:w="0" w:type="dxa"/>
            </w:tcMar>
            <w:vAlign w:val="center"/>
          </w:tcPr>
          <w:p w14:paraId="6FECED19">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70</w:t>
            </w:r>
          </w:p>
        </w:tc>
        <w:tc>
          <w:tcPr>
            <w:tcW w:w="157" w:type="pct"/>
            <w:vMerge w:val="continue"/>
            <w:noWrap w:val="0"/>
            <w:tcMar>
              <w:left w:w="0" w:type="dxa"/>
              <w:right w:w="0" w:type="dxa"/>
            </w:tcMar>
            <w:vAlign w:val="center"/>
          </w:tcPr>
          <w:p w14:paraId="31859718">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175" w:type="pct"/>
            <w:tcBorders>
              <w:top w:val="single" w:color="auto" w:sz="4" w:space="0"/>
              <w:bottom w:val="single" w:color="auto" w:sz="4" w:space="0"/>
            </w:tcBorders>
            <w:noWrap w:val="0"/>
            <w:tcMar>
              <w:left w:w="0" w:type="dxa"/>
              <w:right w:w="0" w:type="dxa"/>
            </w:tcMar>
            <w:vAlign w:val="center"/>
          </w:tcPr>
          <w:p w14:paraId="44A394CE">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0.016</w:t>
            </w:r>
          </w:p>
        </w:tc>
        <w:tc>
          <w:tcPr>
            <w:tcW w:w="225" w:type="pct"/>
            <w:tcBorders>
              <w:top w:val="single" w:color="auto" w:sz="4" w:space="0"/>
              <w:bottom w:val="single" w:color="auto" w:sz="4" w:space="0"/>
            </w:tcBorders>
            <w:noWrap w:val="0"/>
            <w:tcMar>
              <w:left w:w="0" w:type="dxa"/>
              <w:right w:w="0" w:type="dxa"/>
            </w:tcMar>
            <w:vAlign w:val="center"/>
          </w:tcPr>
          <w:p w14:paraId="19349619">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w:t>
            </w:r>
            <w:r>
              <w:rPr>
                <w:rFonts w:hint="eastAsia" w:cs="Times New Roman"/>
                <w:kern w:val="0"/>
                <w:sz w:val="21"/>
                <w:szCs w:val="21"/>
                <w:lang w:val="en-US" w:eastAsia="zh-CN" w:bidi="ar"/>
              </w:rPr>
              <w:t>0011</w:t>
            </w:r>
          </w:p>
        </w:tc>
        <w:tc>
          <w:tcPr>
            <w:tcW w:w="199" w:type="pct"/>
            <w:tcBorders>
              <w:top w:val="single" w:color="auto" w:sz="4" w:space="0"/>
              <w:bottom w:val="single" w:color="auto" w:sz="4" w:space="0"/>
            </w:tcBorders>
            <w:noWrap w:val="0"/>
            <w:tcMar>
              <w:left w:w="0" w:type="dxa"/>
              <w:right w:w="0" w:type="dxa"/>
            </w:tcMar>
            <w:vAlign w:val="center"/>
          </w:tcPr>
          <w:p w14:paraId="0BAC56DF">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0.806kg</w:t>
            </w:r>
          </w:p>
        </w:tc>
        <w:tc>
          <w:tcPr>
            <w:tcW w:w="107" w:type="pct"/>
            <w:vMerge w:val="continue"/>
            <w:noWrap w:val="0"/>
            <w:tcMar>
              <w:left w:w="0" w:type="dxa"/>
              <w:right w:w="0" w:type="dxa"/>
            </w:tcMar>
            <w:vAlign w:val="center"/>
          </w:tcPr>
          <w:p w14:paraId="079A4CB6">
            <w:pPr>
              <w:widowControl/>
              <w:jc w:val="center"/>
              <w:textAlignment w:val="center"/>
              <w:rPr>
                <w:rFonts w:hint="eastAsia"/>
                <w:kern w:val="0"/>
                <w:sz w:val="21"/>
                <w:szCs w:val="21"/>
                <w:lang w:bidi="ar"/>
              </w:rPr>
            </w:pPr>
          </w:p>
        </w:tc>
        <w:tc>
          <w:tcPr>
            <w:tcW w:w="122" w:type="pct"/>
            <w:vMerge w:val="continue"/>
            <w:noWrap w:val="0"/>
            <w:tcMar>
              <w:left w:w="0" w:type="dxa"/>
              <w:right w:w="0" w:type="dxa"/>
            </w:tcMar>
            <w:vAlign w:val="center"/>
          </w:tcPr>
          <w:p w14:paraId="35D8E454">
            <w:pPr>
              <w:widowControl/>
              <w:jc w:val="center"/>
              <w:textAlignment w:val="center"/>
              <w:rPr>
                <w:rFonts w:hint="eastAsia"/>
                <w:kern w:val="0"/>
                <w:sz w:val="21"/>
                <w:szCs w:val="21"/>
                <w:lang w:bidi="ar"/>
              </w:rPr>
            </w:pPr>
          </w:p>
        </w:tc>
        <w:tc>
          <w:tcPr>
            <w:tcW w:w="125" w:type="pct"/>
            <w:vMerge w:val="continue"/>
            <w:noWrap w:val="0"/>
            <w:tcMar>
              <w:left w:w="0" w:type="dxa"/>
              <w:right w:w="0" w:type="dxa"/>
            </w:tcMar>
            <w:vAlign w:val="center"/>
          </w:tcPr>
          <w:p w14:paraId="0605A4B7">
            <w:pPr>
              <w:widowControl/>
              <w:jc w:val="center"/>
              <w:textAlignment w:val="center"/>
              <w:rPr>
                <w:rFonts w:hint="eastAsia"/>
                <w:kern w:val="0"/>
                <w:sz w:val="21"/>
                <w:szCs w:val="21"/>
                <w:lang w:bidi="ar"/>
              </w:rPr>
            </w:pPr>
          </w:p>
        </w:tc>
        <w:tc>
          <w:tcPr>
            <w:tcW w:w="189" w:type="pct"/>
            <w:vMerge w:val="continue"/>
            <w:noWrap w:val="0"/>
            <w:tcMar>
              <w:left w:w="0" w:type="dxa"/>
              <w:right w:w="0" w:type="dxa"/>
            </w:tcMar>
            <w:vAlign w:val="center"/>
          </w:tcPr>
          <w:p w14:paraId="1AD19E21">
            <w:pPr>
              <w:widowControl/>
              <w:jc w:val="center"/>
              <w:textAlignment w:val="center"/>
              <w:rPr>
                <w:rFonts w:hint="eastAsia"/>
                <w:kern w:val="0"/>
                <w:sz w:val="21"/>
                <w:szCs w:val="21"/>
                <w:lang w:bidi="ar"/>
              </w:rPr>
            </w:pPr>
          </w:p>
        </w:tc>
        <w:tc>
          <w:tcPr>
            <w:tcW w:w="233" w:type="pct"/>
            <w:vMerge w:val="continue"/>
            <w:noWrap w:val="0"/>
            <w:tcMar>
              <w:left w:w="0" w:type="dxa"/>
              <w:right w:w="0" w:type="dxa"/>
            </w:tcMar>
            <w:vAlign w:val="center"/>
          </w:tcPr>
          <w:p w14:paraId="366C5E85">
            <w:pPr>
              <w:widowControl/>
              <w:jc w:val="center"/>
              <w:textAlignment w:val="center"/>
              <w:rPr>
                <w:rFonts w:hint="eastAsia"/>
                <w:kern w:val="0"/>
                <w:sz w:val="21"/>
                <w:szCs w:val="21"/>
                <w:lang w:bidi="ar"/>
              </w:rPr>
            </w:pPr>
          </w:p>
        </w:tc>
        <w:tc>
          <w:tcPr>
            <w:tcW w:w="257" w:type="pct"/>
            <w:vMerge w:val="continue"/>
            <w:noWrap w:val="0"/>
            <w:tcMar>
              <w:left w:w="0" w:type="dxa"/>
              <w:right w:w="0" w:type="dxa"/>
            </w:tcMar>
            <w:vAlign w:val="center"/>
          </w:tcPr>
          <w:p w14:paraId="3B8F5F69">
            <w:pPr>
              <w:widowControl/>
              <w:jc w:val="center"/>
              <w:textAlignment w:val="center"/>
              <w:rPr>
                <w:rFonts w:hint="default" w:ascii="Times New Roman" w:hAnsi="Times New Roman" w:cs="Times New Roman"/>
                <w:kern w:val="0"/>
                <w:sz w:val="21"/>
                <w:szCs w:val="21"/>
                <w:lang w:bidi="ar"/>
              </w:rPr>
            </w:pPr>
          </w:p>
        </w:tc>
        <w:tc>
          <w:tcPr>
            <w:tcW w:w="216" w:type="pct"/>
            <w:tcBorders>
              <w:top w:val="single" w:color="auto" w:sz="4" w:space="0"/>
              <w:bottom w:val="single" w:color="auto" w:sz="4" w:space="0"/>
            </w:tcBorders>
            <w:noWrap w:val="0"/>
            <w:tcMar>
              <w:left w:w="0" w:type="dxa"/>
              <w:right w:w="0" w:type="dxa"/>
            </w:tcMar>
            <w:vAlign w:val="center"/>
          </w:tcPr>
          <w:p w14:paraId="4155817A">
            <w:pPr>
              <w:jc w:val="center"/>
              <w:rPr>
                <w:rFonts w:hint="default" w:eastAsia="宋体"/>
                <w:sz w:val="21"/>
                <w:szCs w:val="21"/>
                <w:lang w:val="en-US" w:eastAsia="zh-CN"/>
              </w:rPr>
            </w:pPr>
            <w:r>
              <w:rPr>
                <w:rFonts w:hint="eastAsia"/>
                <w:sz w:val="21"/>
                <w:szCs w:val="21"/>
                <w:lang w:val="en-US" w:eastAsia="zh-CN"/>
              </w:rPr>
              <w:t>0.03</w:t>
            </w:r>
          </w:p>
        </w:tc>
        <w:tc>
          <w:tcPr>
            <w:tcW w:w="127" w:type="pct"/>
            <w:tcBorders>
              <w:top w:val="single" w:color="auto" w:sz="4" w:space="0"/>
              <w:bottom w:val="single" w:color="auto" w:sz="4" w:space="0"/>
            </w:tcBorders>
            <w:noWrap w:val="0"/>
            <w:tcMar>
              <w:left w:w="0" w:type="dxa"/>
              <w:right w:w="0" w:type="dxa"/>
            </w:tcMar>
            <w:vAlign w:val="center"/>
          </w:tcPr>
          <w:p w14:paraId="1E69BF4A">
            <w:pPr>
              <w:jc w:val="center"/>
              <w:rPr>
                <w:rFonts w:hint="eastAsia"/>
                <w:sz w:val="21"/>
                <w:szCs w:val="21"/>
              </w:rPr>
            </w:pPr>
            <w:r>
              <w:rPr>
                <w:sz w:val="21"/>
                <w:szCs w:val="21"/>
              </w:rPr>
              <w:t>/</w:t>
            </w:r>
          </w:p>
        </w:tc>
        <w:tc>
          <w:tcPr>
            <w:tcW w:w="256" w:type="pct"/>
            <w:vMerge w:val="continue"/>
            <w:noWrap w:val="0"/>
            <w:tcMar>
              <w:left w:w="0" w:type="dxa"/>
              <w:right w:w="0" w:type="dxa"/>
            </w:tcMar>
            <w:vAlign w:val="center"/>
          </w:tcPr>
          <w:p w14:paraId="67BEC325">
            <w:pPr>
              <w:widowControl/>
              <w:jc w:val="center"/>
              <w:textAlignment w:val="center"/>
              <w:rPr>
                <w:rFonts w:hint="eastAsia"/>
                <w:kern w:val="0"/>
                <w:sz w:val="21"/>
                <w:szCs w:val="21"/>
                <w:lang w:bidi="ar"/>
              </w:rPr>
            </w:pPr>
          </w:p>
        </w:tc>
        <w:tc>
          <w:tcPr>
            <w:tcW w:w="82" w:type="pct"/>
            <w:vMerge w:val="continue"/>
            <w:noWrap w:val="0"/>
            <w:tcMar>
              <w:left w:w="0" w:type="dxa"/>
              <w:right w:w="0" w:type="dxa"/>
            </w:tcMar>
            <w:vAlign w:val="center"/>
          </w:tcPr>
          <w:p w14:paraId="51FA6585">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5BB3DBE8">
            <w:pPr>
              <w:widowControl/>
              <w:jc w:val="center"/>
              <w:textAlignment w:val="center"/>
              <w:rPr>
                <w:rFonts w:hint="eastAsia"/>
                <w:kern w:val="0"/>
                <w:sz w:val="21"/>
                <w:szCs w:val="21"/>
                <w:lang w:bidi="ar"/>
              </w:rPr>
            </w:pPr>
          </w:p>
        </w:tc>
        <w:tc>
          <w:tcPr>
            <w:tcW w:w="97" w:type="pct"/>
            <w:gridSpan w:val="2"/>
            <w:vMerge w:val="continue"/>
            <w:noWrap w:val="0"/>
            <w:tcMar>
              <w:left w:w="0" w:type="dxa"/>
              <w:right w:w="0" w:type="dxa"/>
            </w:tcMar>
            <w:vAlign w:val="center"/>
          </w:tcPr>
          <w:p w14:paraId="24FA3984">
            <w:pPr>
              <w:widowControl/>
              <w:jc w:val="center"/>
              <w:textAlignment w:val="center"/>
              <w:rPr>
                <w:rFonts w:hint="eastAsia"/>
                <w:kern w:val="0"/>
                <w:sz w:val="21"/>
                <w:szCs w:val="21"/>
                <w:lang w:bidi="ar"/>
              </w:rPr>
            </w:pPr>
          </w:p>
        </w:tc>
      </w:tr>
      <w:tr w14:paraId="36A7F6B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restart"/>
            <w:tcBorders>
              <w:top w:val="single" w:color="auto" w:sz="4" w:space="0"/>
            </w:tcBorders>
            <w:noWrap w:val="0"/>
            <w:vAlign w:val="center"/>
          </w:tcPr>
          <w:p w14:paraId="36D96483">
            <w:pPr>
              <w:jc w:val="center"/>
              <w:rPr>
                <w:rFonts w:hint="default" w:eastAsia="宋体"/>
                <w:sz w:val="21"/>
                <w:szCs w:val="21"/>
                <w:lang w:val="en-US" w:eastAsia="zh-CN"/>
              </w:rPr>
            </w:pPr>
            <w:r>
              <w:rPr>
                <w:rFonts w:hint="eastAsia"/>
                <w:sz w:val="21"/>
                <w:szCs w:val="21"/>
                <w:lang w:val="en-US" w:eastAsia="zh-CN"/>
              </w:rPr>
              <w:t>导热油炉废气</w:t>
            </w:r>
          </w:p>
        </w:tc>
        <w:tc>
          <w:tcPr>
            <w:tcW w:w="205" w:type="pct"/>
            <w:tcBorders>
              <w:top w:val="single" w:color="auto" w:sz="4" w:space="0"/>
              <w:bottom w:val="single" w:color="auto" w:sz="4" w:space="0"/>
            </w:tcBorders>
            <w:shd w:val="clear" w:color="auto" w:fill="auto"/>
            <w:noWrap w:val="0"/>
            <w:tcMar>
              <w:left w:w="0" w:type="dxa"/>
              <w:right w:w="0" w:type="dxa"/>
            </w:tcMar>
            <w:vAlign w:val="center"/>
          </w:tcPr>
          <w:p w14:paraId="761AAC43">
            <w:pPr>
              <w:jc w:val="center"/>
              <w:rPr>
                <w:rFonts w:hint="eastAsia" w:ascii="Times New Roman" w:hAnsi="Times New Roman" w:eastAsia="宋体" w:cs="Times New Roman"/>
                <w:kern w:val="2"/>
                <w:sz w:val="21"/>
                <w:szCs w:val="21"/>
                <w:lang w:val="en-US" w:eastAsia="zh-CN" w:bidi="ar-SA"/>
              </w:rPr>
            </w:pPr>
            <w:r>
              <w:rPr>
                <w:sz w:val="21"/>
                <w:szCs w:val="21"/>
              </w:rPr>
              <w:t>颗粒物</w:t>
            </w:r>
          </w:p>
        </w:tc>
        <w:tc>
          <w:tcPr>
            <w:tcW w:w="194" w:type="pct"/>
            <w:tcBorders>
              <w:top w:val="single" w:color="auto" w:sz="4" w:space="0"/>
              <w:bottom w:val="single" w:color="auto" w:sz="4" w:space="0"/>
            </w:tcBorders>
            <w:noWrap w:val="0"/>
            <w:tcMar>
              <w:left w:w="0" w:type="dxa"/>
              <w:right w:w="0" w:type="dxa"/>
            </w:tcMar>
            <w:vAlign w:val="center"/>
          </w:tcPr>
          <w:p w14:paraId="257273A9">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0.485</w:t>
            </w:r>
          </w:p>
        </w:tc>
        <w:tc>
          <w:tcPr>
            <w:tcW w:w="225" w:type="pct"/>
            <w:tcBorders>
              <w:top w:val="single" w:color="auto" w:sz="4" w:space="0"/>
              <w:bottom w:val="single" w:color="auto" w:sz="4" w:space="0"/>
            </w:tcBorders>
            <w:noWrap w:val="0"/>
            <w:tcMar>
              <w:left w:w="0" w:type="dxa"/>
              <w:right w:w="0" w:type="dxa"/>
            </w:tcMar>
            <w:vAlign w:val="center"/>
          </w:tcPr>
          <w:p w14:paraId="36022CF2">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3.5</w:t>
            </w:r>
          </w:p>
        </w:tc>
        <w:tc>
          <w:tcPr>
            <w:tcW w:w="86" w:type="pct"/>
            <w:vMerge w:val="continue"/>
            <w:noWrap w:val="0"/>
            <w:tcMar>
              <w:left w:w="0" w:type="dxa"/>
              <w:right w:w="0" w:type="dxa"/>
            </w:tcMar>
            <w:vAlign w:val="center"/>
          </w:tcPr>
          <w:p w14:paraId="37E6004A">
            <w:pPr>
              <w:widowControl/>
              <w:jc w:val="center"/>
              <w:textAlignment w:val="center"/>
              <w:rPr>
                <w:rFonts w:hint="eastAsia"/>
                <w:kern w:val="0"/>
                <w:sz w:val="21"/>
                <w:szCs w:val="21"/>
                <w:lang w:bidi="ar"/>
              </w:rPr>
            </w:pPr>
          </w:p>
        </w:tc>
        <w:tc>
          <w:tcPr>
            <w:tcW w:w="116" w:type="pct"/>
            <w:vMerge w:val="continue"/>
            <w:noWrap w:val="0"/>
            <w:tcMar>
              <w:left w:w="0" w:type="dxa"/>
              <w:right w:w="0" w:type="dxa"/>
            </w:tcMar>
            <w:vAlign w:val="center"/>
          </w:tcPr>
          <w:p w14:paraId="2257DFF2">
            <w:pPr>
              <w:widowControl/>
              <w:jc w:val="center"/>
              <w:textAlignment w:val="center"/>
              <w:rPr>
                <w:rFonts w:hint="eastAsia"/>
                <w:kern w:val="0"/>
                <w:sz w:val="21"/>
                <w:szCs w:val="21"/>
                <w:lang w:bidi="ar"/>
              </w:rPr>
            </w:pPr>
          </w:p>
        </w:tc>
        <w:tc>
          <w:tcPr>
            <w:tcW w:w="208" w:type="pct"/>
            <w:tcBorders>
              <w:top w:val="single" w:color="auto" w:sz="4" w:space="0"/>
              <w:bottom w:val="single" w:color="auto" w:sz="4" w:space="0"/>
            </w:tcBorders>
            <w:noWrap w:val="0"/>
            <w:tcMar>
              <w:left w:w="0" w:type="dxa"/>
              <w:right w:w="0" w:type="dxa"/>
            </w:tcMar>
            <w:vAlign w:val="center"/>
          </w:tcPr>
          <w:p w14:paraId="418288F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69.29</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14:paraId="6C330981">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0.485</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14:paraId="5C2F6CBA">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3.5</w:t>
            </w:r>
          </w:p>
        </w:tc>
        <w:tc>
          <w:tcPr>
            <w:tcW w:w="157" w:type="pct"/>
            <w:vMerge w:val="continue"/>
            <w:noWrap w:val="0"/>
            <w:tcMar>
              <w:left w:w="0" w:type="dxa"/>
              <w:right w:w="0" w:type="dxa"/>
            </w:tcMar>
            <w:vAlign w:val="center"/>
          </w:tcPr>
          <w:p w14:paraId="778865E7">
            <w:pPr>
              <w:widowControl/>
              <w:jc w:val="center"/>
              <w:textAlignment w:val="center"/>
              <w:rPr>
                <w:rFonts w:hint="eastAsia"/>
                <w:kern w:val="0"/>
                <w:sz w:val="21"/>
                <w:szCs w:val="21"/>
                <w:lang w:bidi="ar"/>
              </w:rPr>
            </w:pPr>
          </w:p>
        </w:tc>
        <w:tc>
          <w:tcPr>
            <w:tcW w:w="288" w:type="pct"/>
            <w:vMerge w:val="restart"/>
            <w:noWrap w:val="0"/>
            <w:tcMar>
              <w:left w:w="0" w:type="dxa"/>
              <w:right w:w="0" w:type="dxa"/>
            </w:tcMar>
            <w:vAlign w:val="center"/>
          </w:tcPr>
          <w:p w14:paraId="79BDC84D">
            <w:pPr>
              <w:widowControl/>
              <w:jc w:val="center"/>
              <w:textAlignment w:val="center"/>
              <w:rPr>
                <w:rFonts w:hint="eastAsia"/>
                <w:kern w:val="0"/>
                <w:sz w:val="21"/>
                <w:szCs w:val="21"/>
                <w:lang w:bidi="ar"/>
              </w:rPr>
            </w:pPr>
            <w:r>
              <w:rPr>
                <w:rFonts w:hint="eastAsia" w:cs="Times New Roman"/>
                <w:kern w:val="0"/>
                <w:sz w:val="21"/>
                <w:szCs w:val="21"/>
                <w:lang w:val="en-US" w:eastAsia="zh-CN" w:bidi="ar"/>
              </w:rPr>
              <w:t>低氮燃烧+S</w:t>
            </w:r>
            <w:r>
              <w:rPr>
                <w:rFonts w:hint="eastAsia" w:ascii="Times New Roman" w:hAnsi="Times New Roman" w:eastAsia="宋体" w:cs="Times New Roman"/>
                <w:kern w:val="0"/>
                <w:sz w:val="21"/>
                <w:szCs w:val="21"/>
                <w:lang w:val="en-US" w:eastAsia="zh-CN" w:bidi="ar"/>
              </w:rPr>
              <w:t>NCR+石灰喷雾干燥+余热回收+</w:t>
            </w:r>
            <w:r>
              <w:rPr>
                <w:rFonts w:hint="eastAsia" w:cs="Times New Roman"/>
                <w:kern w:val="0"/>
                <w:sz w:val="21"/>
                <w:szCs w:val="21"/>
                <w:lang w:val="en-US" w:eastAsia="zh-CN" w:bidi="ar"/>
              </w:rPr>
              <w:t>旋风除尘+布袋除尘+水幕除尘</w:t>
            </w:r>
            <w:r>
              <w:rPr>
                <w:rFonts w:hint="eastAsia" w:ascii="Times New Roman" w:hAnsi="Times New Roman" w:eastAsia="宋体" w:cs="Times New Roman"/>
                <w:kern w:val="0"/>
                <w:sz w:val="21"/>
                <w:szCs w:val="21"/>
                <w:lang w:val="en-US" w:eastAsia="zh-CN" w:bidi="ar"/>
              </w:rPr>
              <w:t>，</w:t>
            </w:r>
            <w:r>
              <w:rPr>
                <w:rFonts w:hint="eastAsia" w:cs="Times New Roman"/>
                <w:kern w:val="0"/>
                <w:sz w:val="21"/>
                <w:szCs w:val="21"/>
                <w:lang w:val="en-US" w:eastAsia="zh-CN" w:bidi="ar"/>
              </w:rPr>
              <w:t>7</w:t>
            </w:r>
            <w:r>
              <w:rPr>
                <w:rFonts w:hint="eastAsia" w:ascii="Times New Roman" w:hAnsi="Times New Roman" w:eastAsia="宋体" w:cs="Times New Roman"/>
                <w:kern w:val="0"/>
                <w:sz w:val="21"/>
                <w:szCs w:val="21"/>
                <w:lang w:val="en-US" w:eastAsia="zh-CN" w:bidi="ar"/>
              </w:rPr>
              <w:t>000</w:t>
            </w:r>
            <w:r>
              <w:rPr>
                <w:sz w:val="21"/>
                <w:szCs w:val="21"/>
              </w:rPr>
              <w:t>m</w:t>
            </w:r>
            <w:r>
              <w:rPr>
                <w:sz w:val="21"/>
                <w:szCs w:val="21"/>
                <w:vertAlign w:val="superscript"/>
              </w:rPr>
              <w:t>3</w:t>
            </w:r>
            <w:r>
              <w:rPr>
                <w:sz w:val="21"/>
                <w:szCs w:val="21"/>
              </w:rPr>
              <w:t>/h</w:t>
            </w:r>
          </w:p>
        </w:tc>
        <w:tc>
          <w:tcPr>
            <w:tcW w:w="180" w:type="pct"/>
            <w:tcBorders>
              <w:top w:val="single" w:color="auto" w:sz="4" w:space="0"/>
              <w:bottom w:val="single" w:color="auto" w:sz="4" w:space="0"/>
            </w:tcBorders>
            <w:shd w:val="clear" w:color="auto" w:fill="auto"/>
            <w:noWrap w:val="0"/>
            <w:tcMar>
              <w:left w:w="0" w:type="dxa"/>
              <w:right w:w="0" w:type="dxa"/>
            </w:tcMar>
            <w:vAlign w:val="center"/>
          </w:tcPr>
          <w:p w14:paraId="1D934BDB">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99.98</w:t>
            </w:r>
          </w:p>
        </w:tc>
        <w:tc>
          <w:tcPr>
            <w:tcW w:w="157" w:type="pct"/>
            <w:vMerge w:val="continue"/>
            <w:noWrap w:val="0"/>
            <w:tcMar>
              <w:left w:w="0" w:type="dxa"/>
              <w:right w:w="0" w:type="dxa"/>
            </w:tcMar>
            <w:vAlign w:val="center"/>
          </w:tcPr>
          <w:p w14:paraId="27C7DAC2">
            <w:pPr>
              <w:widowControl/>
              <w:jc w:val="center"/>
              <w:textAlignment w:val="center"/>
              <w:rPr>
                <w:rFonts w:hint="eastAsia"/>
                <w:kern w:val="0"/>
                <w:sz w:val="21"/>
                <w:szCs w:val="21"/>
                <w:lang w:bidi="ar"/>
              </w:rPr>
            </w:pPr>
          </w:p>
        </w:tc>
        <w:tc>
          <w:tcPr>
            <w:tcW w:w="175" w:type="pct"/>
            <w:tcBorders>
              <w:top w:val="single" w:color="auto" w:sz="4" w:space="0"/>
              <w:bottom w:val="single" w:color="auto" w:sz="4" w:space="0"/>
            </w:tcBorders>
            <w:noWrap w:val="0"/>
            <w:tcMar>
              <w:left w:w="0" w:type="dxa"/>
              <w:right w:w="0" w:type="dxa"/>
            </w:tcMar>
            <w:vAlign w:val="center"/>
          </w:tcPr>
          <w:p w14:paraId="3DC84629">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0.143</w:t>
            </w:r>
          </w:p>
        </w:tc>
        <w:tc>
          <w:tcPr>
            <w:tcW w:w="225" w:type="pct"/>
            <w:tcBorders>
              <w:top w:val="single" w:color="auto" w:sz="4" w:space="0"/>
              <w:bottom w:val="single" w:color="auto" w:sz="4" w:space="0"/>
            </w:tcBorders>
            <w:noWrap w:val="0"/>
            <w:tcMar>
              <w:left w:w="0" w:type="dxa"/>
              <w:right w:w="0" w:type="dxa"/>
            </w:tcMar>
            <w:vAlign w:val="center"/>
          </w:tcPr>
          <w:p w14:paraId="1F366CD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w:t>
            </w:r>
          </w:p>
        </w:tc>
        <w:tc>
          <w:tcPr>
            <w:tcW w:w="199" w:type="pct"/>
            <w:tcBorders>
              <w:top w:val="single" w:color="auto" w:sz="4" w:space="0"/>
              <w:bottom w:val="single" w:color="auto" w:sz="4" w:space="0"/>
            </w:tcBorders>
            <w:noWrap w:val="0"/>
            <w:tcMar>
              <w:left w:w="0" w:type="dxa"/>
              <w:right w:w="0" w:type="dxa"/>
            </w:tcMar>
            <w:vAlign w:val="center"/>
          </w:tcPr>
          <w:p w14:paraId="30A4E667">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0.007</w:t>
            </w:r>
          </w:p>
        </w:tc>
        <w:tc>
          <w:tcPr>
            <w:tcW w:w="107" w:type="pct"/>
            <w:vMerge w:val="restart"/>
            <w:shd w:val="clear" w:color="auto" w:fill="auto"/>
            <w:noWrap w:val="0"/>
            <w:tcMar>
              <w:left w:w="0" w:type="dxa"/>
              <w:right w:w="0" w:type="dxa"/>
            </w:tcMar>
            <w:vAlign w:val="center"/>
          </w:tcPr>
          <w:p w14:paraId="5A816B79">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35</w:t>
            </w:r>
          </w:p>
        </w:tc>
        <w:tc>
          <w:tcPr>
            <w:tcW w:w="122" w:type="pct"/>
            <w:vMerge w:val="restart"/>
            <w:shd w:val="clear" w:color="auto" w:fill="auto"/>
            <w:noWrap w:val="0"/>
            <w:tcMar>
              <w:left w:w="0" w:type="dxa"/>
              <w:right w:w="0" w:type="dxa"/>
            </w:tcMar>
            <w:vAlign w:val="center"/>
          </w:tcPr>
          <w:p w14:paraId="77F26855">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0.4</w:t>
            </w:r>
          </w:p>
        </w:tc>
        <w:tc>
          <w:tcPr>
            <w:tcW w:w="125" w:type="pct"/>
            <w:vMerge w:val="restart"/>
            <w:shd w:val="clear" w:color="auto" w:fill="auto"/>
            <w:noWrap w:val="0"/>
            <w:tcMar>
              <w:left w:w="0" w:type="dxa"/>
              <w:right w:w="0" w:type="dxa"/>
            </w:tcMar>
            <w:vAlign w:val="center"/>
          </w:tcPr>
          <w:p w14:paraId="72438425">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bidi="ar"/>
              </w:rPr>
              <w:t>25</w:t>
            </w:r>
          </w:p>
        </w:tc>
        <w:tc>
          <w:tcPr>
            <w:tcW w:w="189" w:type="pct"/>
            <w:vMerge w:val="restart"/>
            <w:shd w:val="clear" w:color="auto" w:fill="auto"/>
            <w:noWrap w:val="0"/>
            <w:tcMar>
              <w:left w:w="0" w:type="dxa"/>
              <w:right w:w="0" w:type="dxa"/>
            </w:tcMar>
            <w:vAlign w:val="center"/>
          </w:tcPr>
          <w:p w14:paraId="2117BC26">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DA002</w:t>
            </w:r>
          </w:p>
        </w:tc>
        <w:tc>
          <w:tcPr>
            <w:tcW w:w="233" w:type="pct"/>
            <w:vMerge w:val="restart"/>
            <w:shd w:val="clear" w:color="auto" w:fill="auto"/>
            <w:noWrap w:val="0"/>
            <w:tcMar>
              <w:left w:w="0" w:type="dxa"/>
              <w:right w:w="0" w:type="dxa"/>
            </w:tcMar>
            <w:vAlign w:val="center"/>
          </w:tcPr>
          <w:p w14:paraId="271226D0">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主要</w:t>
            </w:r>
            <w:r>
              <w:rPr>
                <w:rFonts w:hint="eastAsia"/>
                <w:kern w:val="0"/>
                <w:sz w:val="21"/>
                <w:szCs w:val="21"/>
                <w:lang w:bidi="ar"/>
              </w:rPr>
              <w:t>排放口</w:t>
            </w:r>
          </w:p>
        </w:tc>
        <w:tc>
          <w:tcPr>
            <w:tcW w:w="257" w:type="pct"/>
            <w:vMerge w:val="restart"/>
            <w:noWrap w:val="0"/>
            <w:tcMar>
              <w:left w:w="0" w:type="dxa"/>
              <w:right w:w="0" w:type="dxa"/>
            </w:tcMar>
            <w:vAlign w:val="center"/>
          </w:tcPr>
          <w:p w14:paraId="05471DA7">
            <w:pPr>
              <w:jc w:val="center"/>
              <w:rPr>
                <w:rFonts w:hint="default" w:ascii="Times New Roman" w:hAnsi="Times New Roman" w:cs="Times New Roman"/>
                <w:kern w:val="0"/>
                <w:sz w:val="21"/>
                <w:szCs w:val="21"/>
                <w:lang w:bidi="ar"/>
              </w:rPr>
            </w:pPr>
            <w:r>
              <w:rPr>
                <w:rFonts w:hint="default" w:ascii="Times New Roman" w:hAnsi="Times New Roman" w:eastAsia="宋体" w:cs="Times New Roman"/>
                <w:b w:val="0"/>
                <w:sz w:val="21"/>
                <w:szCs w:val="21"/>
              </w:rPr>
              <w:t>120.650452</w:t>
            </w:r>
            <w:r>
              <w:rPr>
                <w:rFonts w:hint="default" w:ascii="Times New Roman" w:hAnsi="Times New Roman" w:eastAsia="宋体" w:cs="Times New Roman"/>
                <w:b w:val="0"/>
                <w:sz w:val="21"/>
                <w:szCs w:val="21"/>
                <w:lang w:eastAsia="zh-CN"/>
              </w:rPr>
              <w:t>，</w:t>
            </w:r>
            <w:r>
              <w:rPr>
                <w:rFonts w:hint="default" w:ascii="Times New Roman" w:hAnsi="Times New Roman" w:eastAsia="宋体" w:cs="Times New Roman"/>
                <w:b w:val="0"/>
                <w:sz w:val="21"/>
                <w:szCs w:val="21"/>
              </w:rPr>
              <w:t>32.139684</w:t>
            </w:r>
          </w:p>
        </w:tc>
        <w:tc>
          <w:tcPr>
            <w:tcW w:w="216" w:type="pct"/>
            <w:tcBorders>
              <w:top w:val="single" w:color="auto" w:sz="4" w:space="0"/>
              <w:bottom w:val="single" w:color="auto" w:sz="4" w:space="0"/>
            </w:tcBorders>
            <w:shd w:val="clear" w:color="auto" w:fill="auto"/>
            <w:noWrap w:val="0"/>
            <w:tcMar>
              <w:left w:w="0" w:type="dxa"/>
              <w:right w:w="0" w:type="dxa"/>
            </w:tcMar>
            <w:vAlign w:val="center"/>
          </w:tcPr>
          <w:p w14:paraId="6FABB4A1">
            <w:pPr>
              <w:jc w:val="center"/>
              <w:rPr>
                <w:rFonts w:hint="eastAsia" w:ascii="Times New Roman" w:hAnsi="Times New Roman" w:eastAsia="宋体" w:cs="Times New Roman"/>
                <w:kern w:val="2"/>
                <w:sz w:val="21"/>
                <w:szCs w:val="21"/>
                <w:lang w:val="en-US" w:eastAsia="zh-CN" w:bidi="ar-SA"/>
              </w:rPr>
            </w:pPr>
            <w:r>
              <w:rPr>
                <w:rFonts w:hint="eastAsia"/>
                <w:sz w:val="21"/>
                <w:szCs w:val="21"/>
              </w:rPr>
              <w:t>10</w:t>
            </w:r>
          </w:p>
        </w:tc>
        <w:tc>
          <w:tcPr>
            <w:tcW w:w="127" w:type="pct"/>
            <w:tcBorders>
              <w:top w:val="single" w:color="auto" w:sz="4" w:space="0"/>
              <w:bottom w:val="single" w:color="auto" w:sz="4" w:space="0"/>
            </w:tcBorders>
            <w:shd w:val="clear" w:color="auto" w:fill="auto"/>
            <w:noWrap w:val="0"/>
            <w:tcMar>
              <w:left w:w="0" w:type="dxa"/>
              <w:right w:w="0" w:type="dxa"/>
            </w:tcMar>
            <w:vAlign w:val="center"/>
          </w:tcPr>
          <w:p w14:paraId="29458B42">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256" w:type="pct"/>
            <w:vMerge w:val="continue"/>
            <w:noWrap w:val="0"/>
            <w:tcMar>
              <w:left w:w="0" w:type="dxa"/>
              <w:right w:w="0" w:type="dxa"/>
            </w:tcMar>
            <w:vAlign w:val="center"/>
          </w:tcPr>
          <w:p w14:paraId="597EC845">
            <w:pPr>
              <w:widowControl/>
              <w:jc w:val="center"/>
              <w:textAlignment w:val="center"/>
              <w:rPr>
                <w:rFonts w:hint="eastAsia"/>
                <w:kern w:val="0"/>
                <w:sz w:val="21"/>
                <w:szCs w:val="21"/>
                <w:lang w:bidi="ar"/>
              </w:rPr>
            </w:pPr>
          </w:p>
        </w:tc>
        <w:tc>
          <w:tcPr>
            <w:tcW w:w="82" w:type="pct"/>
            <w:vMerge w:val="continue"/>
            <w:noWrap w:val="0"/>
            <w:tcMar>
              <w:left w:w="0" w:type="dxa"/>
              <w:right w:w="0" w:type="dxa"/>
            </w:tcMar>
            <w:vAlign w:val="center"/>
          </w:tcPr>
          <w:p w14:paraId="695D03A3">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194A76C8">
            <w:pPr>
              <w:widowControl/>
              <w:jc w:val="center"/>
              <w:textAlignment w:val="center"/>
              <w:rPr>
                <w:rFonts w:hint="eastAsia"/>
                <w:kern w:val="0"/>
                <w:sz w:val="21"/>
                <w:szCs w:val="21"/>
                <w:lang w:bidi="ar"/>
              </w:rPr>
            </w:pPr>
          </w:p>
        </w:tc>
        <w:tc>
          <w:tcPr>
            <w:tcW w:w="97" w:type="pct"/>
            <w:gridSpan w:val="2"/>
            <w:vMerge w:val="continue"/>
            <w:noWrap w:val="0"/>
            <w:tcMar>
              <w:left w:w="0" w:type="dxa"/>
              <w:right w:w="0" w:type="dxa"/>
            </w:tcMar>
            <w:vAlign w:val="center"/>
          </w:tcPr>
          <w:p w14:paraId="36B767F1">
            <w:pPr>
              <w:widowControl/>
              <w:jc w:val="center"/>
              <w:textAlignment w:val="center"/>
              <w:rPr>
                <w:rFonts w:hint="eastAsia"/>
                <w:kern w:val="0"/>
                <w:sz w:val="21"/>
                <w:szCs w:val="21"/>
                <w:lang w:bidi="ar"/>
              </w:rPr>
            </w:pPr>
          </w:p>
        </w:tc>
      </w:tr>
      <w:tr w14:paraId="7EF1874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continue"/>
            <w:noWrap w:val="0"/>
            <w:vAlign w:val="center"/>
          </w:tcPr>
          <w:p w14:paraId="1A34D878">
            <w:pPr>
              <w:jc w:val="center"/>
              <w:rPr>
                <w:sz w:val="21"/>
                <w:szCs w:val="21"/>
              </w:rPr>
            </w:pPr>
          </w:p>
        </w:tc>
        <w:tc>
          <w:tcPr>
            <w:tcW w:w="205" w:type="pct"/>
            <w:tcBorders>
              <w:top w:val="single" w:color="auto" w:sz="4" w:space="0"/>
              <w:bottom w:val="single" w:color="auto" w:sz="4" w:space="0"/>
            </w:tcBorders>
            <w:shd w:val="clear" w:color="auto" w:fill="auto"/>
            <w:noWrap w:val="0"/>
            <w:tcMar>
              <w:left w:w="0" w:type="dxa"/>
              <w:right w:w="0" w:type="dxa"/>
            </w:tcMar>
            <w:vAlign w:val="center"/>
          </w:tcPr>
          <w:p w14:paraId="288907CA">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SO</w:t>
            </w:r>
            <w:r>
              <w:rPr>
                <w:rFonts w:hint="eastAsia"/>
                <w:sz w:val="21"/>
                <w:szCs w:val="21"/>
                <w:vertAlign w:val="subscript"/>
                <w:lang w:val="en-US" w:eastAsia="zh-CN"/>
              </w:rPr>
              <w:t>2</w:t>
            </w:r>
          </w:p>
        </w:tc>
        <w:tc>
          <w:tcPr>
            <w:tcW w:w="194" w:type="pct"/>
            <w:tcBorders>
              <w:top w:val="single" w:color="auto" w:sz="4" w:space="0"/>
              <w:bottom w:val="single" w:color="auto" w:sz="4" w:space="0"/>
            </w:tcBorders>
            <w:noWrap w:val="0"/>
            <w:tcMar>
              <w:left w:w="0" w:type="dxa"/>
              <w:right w:w="0" w:type="dxa"/>
            </w:tcMar>
            <w:vAlign w:val="center"/>
          </w:tcPr>
          <w:p w14:paraId="77C3FEA2">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0.33</w:t>
            </w:r>
          </w:p>
        </w:tc>
        <w:tc>
          <w:tcPr>
            <w:tcW w:w="225" w:type="pct"/>
            <w:tcBorders>
              <w:top w:val="single" w:color="auto" w:sz="4" w:space="0"/>
              <w:bottom w:val="single" w:color="auto" w:sz="4" w:space="0"/>
            </w:tcBorders>
            <w:noWrap w:val="0"/>
            <w:tcMar>
              <w:left w:w="0" w:type="dxa"/>
              <w:right w:w="0" w:type="dxa"/>
            </w:tcMar>
            <w:vAlign w:val="center"/>
          </w:tcPr>
          <w:p w14:paraId="71142E4D">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2.38</w:t>
            </w:r>
          </w:p>
        </w:tc>
        <w:tc>
          <w:tcPr>
            <w:tcW w:w="86" w:type="pct"/>
            <w:vMerge w:val="continue"/>
            <w:noWrap w:val="0"/>
            <w:tcMar>
              <w:left w:w="0" w:type="dxa"/>
              <w:right w:w="0" w:type="dxa"/>
            </w:tcMar>
            <w:vAlign w:val="center"/>
          </w:tcPr>
          <w:p w14:paraId="4AD1100B">
            <w:pPr>
              <w:widowControl/>
              <w:jc w:val="center"/>
              <w:textAlignment w:val="center"/>
              <w:rPr>
                <w:rFonts w:hint="eastAsia"/>
                <w:kern w:val="0"/>
                <w:sz w:val="21"/>
                <w:szCs w:val="21"/>
                <w:lang w:bidi="ar"/>
              </w:rPr>
            </w:pPr>
          </w:p>
        </w:tc>
        <w:tc>
          <w:tcPr>
            <w:tcW w:w="116" w:type="pct"/>
            <w:vMerge w:val="continue"/>
            <w:noWrap w:val="0"/>
            <w:tcMar>
              <w:left w:w="0" w:type="dxa"/>
              <w:right w:w="0" w:type="dxa"/>
            </w:tcMar>
            <w:vAlign w:val="center"/>
          </w:tcPr>
          <w:p w14:paraId="26C304A2">
            <w:pPr>
              <w:widowControl/>
              <w:jc w:val="center"/>
              <w:textAlignment w:val="center"/>
              <w:rPr>
                <w:rFonts w:hint="eastAsia"/>
                <w:kern w:val="0"/>
                <w:sz w:val="21"/>
                <w:szCs w:val="21"/>
                <w:lang w:bidi="ar"/>
              </w:rPr>
            </w:pPr>
          </w:p>
        </w:tc>
        <w:tc>
          <w:tcPr>
            <w:tcW w:w="208" w:type="pct"/>
            <w:tcBorders>
              <w:top w:val="single" w:color="auto" w:sz="4" w:space="0"/>
              <w:bottom w:val="single" w:color="auto" w:sz="4" w:space="0"/>
            </w:tcBorders>
            <w:noWrap w:val="0"/>
            <w:tcMar>
              <w:left w:w="0" w:type="dxa"/>
              <w:right w:w="0" w:type="dxa"/>
            </w:tcMar>
            <w:vAlign w:val="center"/>
          </w:tcPr>
          <w:p w14:paraId="2FFC29FF">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47.14</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14:paraId="44F25AA7">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0.33</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14:paraId="3DBA1EEF">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2.38</w:t>
            </w:r>
          </w:p>
        </w:tc>
        <w:tc>
          <w:tcPr>
            <w:tcW w:w="157" w:type="pct"/>
            <w:vMerge w:val="continue"/>
            <w:noWrap w:val="0"/>
            <w:tcMar>
              <w:left w:w="0" w:type="dxa"/>
              <w:right w:w="0" w:type="dxa"/>
            </w:tcMar>
            <w:vAlign w:val="center"/>
          </w:tcPr>
          <w:p w14:paraId="5873C197">
            <w:pPr>
              <w:widowControl/>
              <w:jc w:val="center"/>
              <w:textAlignment w:val="center"/>
              <w:rPr>
                <w:rFonts w:hint="eastAsia"/>
                <w:kern w:val="0"/>
                <w:sz w:val="21"/>
                <w:szCs w:val="21"/>
                <w:lang w:bidi="ar"/>
              </w:rPr>
            </w:pPr>
          </w:p>
        </w:tc>
        <w:tc>
          <w:tcPr>
            <w:tcW w:w="288" w:type="pct"/>
            <w:vMerge w:val="continue"/>
            <w:noWrap w:val="0"/>
            <w:tcMar>
              <w:left w:w="0" w:type="dxa"/>
              <w:right w:w="0" w:type="dxa"/>
            </w:tcMar>
            <w:vAlign w:val="center"/>
          </w:tcPr>
          <w:p w14:paraId="317B28B8">
            <w:pPr>
              <w:widowControl/>
              <w:jc w:val="center"/>
              <w:textAlignment w:val="center"/>
              <w:rPr>
                <w:rFonts w:hint="eastAsia"/>
                <w:kern w:val="0"/>
                <w:sz w:val="21"/>
                <w:szCs w:val="21"/>
                <w:lang w:bidi="ar"/>
              </w:rPr>
            </w:pPr>
          </w:p>
        </w:tc>
        <w:tc>
          <w:tcPr>
            <w:tcW w:w="180" w:type="pct"/>
            <w:tcBorders>
              <w:top w:val="single" w:color="auto" w:sz="4" w:space="0"/>
              <w:bottom w:val="single" w:color="auto" w:sz="4" w:space="0"/>
            </w:tcBorders>
            <w:shd w:val="clear" w:color="auto" w:fill="auto"/>
            <w:noWrap w:val="0"/>
            <w:tcMar>
              <w:left w:w="0" w:type="dxa"/>
              <w:right w:w="0" w:type="dxa"/>
            </w:tcMar>
            <w:vAlign w:val="center"/>
          </w:tcPr>
          <w:p w14:paraId="25534129">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kern w:val="0"/>
                <w:sz w:val="21"/>
                <w:szCs w:val="21"/>
                <w:lang w:val="en-US" w:eastAsia="zh-CN" w:bidi="ar"/>
              </w:rPr>
              <w:t>70</w:t>
            </w:r>
          </w:p>
        </w:tc>
        <w:tc>
          <w:tcPr>
            <w:tcW w:w="157" w:type="pct"/>
            <w:vMerge w:val="continue"/>
            <w:noWrap w:val="0"/>
            <w:tcMar>
              <w:left w:w="0" w:type="dxa"/>
              <w:right w:w="0" w:type="dxa"/>
            </w:tcMar>
            <w:vAlign w:val="center"/>
          </w:tcPr>
          <w:p w14:paraId="338BFEE3">
            <w:pPr>
              <w:widowControl/>
              <w:jc w:val="center"/>
              <w:textAlignment w:val="center"/>
              <w:rPr>
                <w:rFonts w:hint="eastAsia"/>
                <w:kern w:val="0"/>
                <w:sz w:val="21"/>
                <w:szCs w:val="21"/>
                <w:lang w:bidi="ar"/>
              </w:rPr>
            </w:pPr>
          </w:p>
        </w:tc>
        <w:tc>
          <w:tcPr>
            <w:tcW w:w="175" w:type="pct"/>
            <w:tcBorders>
              <w:top w:val="single" w:color="auto" w:sz="4" w:space="0"/>
              <w:bottom w:val="single" w:color="auto" w:sz="4" w:space="0"/>
            </w:tcBorders>
            <w:noWrap w:val="0"/>
            <w:tcMar>
              <w:left w:w="0" w:type="dxa"/>
              <w:right w:w="0" w:type="dxa"/>
            </w:tcMar>
            <w:vAlign w:val="center"/>
          </w:tcPr>
          <w:p w14:paraId="5756FAA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14.14</w:t>
            </w:r>
          </w:p>
        </w:tc>
        <w:tc>
          <w:tcPr>
            <w:tcW w:w="225" w:type="pct"/>
            <w:tcBorders>
              <w:top w:val="single" w:color="auto" w:sz="4" w:space="0"/>
              <w:bottom w:val="single" w:color="auto" w:sz="4" w:space="0"/>
            </w:tcBorders>
            <w:noWrap w:val="0"/>
            <w:tcMar>
              <w:left w:w="0" w:type="dxa"/>
              <w:right w:w="0" w:type="dxa"/>
            </w:tcMar>
            <w:vAlign w:val="center"/>
          </w:tcPr>
          <w:p w14:paraId="7F863238">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0.099</w:t>
            </w:r>
          </w:p>
        </w:tc>
        <w:tc>
          <w:tcPr>
            <w:tcW w:w="199" w:type="pct"/>
            <w:tcBorders>
              <w:top w:val="single" w:color="auto" w:sz="4" w:space="0"/>
              <w:bottom w:val="single" w:color="auto" w:sz="4" w:space="0"/>
            </w:tcBorders>
            <w:noWrap w:val="0"/>
            <w:tcMar>
              <w:left w:w="0" w:type="dxa"/>
              <w:right w:w="0" w:type="dxa"/>
            </w:tcMar>
            <w:vAlign w:val="center"/>
          </w:tcPr>
          <w:p w14:paraId="7A602DE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0.714</w:t>
            </w:r>
          </w:p>
        </w:tc>
        <w:tc>
          <w:tcPr>
            <w:tcW w:w="107" w:type="pct"/>
            <w:vMerge w:val="continue"/>
            <w:noWrap w:val="0"/>
            <w:tcMar>
              <w:left w:w="0" w:type="dxa"/>
              <w:right w:w="0" w:type="dxa"/>
            </w:tcMar>
            <w:vAlign w:val="center"/>
          </w:tcPr>
          <w:p w14:paraId="54C9DB5D">
            <w:pPr>
              <w:widowControl/>
              <w:jc w:val="center"/>
              <w:textAlignment w:val="center"/>
              <w:rPr>
                <w:rFonts w:hint="eastAsia"/>
                <w:kern w:val="0"/>
                <w:sz w:val="21"/>
                <w:szCs w:val="21"/>
                <w:lang w:bidi="ar"/>
              </w:rPr>
            </w:pPr>
          </w:p>
        </w:tc>
        <w:tc>
          <w:tcPr>
            <w:tcW w:w="122" w:type="pct"/>
            <w:vMerge w:val="continue"/>
            <w:noWrap w:val="0"/>
            <w:tcMar>
              <w:left w:w="0" w:type="dxa"/>
              <w:right w:w="0" w:type="dxa"/>
            </w:tcMar>
            <w:vAlign w:val="center"/>
          </w:tcPr>
          <w:p w14:paraId="5FF3F3F8">
            <w:pPr>
              <w:widowControl/>
              <w:jc w:val="center"/>
              <w:textAlignment w:val="center"/>
              <w:rPr>
                <w:rFonts w:hint="eastAsia"/>
                <w:kern w:val="0"/>
                <w:sz w:val="21"/>
                <w:szCs w:val="21"/>
                <w:lang w:bidi="ar"/>
              </w:rPr>
            </w:pPr>
          </w:p>
        </w:tc>
        <w:tc>
          <w:tcPr>
            <w:tcW w:w="125" w:type="pct"/>
            <w:vMerge w:val="continue"/>
            <w:noWrap w:val="0"/>
            <w:tcMar>
              <w:left w:w="0" w:type="dxa"/>
              <w:right w:w="0" w:type="dxa"/>
            </w:tcMar>
            <w:vAlign w:val="center"/>
          </w:tcPr>
          <w:p w14:paraId="260BE0C9">
            <w:pPr>
              <w:widowControl/>
              <w:jc w:val="center"/>
              <w:textAlignment w:val="center"/>
              <w:rPr>
                <w:rFonts w:hint="eastAsia"/>
                <w:kern w:val="0"/>
                <w:sz w:val="21"/>
                <w:szCs w:val="21"/>
                <w:lang w:bidi="ar"/>
              </w:rPr>
            </w:pPr>
          </w:p>
        </w:tc>
        <w:tc>
          <w:tcPr>
            <w:tcW w:w="189" w:type="pct"/>
            <w:vMerge w:val="continue"/>
            <w:noWrap w:val="0"/>
            <w:tcMar>
              <w:left w:w="0" w:type="dxa"/>
              <w:right w:w="0" w:type="dxa"/>
            </w:tcMar>
            <w:vAlign w:val="center"/>
          </w:tcPr>
          <w:p w14:paraId="22AC2188">
            <w:pPr>
              <w:widowControl/>
              <w:jc w:val="center"/>
              <w:textAlignment w:val="center"/>
              <w:rPr>
                <w:rFonts w:hint="eastAsia"/>
                <w:kern w:val="0"/>
                <w:sz w:val="21"/>
                <w:szCs w:val="21"/>
                <w:lang w:bidi="ar"/>
              </w:rPr>
            </w:pPr>
          </w:p>
        </w:tc>
        <w:tc>
          <w:tcPr>
            <w:tcW w:w="233" w:type="pct"/>
            <w:vMerge w:val="continue"/>
            <w:noWrap w:val="0"/>
            <w:tcMar>
              <w:left w:w="0" w:type="dxa"/>
              <w:right w:w="0" w:type="dxa"/>
            </w:tcMar>
            <w:vAlign w:val="center"/>
          </w:tcPr>
          <w:p w14:paraId="4713AFE4">
            <w:pPr>
              <w:widowControl/>
              <w:jc w:val="center"/>
              <w:textAlignment w:val="center"/>
              <w:rPr>
                <w:rFonts w:hint="eastAsia"/>
                <w:kern w:val="0"/>
                <w:sz w:val="21"/>
                <w:szCs w:val="21"/>
                <w:lang w:bidi="ar"/>
              </w:rPr>
            </w:pPr>
          </w:p>
        </w:tc>
        <w:tc>
          <w:tcPr>
            <w:tcW w:w="257" w:type="pct"/>
            <w:vMerge w:val="continue"/>
            <w:noWrap w:val="0"/>
            <w:tcMar>
              <w:left w:w="0" w:type="dxa"/>
              <w:right w:w="0" w:type="dxa"/>
            </w:tcMar>
            <w:vAlign w:val="center"/>
          </w:tcPr>
          <w:p w14:paraId="69D51EB3">
            <w:pPr>
              <w:widowControl/>
              <w:jc w:val="center"/>
              <w:textAlignment w:val="center"/>
              <w:rPr>
                <w:rFonts w:hint="eastAsia"/>
                <w:kern w:val="0"/>
                <w:sz w:val="21"/>
                <w:szCs w:val="21"/>
                <w:lang w:bidi="ar"/>
              </w:rPr>
            </w:pPr>
          </w:p>
        </w:tc>
        <w:tc>
          <w:tcPr>
            <w:tcW w:w="216" w:type="pct"/>
            <w:tcBorders>
              <w:top w:val="single" w:color="auto" w:sz="4" w:space="0"/>
              <w:bottom w:val="single" w:color="auto" w:sz="4" w:space="0"/>
            </w:tcBorders>
            <w:shd w:val="clear" w:color="auto" w:fill="auto"/>
            <w:noWrap w:val="0"/>
            <w:tcMar>
              <w:left w:w="0" w:type="dxa"/>
              <w:right w:w="0" w:type="dxa"/>
            </w:tcMar>
            <w:vAlign w:val="center"/>
          </w:tcPr>
          <w:p w14:paraId="77DC8E91">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35</w:t>
            </w:r>
          </w:p>
        </w:tc>
        <w:tc>
          <w:tcPr>
            <w:tcW w:w="127" w:type="pct"/>
            <w:tcBorders>
              <w:top w:val="single" w:color="auto" w:sz="4" w:space="0"/>
              <w:bottom w:val="single" w:color="auto" w:sz="4" w:space="0"/>
            </w:tcBorders>
            <w:shd w:val="clear" w:color="auto" w:fill="auto"/>
            <w:noWrap w:val="0"/>
            <w:tcMar>
              <w:left w:w="0" w:type="dxa"/>
              <w:right w:w="0" w:type="dxa"/>
            </w:tcMar>
            <w:vAlign w:val="center"/>
          </w:tcPr>
          <w:p w14:paraId="473A18B9">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w:t>
            </w:r>
          </w:p>
        </w:tc>
        <w:tc>
          <w:tcPr>
            <w:tcW w:w="256" w:type="pct"/>
            <w:vMerge w:val="continue"/>
            <w:noWrap w:val="0"/>
            <w:tcMar>
              <w:left w:w="0" w:type="dxa"/>
              <w:right w:w="0" w:type="dxa"/>
            </w:tcMar>
            <w:vAlign w:val="center"/>
          </w:tcPr>
          <w:p w14:paraId="6DA003CB">
            <w:pPr>
              <w:widowControl/>
              <w:jc w:val="center"/>
              <w:textAlignment w:val="center"/>
              <w:rPr>
                <w:rFonts w:hint="eastAsia"/>
                <w:kern w:val="0"/>
                <w:sz w:val="21"/>
                <w:szCs w:val="21"/>
                <w:lang w:bidi="ar"/>
              </w:rPr>
            </w:pPr>
          </w:p>
        </w:tc>
        <w:tc>
          <w:tcPr>
            <w:tcW w:w="82" w:type="pct"/>
            <w:vMerge w:val="continue"/>
            <w:noWrap w:val="0"/>
            <w:tcMar>
              <w:left w:w="0" w:type="dxa"/>
              <w:right w:w="0" w:type="dxa"/>
            </w:tcMar>
            <w:vAlign w:val="center"/>
          </w:tcPr>
          <w:p w14:paraId="152AFDD1">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1ECDC1BE">
            <w:pPr>
              <w:widowControl/>
              <w:jc w:val="center"/>
              <w:textAlignment w:val="center"/>
              <w:rPr>
                <w:rFonts w:hint="eastAsia"/>
                <w:kern w:val="0"/>
                <w:sz w:val="21"/>
                <w:szCs w:val="21"/>
                <w:lang w:bidi="ar"/>
              </w:rPr>
            </w:pPr>
          </w:p>
        </w:tc>
        <w:tc>
          <w:tcPr>
            <w:tcW w:w="97" w:type="pct"/>
            <w:gridSpan w:val="2"/>
            <w:vMerge w:val="continue"/>
            <w:noWrap w:val="0"/>
            <w:tcMar>
              <w:left w:w="0" w:type="dxa"/>
              <w:right w:w="0" w:type="dxa"/>
            </w:tcMar>
            <w:vAlign w:val="center"/>
          </w:tcPr>
          <w:p w14:paraId="21DB6DE2">
            <w:pPr>
              <w:widowControl/>
              <w:jc w:val="center"/>
              <w:textAlignment w:val="center"/>
              <w:rPr>
                <w:rFonts w:hint="eastAsia"/>
                <w:kern w:val="0"/>
                <w:sz w:val="21"/>
                <w:szCs w:val="21"/>
                <w:lang w:bidi="ar"/>
              </w:rPr>
            </w:pPr>
          </w:p>
        </w:tc>
      </w:tr>
      <w:tr w14:paraId="18745E6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continue"/>
            <w:noWrap w:val="0"/>
            <w:vAlign w:val="center"/>
          </w:tcPr>
          <w:p w14:paraId="5F88C937">
            <w:pPr>
              <w:jc w:val="center"/>
              <w:rPr>
                <w:sz w:val="21"/>
                <w:szCs w:val="21"/>
              </w:rPr>
            </w:pPr>
          </w:p>
        </w:tc>
        <w:tc>
          <w:tcPr>
            <w:tcW w:w="205" w:type="pct"/>
            <w:tcBorders>
              <w:top w:val="single" w:color="auto" w:sz="4" w:space="0"/>
              <w:bottom w:val="single" w:color="auto" w:sz="4" w:space="0"/>
            </w:tcBorders>
            <w:shd w:val="clear" w:color="auto" w:fill="auto"/>
            <w:noWrap w:val="0"/>
            <w:tcMar>
              <w:left w:w="0" w:type="dxa"/>
              <w:right w:w="0" w:type="dxa"/>
            </w:tcMar>
            <w:vAlign w:val="center"/>
          </w:tcPr>
          <w:p w14:paraId="537D6E8E">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NO</w:t>
            </w:r>
            <w:r>
              <w:rPr>
                <w:rFonts w:hint="eastAsia"/>
                <w:sz w:val="21"/>
                <w:szCs w:val="21"/>
                <w:vertAlign w:val="subscript"/>
                <w:lang w:val="en-US" w:eastAsia="zh-CN"/>
              </w:rPr>
              <w:t>x</w:t>
            </w:r>
          </w:p>
        </w:tc>
        <w:tc>
          <w:tcPr>
            <w:tcW w:w="194" w:type="pct"/>
            <w:tcBorders>
              <w:top w:val="single" w:color="auto" w:sz="4" w:space="0"/>
              <w:bottom w:val="single" w:color="auto" w:sz="4" w:space="0"/>
            </w:tcBorders>
            <w:noWrap w:val="0"/>
            <w:tcMar>
              <w:left w:w="0" w:type="dxa"/>
              <w:right w:w="0" w:type="dxa"/>
            </w:tcMar>
            <w:vAlign w:val="center"/>
          </w:tcPr>
          <w:p w14:paraId="4E12303B">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0.69</w:t>
            </w:r>
          </w:p>
        </w:tc>
        <w:tc>
          <w:tcPr>
            <w:tcW w:w="225" w:type="pct"/>
            <w:tcBorders>
              <w:top w:val="single" w:color="auto" w:sz="4" w:space="0"/>
              <w:bottom w:val="single" w:color="auto" w:sz="4" w:space="0"/>
            </w:tcBorders>
            <w:noWrap w:val="0"/>
            <w:tcMar>
              <w:left w:w="0" w:type="dxa"/>
              <w:right w:w="0" w:type="dxa"/>
            </w:tcMar>
            <w:vAlign w:val="center"/>
          </w:tcPr>
          <w:p w14:paraId="75B06551">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4.97</w:t>
            </w:r>
          </w:p>
        </w:tc>
        <w:tc>
          <w:tcPr>
            <w:tcW w:w="86" w:type="pct"/>
            <w:vMerge w:val="continue"/>
            <w:noWrap w:val="0"/>
            <w:tcMar>
              <w:left w:w="0" w:type="dxa"/>
              <w:right w:w="0" w:type="dxa"/>
            </w:tcMar>
            <w:vAlign w:val="center"/>
          </w:tcPr>
          <w:p w14:paraId="010E7094">
            <w:pPr>
              <w:widowControl/>
              <w:jc w:val="center"/>
              <w:textAlignment w:val="center"/>
              <w:rPr>
                <w:rFonts w:hint="eastAsia"/>
                <w:kern w:val="0"/>
                <w:sz w:val="21"/>
                <w:szCs w:val="21"/>
                <w:lang w:bidi="ar"/>
              </w:rPr>
            </w:pPr>
          </w:p>
        </w:tc>
        <w:tc>
          <w:tcPr>
            <w:tcW w:w="116" w:type="pct"/>
            <w:vMerge w:val="continue"/>
            <w:noWrap w:val="0"/>
            <w:tcMar>
              <w:left w:w="0" w:type="dxa"/>
              <w:right w:w="0" w:type="dxa"/>
            </w:tcMar>
            <w:vAlign w:val="center"/>
          </w:tcPr>
          <w:p w14:paraId="2D323663">
            <w:pPr>
              <w:widowControl/>
              <w:jc w:val="center"/>
              <w:textAlignment w:val="center"/>
              <w:rPr>
                <w:rFonts w:hint="eastAsia"/>
                <w:kern w:val="0"/>
                <w:sz w:val="21"/>
                <w:szCs w:val="21"/>
                <w:lang w:bidi="ar"/>
              </w:rPr>
            </w:pPr>
          </w:p>
        </w:tc>
        <w:tc>
          <w:tcPr>
            <w:tcW w:w="208" w:type="pct"/>
            <w:tcBorders>
              <w:top w:val="single" w:color="auto" w:sz="4" w:space="0"/>
              <w:bottom w:val="single" w:color="auto" w:sz="4" w:space="0"/>
            </w:tcBorders>
            <w:noWrap w:val="0"/>
            <w:tcMar>
              <w:left w:w="0" w:type="dxa"/>
              <w:right w:w="0" w:type="dxa"/>
            </w:tcMar>
            <w:vAlign w:val="center"/>
          </w:tcPr>
          <w:p w14:paraId="48D083C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98.61</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14:paraId="185D9640">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0.69</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14:paraId="5370FF9A">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4.97</w:t>
            </w:r>
          </w:p>
        </w:tc>
        <w:tc>
          <w:tcPr>
            <w:tcW w:w="157" w:type="pct"/>
            <w:vMerge w:val="continue"/>
            <w:noWrap w:val="0"/>
            <w:tcMar>
              <w:left w:w="0" w:type="dxa"/>
              <w:right w:w="0" w:type="dxa"/>
            </w:tcMar>
            <w:vAlign w:val="center"/>
          </w:tcPr>
          <w:p w14:paraId="535B592A">
            <w:pPr>
              <w:widowControl/>
              <w:jc w:val="center"/>
              <w:textAlignment w:val="center"/>
              <w:rPr>
                <w:rFonts w:hint="eastAsia"/>
                <w:kern w:val="0"/>
                <w:sz w:val="21"/>
                <w:szCs w:val="21"/>
                <w:lang w:bidi="ar"/>
              </w:rPr>
            </w:pPr>
          </w:p>
        </w:tc>
        <w:tc>
          <w:tcPr>
            <w:tcW w:w="288" w:type="pct"/>
            <w:vMerge w:val="continue"/>
            <w:noWrap w:val="0"/>
            <w:tcMar>
              <w:left w:w="0" w:type="dxa"/>
              <w:right w:w="0" w:type="dxa"/>
            </w:tcMar>
            <w:vAlign w:val="center"/>
          </w:tcPr>
          <w:p w14:paraId="3AAE2F4C">
            <w:pPr>
              <w:widowControl/>
              <w:jc w:val="center"/>
              <w:textAlignment w:val="center"/>
              <w:rPr>
                <w:rFonts w:hint="eastAsia"/>
                <w:kern w:val="0"/>
                <w:sz w:val="21"/>
                <w:szCs w:val="21"/>
                <w:lang w:bidi="ar"/>
              </w:rPr>
            </w:pPr>
          </w:p>
        </w:tc>
        <w:tc>
          <w:tcPr>
            <w:tcW w:w="180" w:type="pct"/>
            <w:tcBorders>
              <w:top w:val="single" w:color="auto" w:sz="4" w:space="0"/>
              <w:bottom w:val="single" w:color="auto" w:sz="4" w:space="0"/>
            </w:tcBorders>
            <w:shd w:val="clear" w:color="auto" w:fill="auto"/>
            <w:noWrap w:val="0"/>
            <w:tcMar>
              <w:left w:w="0" w:type="dxa"/>
              <w:right w:w="0" w:type="dxa"/>
            </w:tcMar>
            <w:vAlign w:val="center"/>
          </w:tcPr>
          <w:p w14:paraId="730B9CBD">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80</w:t>
            </w:r>
          </w:p>
        </w:tc>
        <w:tc>
          <w:tcPr>
            <w:tcW w:w="157" w:type="pct"/>
            <w:vMerge w:val="continue"/>
            <w:noWrap w:val="0"/>
            <w:tcMar>
              <w:left w:w="0" w:type="dxa"/>
              <w:right w:w="0" w:type="dxa"/>
            </w:tcMar>
            <w:vAlign w:val="center"/>
          </w:tcPr>
          <w:p w14:paraId="0BAEFCCE">
            <w:pPr>
              <w:widowControl/>
              <w:jc w:val="center"/>
              <w:textAlignment w:val="center"/>
              <w:rPr>
                <w:rFonts w:hint="eastAsia"/>
                <w:kern w:val="0"/>
                <w:sz w:val="21"/>
                <w:szCs w:val="21"/>
                <w:lang w:bidi="ar"/>
              </w:rPr>
            </w:pPr>
          </w:p>
        </w:tc>
        <w:tc>
          <w:tcPr>
            <w:tcW w:w="175" w:type="pct"/>
            <w:tcBorders>
              <w:top w:val="single" w:color="auto" w:sz="4" w:space="0"/>
              <w:bottom w:val="single" w:color="auto" w:sz="4" w:space="0"/>
            </w:tcBorders>
            <w:noWrap w:val="0"/>
            <w:tcMar>
              <w:left w:w="0" w:type="dxa"/>
              <w:right w:w="0" w:type="dxa"/>
            </w:tcMar>
            <w:vAlign w:val="center"/>
          </w:tcPr>
          <w:p w14:paraId="433F849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19.72</w:t>
            </w:r>
          </w:p>
        </w:tc>
        <w:tc>
          <w:tcPr>
            <w:tcW w:w="225" w:type="pct"/>
            <w:tcBorders>
              <w:top w:val="single" w:color="auto" w:sz="4" w:space="0"/>
              <w:bottom w:val="single" w:color="auto" w:sz="4" w:space="0"/>
            </w:tcBorders>
            <w:noWrap w:val="0"/>
            <w:tcMar>
              <w:left w:w="0" w:type="dxa"/>
              <w:right w:w="0" w:type="dxa"/>
            </w:tcMar>
            <w:vAlign w:val="center"/>
          </w:tcPr>
          <w:p w14:paraId="3E5BF27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0.138</w:t>
            </w:r>
          </w:p>
        </w:tc>
        <w:tc>
          <w:tcPr>
            <w:tcW w:w="199" w:type="pct"/>
            <w:tcBorders>
              <w:top w:val="single" w:color="auto" w:sz="4" w:space="0"/>
              <w:bottom w:val="single" w:color="auto" w:sz="4" w:space="0"/>
            </w:tcBorders>
            <w:noWrap w:val="0"/>
            <w:tcMar>
              <w:left w:w="0" w:type="dxa"/>
              <w:right w:w="0" w:type="dxa"/>
            </w:tcMar>
            <w:vAlign w:val="center"/>
          </w:tcPr>
          <w:p w14:paraId="5CF65C4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0.994</w:t>
            </w:r>
          </w:p>
        </w:tc>
        <w:tc>
          <w:tcPr>
            <w:tcW w:w="107" w:type="pct"/>
            <w:vMerge w:val="continue"/>
            <w:noWrap w:val="0"/>
            <w:tcMar>
              <w:left w:w="0" w:type="dxa"/>
              <w:right w:w="0" w:type="dxa"/>
            </w:tcMar>
            <w:vAlign w:val="center"/>
          </w:tcPr>
          <w:p w14:paraId="32EB4EB1">
            <w:pPr>
              <w:widowControl/>
              <w:jc w:val="center"/>
              <w:textAlignment w:val="center"/>
              <w:rPr>
                <w:rFonts w:hint="eastAsia"/>
                <w:kern w:val="0"/>
                <w:sz w:val="21"/>
                <w:szCs w:val="21"/>
                <w:lang w:bidi="ar"/>
              </w:rPr>
            </w:pPr>
          </w:p>
        </w:tc>
        <w:tc>
          <w:tcPr>
            <w:tcW w:w="122" w:type="pct"/>
            <w:vMerge w:val="continue"/>
            <w:noWrap w:val="0"/>
            <w:tcMar>
              <w:left w:w="0" w:type="dxa"/>
              <w:right w:w="0" w:type="dxa"/>
            </w:tcMar>
            <w:vAlign w:val="center"/>
          </w:tcPr>
          <w:p w14:paraId="74318943">
            <w:pPr>
              <w:widowControl/>
              <w:jc w:val="center"/>
              <w:textAlignment w:val="center"/>
              <w:rPr>
                <w:rFonts w:hint="eastAsia"/>
                <w:kern w:val="0"/>
                <w:sz w:val="21"/>
                <w:szCs w:val="21"/>
                <w:lang w:bidi="ar"/>
              </w:rPr>
            </w:pPr>
          </w:p>
        </w:tc>
        <w:tc>
          <w:tcPr>
            <w:tcW w:w="125" w:type="pct"/>
            <w:vMerge w:val="continue"/>
            <w:noWrap w:val="0"/>
            <w:tcMar>
              <w:left w:w="0" w:type="dxa"/>
              <w:right w:w="0" w:type="dxa"/>
            </w:tcMar>
            <w:vAlign w:val="center"/>
          </w:tcPr>
          <w:p w14:paraId="78F71C2C">
            <w:pPr>
              <w:widowControl/>
              <w:jc w:val="center"/>
              <w:textAlignment w:val="center"/>
              <w:rPr>
                <w:rFonts w:hint="eastAsia"/>
                <w:kern w:val="0"/>
                <w:sz w:val="21"/>
                <w:szCs w:val="21"/>
                <w:lang w:bidi="ar"/>
              </w:rPr>
            </w:pPr>
          </w:p>
        </w:tc>
        <w:tc>
          <w:tcPr>
            <w:tcW w:w="189" w:type="pct"/>
            <w:vMerge w:val="continue"/>
            <w:noWrap w:val="0"/>
            <w:tcMar>
              <w:left w:w="0" w:type="dxa"/>
              <w:right w:w="0" w:type="dxa"/>
            </w:tcMar>
            <w:vAlign w:val="center"/>
          </w:tcPr>
          <w:p w14:paraId="339D6A14">
            <w:pPr>
              <w:widowControl/>
              <w:jc w:val="center"/>
              <w:textAlignment w:val="center"/>
              <w:rPr>
                <w:rFonts w:hint="eastAsia"/>
                <w:kern w:val="0"/>
                <w:sz w:val="21"/>
                <w:szCs w:val="21"/>
                <w:lang w:bidi="ar"/>
              </w:rPr>
            </w:pPr>
          </w:p>
        </w:tc>
        <w:tc>
          <w:tcPr>
            <w:tcW w:w="233" w:type="pct"/>
            <w:vMerge w:val="continue"/>
            <w:noWrap w:val="0"/>
            <w:tcMar>
              <w:left w:w="0" w:type="dxa"/>
              <w:right w:w="0" w:type="dxa"/>
            </w:tcMar>
            <w:vAlign w:val="center"/>
          </w:tcPr>
          <w:p w14:paraId="56D2F4C8">
            <w:pPr>
              <w:widowControl/>
              <w:jc w:val="center"/>
              <w:textAlignment w:val="center"/>
              <w:rPr>
                <w:rFonts w:hint="eastAsia"/>
                <w:kern w:val="0"/>
                <w:sz w:val="21"/>
                <w:szCs w:val="21"/>
                <w:lang w:bidi="ar"/>
              </w:rPr>
            </w:pPr>
          </w:p>
        </w:tc>
        <w:tc>
          <w:tcPr>
            <w:tcW w:w="257" w:type="pct"/>
            <w:vMerge w:val="continue"/>
            <w:noWrap w:val="0"/>
            <w:tcMar>
              <w:left w:w="0" w:type="dxa"/>
              <w:right w:w="0" w:type="dxa"/>
            </w:tcMar>
            <w:vAlign w:val="center"/>
          </w:tcPr>
          <w:p w14:paraId="21CE72F0">
            <w:pPr>
              <w:widowControl/>
              <w:jc w:val="center"/>
              <w:textAlignment w:val="center"/>
              <w:rPr>
                <w:rFonts w:hint="eastAsia"/>
                <w:kern w:val="0"/>
                <w:sz w:val="21"/>
                <w:szCs w:val="21"/>
                <w:lang w:bidi="ar"/>
              </w:rPr>
            </w:pPr>
          </w:p>
        </w:tc>
        <w:tc>
          <w:tcPr>
            <w:tcW w:w="216" w:type="pct"/>
            <w:tcBorders>
              <w:top w:val="single" w:color="auto" w:sz="4" w:space="0"/>
              <w:bottom w:val="single" w:color="auto" w:sz="4" w:space="0"/>
            </w:tcBorders>
            <w:shd w:val="clear" w:color="auto" w:fill="auto"/>
            <w:noWrap w:val="0"/>
            <w:tcMar>
              <w:left w:w="0" w:type="dxa"/>
              <w:right w:w="0" w:type="dxa"/>
            </w:tcMar>
            <w:vAlign w:val="center"/>
          </w:tcPr>
          <w:p w14:paraId="7E302532">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50</w:t>
            </w:r>
          </w:p>
        </w:tc>
        <w:tc>
          <w:tcPr>
            <w:tcW w:w="127" w:type="pct"/>
            <w:tcBorders>
              <w:top w:val="single" w:color="auto" w:sz="4" w:space="0"/>
              <w:bottom w:val="single" w:color="auto" w:sz="4" w:space="0"/>
            </w:tcBorders>
            <w:shd w:val="clear" w:color="auto" w:fill="auto"/>
            <w:noWrap w:val="0"/>
            <w:tcMar>
              <w:left w:w="0" w:type="dxa"/>
              <w:right w:w="0" w:type="dxa"/>
            </w:tcMar>
            <w:vAlign w:val="center"/>
          </w:tcPr>
          <w:p w14:paraId="52928EC0">
            <w:pPr>
              <w:jc w:val="center"/>
              <w:rPr>
                <w:rFonts w:hint="eastAsia" w:ascii="Times New Roman" w:hAnsi="Times New Roman" w:eastAsia="宋体" w:cs="Times New Roman"/>
                <w:kern w:val="2"/>
                <w:sz w:val="21"/>
                <w:szCs w:val="21"/>
                <w:lang w:val="en-US" w:eastAsia="zh-CN" w:bidi="ar-SA"/>
              </w:rPr>
            </w:pPr>
            <w:r>
              <w:rPr>
                <w:sz w:val="21"/>
                <w:szCs w:val="21"/>
              </w:rPr>
              <w:t>/</w:t>
            </w:r>
          </w:p>
        </w:tc>
        <w:tc>
          <w:tcPr>
            <w:tcW w:w="256" w:type="pct"/>
            <w:vMerge w:val="continue"/>
            <w:noWrap w:val="0"/>
            <w:tcMar>
              <w:left w:w="0" w:type="dxa"/>
              <w:right w:w="0" w:type="dxa"/>
            </w:tcMar>
            <w:vAlign w:val="center"/>
          </w:tcPr>
          <w:p w14:paraId="7AF9902C">
            <w:pPr>
              <w:widowControl/>
              <w:jc w:val="center"/>
              <w:textAlignment w:val="center"/>
              <w:rPr>
                <w:rFonts w:hint="eastAsia"/>
                <w:kern w:val="0"/>
                <w:sz w:val="21"/>
                <w:szCs w:val="21"/>
                <w:lang w:bidi="ar"/>
              </w:rPr>
            </w:pPr>
          </w:p>
        </w:tc>
        <w:tc>
          <w:tcPr>
            <w:tcW w:w="82" w:type="pct"/>
            <w:vMerge w:val="continue"/>
            <w:noWrap w:val="0"/>
            <w:tcMar>
              <w:left w:w="0" w:type="dxa"/>
              <w:right w:w="0" w:type="dxa"/>
            </w:tcMar>
            <w:vAlign w:val="center"/>
          </w:tcPr>
          <w:p w14:paraId="226E2855">
            <w:pPr>
              <w:widowControl/>
              <w:jc w:val="center"/>
              <w:textAlignment w:val="center"/>
              <w:rPr>
                <w:rFonts w:hint="eastAsia"/>
                <w:kern w:val="0"/>
                <w:sz w:val="21"/>
                <w:szCs w:val="21"/>
                <w:lang w:bidi="ar"/>
              </w:rPr>
            </w:pPr>
          </w:p>
        </w:tc>
        <w:tc>
          <w:tcPr>
            <w:tcW w:w="110" w:type="pct"/>
            <w:vMerge w:val="continue"/>
            <w:noWrap w:val="0"/>
            <w:tcMar>
              <w:left w:w="0" w:type="dxa"/>
              <w:right w:w="0" w:type="dxa"/>
            </w:tcMar>
            <w:vAlign w:val="center"/>
          </w:tcPr>
          <w:p w14:paraId="2DDF63E3">
            <w:pPr>
              <w:widowControl/>
              <w:jc w:val="center"/>
              <w:textAlignment w:val="center"/>
              <w:rPr>
                <w:rFonts w:hint="eastAsia"/>
                <w:kern w:val="0"/>
                <w:sz w:val="21"/>
                <w:szCs w:val="21"/>
                <w:lang w:bidi="ar"/>
              </w:rPr>
            </w:pPr>
          </w:p>
        </w:tc>
        <w:tc>
          <w:tcPr>
            <w:tcW w:w="97" w:type="pct"/>
            <w:gridSpan w:val="2"/>
            <w:vMerge w:val="continue"/>
            <w:noWrap w:val="0"/>
            <w:tcMar>
              <w:left w:w="0" w:type="dxa"/>
              <w:right w:w="0" w:type="dxa"/>
            </w:tcMar>
            <w:vAlign w:val="center"/>
          </w:tcPr>
          <w:p w14:paraId="33A10C9D">
            <w:pPr>
              <w:widowControl/>
              <w:jc w:val="center"/>
              <w:textAlignment w:val="center"/>
              <w:rPr>
                <w:rFonts w:hint="eastAsia"/>
                <w:kern w:val="0"/>
                <w:sz w:val="21"/>
                <w:szCs w:val="21"/>
                <w:lang w:bidi="ar"/>
              </w:rPr>
            </w:pPr>
          </w:p>
        </w:tc>
      </w:tr>
      <w:tr w14:paraId="642B137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4" w:type="pct"/>
            <w:vMerge w:val="continue"/>
            <w:tcBorders>
              <w:bottom w:val="single" w:color="auto" w:sz="12" w:space="0"/>
            </w:tcBorders>
            <w:noWrap w:val="0"/>
            <w:vAlign w:val="center"/>
          </w:tcPr>
          <w:p w14:paraId="083F7C77">
            <w:pPr>
              <w:jc w:val="center"/>
              <w:rPr>
                <w:sz w:val="21"/>
                <w:szCs w:val="21"/>
              </w:rPr>
            </w:pPr>
          </w:p>
        </w:tc>
        <w:tc>
          <w:tcPr>
            <w:tcW w:w="205" w:type="pct"/>
            <w:tcBorders>
              <w:top w:val="single" w:color="auto" w:sz="4" w:space="0"/>
              <w:bottom w:val="single" w:color="auto" w:sz="12" w:space="0"/>
            </w:tcBorders>
            <w:shd w:val="clear" w:color="auto" w:fill="auto"/>
            <w:noWrap w:val="0"/>
            <w:tcMar>
              <w:left w:w="0" w:type="dxa"/>
              <w:right w:w="0" w:type="dxa"/>
            </w:tcMar>
            <w:vAlign w:val="center"/>
          </w:tcPr>
          <w:p w14:paraId="4D2A11AF">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汞及其化合物</w:t>
            </w:r>
          </w:p>
        </w:tc>
        <w:tc>
          <w:tcPr>
            <w:tcW w:w="194" w:type="pct"/>
            <w:tcBorders>
              <w:top w:val="single" w:color="auto" w:sz="4" w:space="0"/>
              <w:bottom w:val="single" w:color="auto" w:sz="12" w:space="0"/>
            </w:tcBorders>
            <w:noWrap w:val="0"/>
            <w:tcMar>
              <w:left w:w="0" w:type="dxa"/>
              <w:right w:w="0" w:type="dxa"/>
            </w:tcMar>
            <w:vAlign w:val="center"/>
          </w:tcPr>
          <w:p w14:paraId="53CD8121">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0.0004</w:t>
            </w:r>
          </w:p>
        </w:tc>
        <w:tc>
          <w:tcPr>
            <w:tcW w:w="225" w:type="pct"/>
            <w:tcBorders>
              <w:top w:val="single" w:color="auto" w:sz="4" w:space="0"/>
              <w:bottom w:val="single" w:color="auto" w:sz="12" w:space="0"/>
            </w:tcBorders>
            <w:noWrap w:val="0"/>
            <w:tcMar>
              <w:left w:w="0" w:type="dxa"/>
              <w:right w:w="0" w:type="dxa"/>
            </w:tcMar>
            <w:vAlign w:val="center"/>
          </w:tcPr>
          <w:p w14:paraId="3DD5DD4D">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2.687kg</w:t>
            </w:r>
          </w:p>
        </w:tc>
        <w:tc>
          <w:tcPr>
            <w:tcW w:w="86" w:type="pct"/>
            <w:vMerge w:val="continue"/>
            <w:tcBorders>
              <w:bottom w:val="single" w:color="auto" w:sz="12" w:space="0"/>
            </w:tcBorders>
            <w:noWrap w:val="0"/>
            <w:tcMar>
              <w:left w:w="0" w:type="dxa"/>
              <w:right w:w="0" w:type="dxa"/>
            </w:tcMar>
            <w:vAlign w:val="center"/>
          </w:tcPr>
          <w:p w14:paraId="6A3E9653">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116" w:type="pct"/>
            <w:vMerge w:val="continue"/>
            <w:tcBorders>
              <w:bottom w:val="single" w:color="auto" w:sz="12" w:space="0"/>
            </w:tcBorders>
            <w:noWrap w:val="0"/>
            <w:tcMar>
              <w:left w:w="0" w:type="dxa"/>
              <w:right w:w="0" w:type="dxa"/>
            </w:tcMar>
            <w:vAlign w:val="center"/>
          </w:tcPr>
          <w:p w14:paraId="47348188">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208" w:type="pct"/>
            <w:tcBorders>
              <w:top w:val="single" w:color="auto" w:sz="4" w:space="0"/>
              <w:bottom w:val="single" w:color="auto" w:sz="12" w:space="0"/>
            </w:tcBorders>
            <w:noWrap w:val="0"/>
            <w:tcMar>
              <w:left w:w="0" w:type="dxa"/>
              <w:right w:w="0" w:type="dxa"/>
            </w:tcMar>
            <w:vAlign w:val="center"/>
          </w:tcPr>
          <w:p w14:paraId="67A35EBD">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0.053</w:t>
            </w:r>
          </w:p>
        </w:tc>
        <w:tc>
          <w:tcPr>
            <w:tcW w:w="208" w:type="pct"/>
            <w:tcBorders>
              <w:top w:val="single" w:color="auto" w:sz="4" w:space="0"/>
              <w:bottom w:val="single" w:color="auto" w:sz="12" w:space="0"/>
            </w:tcBorders>
            <w:shd w:val="clear" w:color="auto" w:fill="auto"/>
            <w:noWrap w:val="0"/>
            <w:tcMar>
              <w:left w:w="0" w:type="dxa"/>
              <w:right w:w="0" w:type="dxa"/>
            </w:tcMar>
            <w:vAlign w:val="center"/>
          </w:tcPr>
          <w:p w14:paraId="0BA4B8EC">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0.0004</w:t>
            </w:r>
          </w:p>
        </w:tc>
        <w:tc>
          <w:tcPr>
            <w:tcW w:w="329" w:type="pct"/>
            <w:tcBorders>
              <w:top w:val="single" w:color="auto" w:sz="4" w:space="0"/>
              <w:bottom w:val="single" w:color="auto" w:sz="12" w:space="0"/>
            </w:tcBorders>
            <w:shd w:val="clear" w:color="auto" w:fill="auto"/>
            <w:noWrap w:val="0"/>
            <w:tcMar>
              <w:left w:w="0" w:type="dxa"/>
              <w:right w:w="0" w:type="dxa"/>
            </w:tcMar>
            <w:vAlign w:val="center"/>
          </w:tcPr>
          <w:p w14:paraId="1BB24B08">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2.687kg</w:t>
            </w:r>
          </w:p>
        </w:tc>
        <w:tc>
          <w:tcPr>
            <w:tcW w:w="157" w:type="pct"/>
            <w:vMerge w:val="continue"/>
            <w:tcBorders>
              <w:bottom w:val="single" w:color="auto" w:sz="12" w:space="0"/>
            </w:tcBorders>
            <w:noWrap w:val="0"/>
            <w:tcMar>
              <w:left w:w="0" w:type="dxa"/>
              <w:right w:w="0" w:type="dxa"/>
            </w:tcMar>
            <w:vAlign w:val="center"/>
          </w:tcPr>
          <w:p w14:paraId="15464057">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288" w:type="pct"/>
            <w:vMerge w:val="continue"/>
            <w:tcBorders>
              <w:bottom w:val="single" w:color="auto" w:sz="12" w:space="0"/>
            </w:tcBorders>
            <w:noWrap w:val="0"/>
            <w:tcMar>
              <w:left w:w="0" w:type="dxa"/>
              <w:right w:w="0" w:type="dxa"/>
            </w:tcMar>
            <w:vAlign w:val="center"/>
          </w:tcPr>
          <w:p w14:paraId="77744198">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180" w:type="pct"/>
            <w:tcBorders>
              <w:top w:val="single" w:color="auto" w:sz="4" w:space="0"/>
              <w:bottom w:val="single" w:color="auto" w:sz="12" w:space="0"/>
            </w:tcBorders>
            <w:shd w:val="clear" w:color="auto" w:fill="auto"/>
            <w:noWrap w:val="0"/>
            <w:tcMar>
              <w:left w:w="0" w:type="dxa"/>
              <w:right w:w="0" w:type="dxa"/>
            </w:tcMar>
            <w:vAlign w:val="center"/>
          </w:tcPr>
          <w:p w14:paraId="3605723E">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70</w:t>
            </w:r>
          </w:p>
        </w:tc>
        <w:tc>
          <w:tcPr>
            <w:tcW w:w="157" w:type="pct"/>
            <w:vMerge w:val="continue"/>
            <w:tcBorders>
              <w:bottom w:val="single" w:color="auto" w:sz="12" w:space="0"/>
            </w:tcBorders>
            <w:noWrap w:val="0"/>
            <w:tcMar>
              <w:left w:w="0" w:type="dxa"/>
              <w:right w:w="0" w:type="dxa"/>
            </w:tcMar>
            <w:vAlign w:val="center"/>
          </w:tcPr>
          <w:p w14:paraId="3B989249">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p>
        </w:tc>
        <w:tc>
          <w:tcPr>
            <w:tcW w:w="175" w:type="pct"/>
            <w:tcBorders>
              <w:top w:val="single" w:color="auto" w:sz="4" w:space="0"/>
              <w:bottom w:val="single" w:color="auto" w:sz="12" w:space="0"/>
            </w:tcBorders>
            <w:noWrap w:val="0"/>
            <w:tcMar>
              <w:left w:w="0" w:type="dxa"/>
              <w:right w:w="0" w:type="dxa"/>
            </w:tcMar>
            <w:vAlign w:val="center"/>
          </w:tcPr>
          <w:p w14:paraId="146F2538">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0.016</w:t>
            </w:r>
          </w:p>
        </w:tc>
        <w:tc>
          <w:tcPr>
            <w:tcW w:w="225" w:type="pct"/>
            <w:tcBorders>
              <w:top w:val="single" w:color="auto" w:sz="4" w:space="0"/>
              <w:bottom w:val="single" w:color="auto" w:sz="12" w:space="0"/>
            </w:tcBorders>
            <w:noWrap w:val="0"/>
            <w:tcMar>
              <w:left w:w="0" w:type="dxa"/>
              <w:right w:w="0" w:type="dxa"/>
            </w:tcMar>
            <w:vAlign w:val="center"/>
          </w:tcPr>
          <w:p w14:paraId="1EAE9958">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0.0</w:t>
            </w:r>
            <w:r>
              <w:rPr>
                <w:rFonts w:hint="eastAsia" w:cs="Times New Roman"/>
                <w:kern w:val="0"/>
                <w:sz w:val="21"/>
                <w:szCs w:val="21"/>
                <w:lang w:val="en-US" w:eastAsia="zh-CN" w:bidi="ar"/>
              </w:rPr>
              <w:t>0011</w:t>
            </w:r>
          </w:p>
        </w:tc>
        <w:tc>
          <w:tcPr>
            <w:tcW w:w="199" w:type="pct"/>
            <w:tcBorders>
              <w:top w:val="single" w:color="auto" w:sz="4" w:space="0"/>
              <w:bottom w:val="single" w:color="auto" w:sz="12" w:space="0"/>
            </w:tcBorders>
            <w:noWrap w:val="0"/>
            <w:tcMar>
              <w:left w:w="0" w:type="dxa"/>
              <w:right w:w="0" w:type="dxa"/>
            </w:tcMar>
            <w:vAlign w:val="center"/>
          </w:tcPr>
          <w:p w14:paraId="5461D8FC">
            <w:pPr>
              <w:keepNext w:val="0"/>
              <w:keepLines w:val="0"/>
              <w:widowControl/>
              <w:suppressLineNumbers w:val="0"/>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0.806kg</w:t>
            </w:r>
          </w:p>
        </w:tc>
        <w:tc>
          <w:tcPr>
            <w:tcW w:w="107" w:type="pct"/>
            <w:vMerge w:val="continue"/>
            <w:tcBorders>
              <w:bottom w:val="single" w:color="auto" w:sz="12" w:space="0"/>
            </w:tcBorders>
            <w:noWrap w:val="0"/>
            <w:tcMar>
              <w:left w:w="0" w:type="dxa"/>
              <w:right w:w="0" w:type="dxa"/>
            </w:tcMar>
            <w:vAlign w:val="center"/>
          </w:tcPr>
          <w:p w14:paraId="1C708A4C">
            <w:pPr>
              <w:widowControl/>
              <w:jc w:val="center"/>
              <w:textAlignment w:val="center"/>
              <w:rPr>
                <w:rFonts w:hint="eastAsia"/>
                <w:kern w:val="0"/>
                <w:sz w:val="21"/>
                <w:szCs w:val="21"/>
                <w:lang w:bidi="ar"/>
              </w:rPr>
            </w:pPr>
          </w:p>
        </w:tc>
        <w:tc>
          <w:tcPr>
            <w:tcW w:w="122" w:type="pct"/>
            <w:vMerge w:val="continue"/>
            <w:tcBorders>
              <w:bottom w:val="single" w:color="auto" w:sz="12" w:space="0"/>
            </w:tcBorders>
            <w:noWrap w:val="0"/>
            <w:tcMar>
              <w:left w:w="0" w:type="dxa"/>
              <w:right w:w="0" w:type="dxa"/>
            </w:tcMar>
            <w:vAlign w:val="center"/>
          </w:tcPr>
          <w:p w14:paraId="7F92117E">
            <w:pPr>
              <w:widowControl/>
              <w:jc w:val="center"/>
              <w:textAlignment w:val="center"/>
              <w:rPr>
                <w:rFonts w:hint="eastAsia"/>
                <w:kern w:val="0"/>
                <w:sz w:val="21"/>
                <w:szCs w:val="21"/>
                <w:lang w:bidi="ar"/>
              </w:rPr>
            </w:pPr>
          </w:p>
        </w:tc>
        <w:tc>
          <w:tcPr>
            <w:tcW w:w="125" w:type="pct"/>
            <w:vMerge w:val="continue"/>
            <w:tcBorders>
              <w:bottom w:val="single" w:color="auto" w:sz="12" w:space="0"/>
            </w:tcBorders>
            <w:noWrap w:val="0"/>
            <w:tcMar>
              <w:left w:w="0" w:type="dxa"/>
              <w:right w:w="0" w:type="dxa"/>
            </w:tcMar>
            <w:vAlign w:val="center"/>
          </w:tcPr>
          <w:p w14:paraId="63D77E85">
            <w:pPr>
              <w:widowControl/>
              <w:jc w:val="center"/>
              <w:textAlignment w:val="center"/>
              <w:rPr>
                <w:rFonts w:hint="eastAsia"/>
                <w:kern w:val="0"/>
                <w:sz w:val="21"/>
                <w:szCs w:val="21"/>
                <w:lang w:bidi="ar"/>
              </w:rPr>
            </w:pPr>
          </w:p>
        </w:tc>
        <w:tc>
          <w:tcPr>
            <w:tcW w:w="189" w:type="pct"/>
            <w:vMerge w:val="continue"/>
            <w:tcBorders>
              <w:bottom w:val="single" w:color="auto" w:sz="12" w:space="0"/>
            </w:tcBorders>
            <w:noWrap w:val="0"/>
            <w:tcMar>
              <w:left w:w="0" w:type="dxa"/>
              <w:right w:w="0" w:type="dxa"/>
            </w:tcMar>
            <w:vAlign w:val="center"/>
          </w:tcPr>
          <w:p w14:paraId="37196C07">
            <w:pPr>
              <w:widowControl/>
              <w:jc w:val="center"/>
              <w:textAlignment w:val="center"/>
              <w:rPr>
                <w:rFonts w:hint="eastAsia"/>
                <w:kern w:val="0"/>
                <w:sz w:val="21"/>
                <w:szCs w:val="21"/>
                <w:lang w:bidi="ar"/>
              </w:rPr>
            </w:pPr>
          </w:p>
        </w:tc>
        <w:tc>
          <w:tcPr>
            <w:tcW w:w="233" w:type="pct"/>
            <w:vMerge w:val="continue"/>
            <w:tcBorders>
              <w:bottom w:val="single" w:color="auto" w:sz="12" w:space="0"/>
            </w:tcBorders>
            <w:noWrap w:val="0"/>
            <w:tcMar>
              <w:left w:w="0" w:type="dxa"/>
              <w:right w:w="0" w:type="dxa"/>
            </w:tcMar>
            <w:vAlign w:val="center"/>
          </w:tcPr>
          <w:p w14:paraId="7847EE18">
            <w:pPr>
              <w:widowControl/>
              <w:jc w:val="center"/>
              <w:textAlignment w:val="center"/>
              <w:rPr>
                <w:rFonts w:hint="eastAsia"/>
                <w:kern w:val="0"/>
                <w:sz w:val="21"/>
                <w:szCs w:val="21"/>
                <w:lang w:bidi="ar"/>
              </w:rPr>
            </w:pPr>
          </w:p>
        </w:tc>
        <w:tc>
          <w:tcPr>
            <w:tcW w:w="257" w:type="pct"/>
            <w:vMerge w:val="continue"/>
            <w:tcBorders>
              <w:bottom w:val="single" w:color="auto" w:sz="12" w:space="0"/>
            </w:tcBorders>
            <w:noWrap w:val="0"/>
            <w:tcMar>
              <w:left w:w="0" w:type="dxa"/>
              <w:right w:w="0" w:type="dxa"/>
            </w:tcMar>
            <w:vAlign w:val="center"/>
          </w:tcPr>
          <w:p w14:paraId="58EC0B4B">
            <w:pPr>
              <w:widowControl/>
              <w:jc w:val="center"/>
              <w:textAlignment w:val="center"/>
              <w:rPr>
                <w:rFonts w:hint="eastAsia"/>
                <w:kern w:val="0"/>
                <w:sz w:val="21"/>
                <w:szCs w:val="21"/>
                <w:lang w:bidi="ar"/>
              </w:rPr>
            </w:pPr>
          </w:p>
        </w:tc>
        <w:tc>
          <w:tcPr>
            <w:tcW w:w="216" w:type="pct"/>
            <w:tcBorders>
              <w:top w:val="single" w:color="auto" w:sz="4" w:space="0"/>
              <w:bottom w:val="single" w:color="auto" w:sz="12" w:space="0"/>
            </w:tcBorders>
            <w:shd w:val="clear" w:color="auto" w:fill="auto"/>
            <w:noWrap w:val="0"/>
            <w:tcMar>
              <w:left w:w="0" w:type="dxa"/>
              <w:right w:w="0" w:type="dxa"/>
            </w:tcMar>
            <w:vAlign w:val="center"/>
          </w:tcPr>
          <w:p w14:paraId="74D8D37C">
            <w:pPr>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0.03</w:t>
            </w:r>
          </w:p>
        </w:tc>
        <w:tc>
          <w:tcPr>
            <w:tcW w:w="127" w:type="pct"/>
            <w:tcBorders>
              <w:top w:val="single" w:color="auto" w:sz="4" w:space="0"/>
              <w:bottom w:val="single" w:color="auto" w:sz="12" w:space="0"/>
            </w:tcBorders>
            <w:shd w:val="clear" w:color="auto" w:fill="auto"/>
            <w:noWrap w:val="0"/>
            <w:tcMar>
              <w:left w:w="0" w:type="dxa"/>
              <w:right w:w="0" w:type="dxa"/>
            </w:tcMar>
            <w:vAlign w:val="center"/>
          </w:tcPr>
          <w:p w14:paraId="79AE62BA">
            <w:pPr>
              <w:jc w:val="center"/>
              <w:rPr>
                <w:rFonts w:hint="eastAsia" w:ascii="Times New Roman" w:hAnsi="Times New Roman" w:eastAsia="宋体" w:cs="Times New Roman"/>
                <w:kern w:val="2"/>
                <w:sz w:val="21"/>
                <w:szCs w:val="21"/>
                <w:lang w:val="en-US" w:eastAsia="zh-CN" w:bidi="ar-SA"/>
              </w:rPr>
            </w:pPr>
            <w:r>
              <w:rPr>
                <w:sz w:val="21"/>
                <w:szCs w:val="21"/>
              </w:rPr>
              <w:t>/</w:t>
            </w:r>
          </w:p>
        </w:tc>
        <w:tc>
          <w:tcPr>
            <w:tcW w:w="256" w:type="pct"/>
            <w:vMerge w:val="continue"/>
            <w:tcBorders>
              <w:bottom w:val="single" w:color="auto" w:sz="12" w:space="0"/>
            </w:tcBorders>
            <w:noWrap w:val="0"/>
            <w:tcMar>
              <w:left w:w="0" w:type="dxa"/>
              <w:right w:w="0" w:type="dxa"/>
            </w:tcMar>
            <w:vAlign w:val="center"/>
          </w:tcPr>
          <w:p w14:paraId="27205D32">
            <w:pPr>
              <w:widowControl/>
              <w:jc w:val="center"/>
              <w:textAlignment w:val="center"/>
              <w:rPr>
                <w:rFonts w:hint="eastAsia"/>
                <w:kern w:val="0"/>
                <w:sz w:val="21"/>
                <w:szCs w:val="21"/>
                <w:lang w:bidi="ar"/>
              </w:rPr>
            </w:pPr>
          </w:p>
        </w:tc>
        <w:tc>
          <w:tcPr>
            <w:tcW w:w="82" w:type="pct"/>
            <w:vMerge w:val="continue"/>
            <w:tcBorders>
              <w:bottom w:val="single" w:color="auto" w:sz="12" w:space="0"/>
            </w:tcBorders>
            <w:noWrap w:val="0"/>
            <w:tcMar>
              <w:left w:w="0" w:type="dxa"/>
              <w:right w:w="0" w:type="dxa"/>
            </w:tcMar>
            <w:vAlign w:val="center"/>
          </w:tcPr>
          <w:p w14:paraId="334BE786">
            <w:pPr>
              <w:widowControl/>
              <w:jc w:val="center"/>
              <w:textAlignment w:val="center"/>
              <w:rPr>
                <w:rFonts w:hint="eastAsia"/>
                <w:kern w:val="0"/>
                <w:sz w:val="21"/>
                <w:szCs w:val="21"/>
                <w:lang w:bidi="ar"/>
              </w:rPr>
            </w:pPr>
          </w:p>
        </w:tc>
        <w:tc>
          <w:tcPr>
            <w:tcW w:w="110" w:type="pct"/>
            <w:vMerge w:val="continue"/>
            <w:tcBorders>
              <w:bottom w:val="single" w:color="auto" w:sz="12" w:space="0"/>
            </w:tcBorders>
            <w:noWrap w:val="0"/>
            <w:tcMar>
              <w:left w:w="0" w:type="dxa"/>
              <w:right w:w="0" w:type="dxa"/>
            </w:tcMar>
            <w:vAlign w:val="center"/>
          </w:tcPr>
          <w:p w14:paraId="0143DF32">
            <w:pPr>
              <w:widowControl/>
              <w:jc w:val="center"/>
              <w:textAlignment w:val="center"/>
              <w:rPr>
                <w:rFonts w:hint="eastAsia"/>
                <w:kern w:val="0"/>
                <w:sz w:val="21"/>
                <w:szCs w:val="21"/>
                <w:lang w:bidi="ar"/>
              </w:rPr>
            </w:pPr>
          </w:p>
        </w:tc>
        <w:tc>
          <w:tcPr>
            <w:tcW w:w="97" w:type="pct"/>
            <w:gridSpan w:val="2"/>
            <w:vMerge w:val="continue"/>
            <w:tcBorders>
              <w:bottom w:val="single" w:color="auto" w:sz="12" w:space="0"/>
            </w:tcBorders>
            <w:noWrap w:val="0"/>
            <w:tcMar>
              <w:left w:w="0" w:type="dxa"/>
              <w:right w:w="0" w:type="dxa"/>
            </w:tcMar>
            <w:vAlign w:val="center"/>
          </w:tcPr>
          <w:p w14:paraId="62223A67">
            <w:pPr>
              <w:widowControl/>
              <w:jc w:val="center"/>
              <w:textAlignment w:val="center"/>
              <w:rPr>
                <w:rFonts w:hint="eastAsia"/>
                <w:kern w:val="0"/>
                <w:sz w:val="21"/>
                <w:szCs w:val="21"/>
                <w:lang w:bidi="ar"/>
              </w:rPr>
            </w:pPr>
          </w:p>
        </w:tc>
      </w:tr>
    </w:tbl>
    <w:p w14:paraId="2EB74A7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kern w:val="2"/>
          <w:sz w:val="24"/>
          <w:szCs w:val="24"/>
          <w:lang w:val="en-US" w:eastAsia="zh-CN"/>
        </w:rPr>
      </w:pPr>
      <w:r>
        <w:rPr>
          <w:rFonts w:hint="eastAsia" w:ascii="Times New Roman" w:hAnsi="Times New Roman" w:eastAsia="宋体" w:cs="Times New Roman"/>
          <w:b/>
          <w:bCs/>
          <w:color w:val="auto"/>
          <w:kern w:val="2"/>
          <w:sz w:val="24"/>
          <w:szCs w:val="24"/>
          <w:lang w:val="en-US" w:eastAsia="zh-CN"/>
        </w:rPr>
        <w:t>表2-4（2）  本项目DA001颗粒物合并排放情况</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0" w:type="dxa"/>
          <w:bottom w:w="0" w:type="dxa"/>
          <w:right w:w="0" w:type="dxa"/>
        </w:tblCellMar>
      </w:tblPr>
      <w:tblGrid>
        <w:gridCol w:w="521"/>
        <w:gridCol w:w="933"/>
        <w:gridCol w:w="883"/>
        <w:gridCol w:w="1023"/>
        <w:gridCol w:w="392"/>
        <w:gridCol w:w="528"/>
        <w:gridCol w:w="945"/>
        <w:gridCol w:w="945"/>
        <w:gridCol w:w="1503"/>
        <w:gridCol w:w="715"/>
        <w:gridCol w:w="1308"/>
        <w:gridCol w:w="819"/>
        <w:gridCol w:w="719"/>
        <w:gridCol w:w="796"/>
        <w:gridCol w:w="1023"/>
        <w:gridCol w:w="908"/>
      </w:tblGrid>
      <w:tr w14:paraId="2D842EA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40" w:hRule="atLeast"/>
          <w:jc w:val="center"/>
        </w:trPr>
        <w:tc>
          <w:tcPr>
            <w:tcW w:w="186" w:type="pct"/>
            <w:vMerge w:val="restart"/>
            <w:noWrap w:val="0"/>
            <w:vAlign w:val="center"/>
          </w:tcPr>
          <w:p w14:paraId="415B725C">
            <w:pPr>
              <w:widowControl/>
              <w:adjustRightInd w:val="0"/>
              <w:snapToGrid w:val="0"/>
              <w:jc w:val="center"/>
              <w:textAlignment w:val="center"/>
              <w:rPr>
                <w:b/>
                <w:bCs/>
                <w:sz w:val="21"/>
                <w:szCs w:val="21"/>
              </w:rPr>
            </w:pPr>
            <w:r>
              <w:rPr>
                <w:b/>
                <w:bCs/>
                <w:sz w:val="21"/>
                <w:szCs w:val="21"/>
              </w:rPr>
              <w:t>产排污环节</w:t>
            </w:r>
          </w:p>
        </w:tc>
        <w:tc>
          <w:tcPr>
            <w:tcW w:w="334" w:type="pct"/>
            <w:vMerge w:val="restart"/>
            <w:noWrap w:val="0"/>
            <w:tcMar>
              <w:left w:w="0" w:type="dxa"/>
              <w:right w:w="0" w:type="dxa"/>
            </w:tcMar>
            <w:vAlign w:val="center"/>
          </w:tcPr>
          <w:p w14:paraId="71B76FC1">
            <w:pPr>
              <w:widowControl/>
              <w:adjustRightInd w:val="0"/>
              <w:snapToGrid w:val="0"/>
              <w:jc w:val="center"/>
              <w:textAlignment w:val="center"/>
              <w:rPr>
                <w:b/>
                <w:bCs/>
                <w:sz w:val="21"/>
                <w:szCs w:val="21"/>
              </w:rPr>
            </w:pPr>
            <w:r>
              <w:rPr>
                <w:b/>
                <w:bCs/>
                <w:sz w:val="21"/>
                <w:szCs w:val="21"/>
              </w:rPr>
              <w:t>污染物种类</w:t>
            </w:r>
          </w:p>
        </w:tc>
        <w:tc>
          <w:tcPr>
            <w:tcW w:w="682" w:type="pct"/>
            <w:gridSpan w:val="2"/>
            <w:noWrap w:val="0"/>
            <w:tcMar>
              <w:left w:w="0" w:type="dxa"/>
              <w:right w:w="0" w:type="dxa"/>
            </w:tcMar>
            <w:vAlign w:val="center"/>
          </w:tcPr>
          <w:p w14:paraId="3C056A7C">
            <w:pPr>
              <w:widowControl/>
              <w:adjustRightInd w:val="0"/>
              <w:snapToGrid w:val="0"/>
              <w:jc w:val="center"/>
              <w:textAlignment w:val="center"/>
              <w:rPr>
                <w:b/>
                <w:bCs/>
                <w:sz w:val="21"/>
                <w:szCs w:val="21"/>
              </w:rPr>
            </w:pPr>
            <w:r>
              <w:rPr>
                <w:rFonts w:hint="eastAsia"/>
                <w:b/>
                <w:bCs/>
                <w:sz w:val="21"/>
                <w:szCs w:val="21"/>
              </w:rPr>
              <w:t>产生状况</w:t>
            </w:r>
          </w:p>
        </w:tc>
        <w:tc>
          <w:tcPr>
            <w:tcW w:w="140" w:type="pct"/>
            <w:vMerge w:val="restart"/>
            <w:noWrap w:val="0"/>
            <w:tcMar>
              <w:left w:w="0" w:type="dxa"/>
              <w:right w:w="0" w:type="dxa"/>
            </w:tcMar>
            <w:vAlign w:val="center"/>
          </w:tcPr>
          <w:p w14:paraId="67A85CAE">
            <w:pPr>
              <w:widowControl/>
              <w:adjustRightInd w:val="0"/>
              <w:snapToGrid w:val="0"/>
              <w:jc w:val="center"/>
              <w:textAlignment w:val="center"/>
              <w:rPr>
                <w:b/>
                <w:bCs/>
                <w:sz w:val="21"/>
                <w:szCs w:val="21"/>
              </w:rPr>
            </w:pPr>
            <w:r>
              <w:rPr>
                <w:rFonts w:hint="eastAsia"/>
                <w:b/>
                <w:bCs/>
                <w:sz w:val="21"/>
                <w:szCs w:val="21"/>
              </w:rPr>
              <w:t>收集措施</w:t>
            </w:r>
          </w:p>
        </w:tc>
        <w:tc>
          <w:tcPr>
            <w:tcW w:w="189" w:type="pct"/>
            <w:vMerge w:val="restart"/>
            <w:noWrap w:val="0"/>
            <w:tcMar>
              <w:left w:w="0" w:type="dxa"/>
              <w:right w:w="0" w:type="dxa"/>
            </w:tcMar>
            <w:vAlign w:val="center"/>
          </w:tcPr>
          <w:p w14:paraId="57293D50">
            <w:pPr>
              <w:widowControl/>
              <w:adjustRightInd w:val="0"/>
              <w:snapToGrid w:val="0"/>
              <w:jc w:val="center"/>
              <w:textAlignment w:val="center"/>
              <w:rPr>
                <w:b/>
                <w:bCs/>
                <w:sz w:val="21"/>
                <w:szCs w:val="21"/>
              </w:rPr>
            </w:pPr>
            <w:r>
              <w:rPr>
                <w:b/>
                <w:bCs/>
                <w:sz w:val="21"/>
                <w:szCs w:val="21"/>
              </w:rPr>
              <w:t>收集效率%</w:t>
            </w:r>
          </w:p>
        </w:tc>
        <w:tc>
          <w:tcPr>
            <w:tcW w:w="1215" w:type="pct"/>
            <w:gridSpan w:val="3"/>
            <w:tcBorders>
              <w:bottom w:val="single" w:color="auto" w:sz="4" w:space="0"/>
            </w:tcBorders>
            <w:noWrap w:val="0"/>
            <w:tcMar>
              <w:left w:w="0" w:type="dxa"/>
              <w:right w:w="0" w:type="dxa"/>
            </w:tcMar>
            <w:vAlign w:val="center"/>
          </w:tcPr>
          <w:p w14:paraId="78D67E21">
            <w:pPr>
              <w:widowControl/>
              <w:adjustRightInd w:val="0"/>
              <w:snapToGrid w:val="0"/>
              <w:jc w:val="center"/>
              <w:textAlignment w:val="center"/>
              <w:rPr>
                <w:rFonts w:hint="eastAsia"/>
                <w:b/>
                <w:bCs/>
                <w:sz w:val="21"/>
                <w:szCs w:val="21"/>
              </w:rPr>
            </w:pPr>
            <w:r>
              <w:rPr>
                <w:rFonts w:hint="eastAsia"/>
                <w:b/>
                <w:bCs/>
                <w:sz w:val="21"/>
                <w:szCs w:val="21"/>
              </w:rPr>
              <w:t>有组织</w:t>
            </w:r>
            <w:r>
              <w:rPr>
                <w:b/>
                <w:bCs/>
                <w:sz w:val="21"/>
                <w:szCs w:val="21"/>
              </w:rPr>
              <w:t>产生</w:t>
            </w:r>
            <w:r>
              <w:rPr>
                <w:rFonts w:hint="eastAsia"/>
                <w:b/>
                <w:bCs/>
                <w:sz w:val="21"/>
                <w:szCs w:val="21"/>
              </w:rPr>
              <w:t>情况</w:t>
            </w:r>
          </w:p>
        </w:tc>
        <w:tc>
          <w:tcPr>
            <w:tcW w:w="256" w:type="pct"/>
            <w:vMerge w:val="restart"/>
            <w:tcBorders>
              <w:bottom w:val="nil"/>
            </w:tcBorders>
            <w:noWrap w:val="0"/>
            <w:tcMar>
              <w:left w:w="0" w:type="dxa"/>
              <w:right w:w="0" w:type="dxa"/>
            </w:tcMar>
            <w:vAlign w:val="center"/>
          </w:tcPr>
          <w:p w14:paraId="2033760E">
            <w:pPr>
              <w:widowControl/>
              <w:adjustRightInd w:val="0"/>
              <w:snapToGrid w:val="0"/>
              <w:jc w:val="center"/>
              <w:textAlignment w:val="center"/>
              <w:rPr>
                <w:b/>
                <w:bCs/>
                <w:sz w:val="21"/>
                <w:szCs w:val="21"/>
              </w:rPr>
            </w:pPr>
            <w:r>
              <w:rPr>
                <w:b/>
                <w:bCs/>
                <w:sz w:val="21"/>
                <w:szCs w:val="21"/>
              </w:rPr>
              <w:t>排放形式</w:t>
            </w:r>
          </w:p>
        </w:tc>
        <w:tc>
          <w:tcPr>
            <w:tcW w:w="1019" w:type="pct"/>
            <w:gridSpan w:val="3"/>
            <w:noWrap w:val="0"/>
            <w:tcMar>
              <w:left w:w="0" w:type="dxa"/>
              <w:right w:w="0" w:type="dxa"/>
            </w:tcMar>
            <w:vAlign w:val="center"/>
          </w:tcPr>
          <w:p w14:paraId="185933E6">
            <w:pPr>
              <w:widowControl/>
              <w:adjustRightInd w:val="0"/>
              <w:snapToGrid w:val="0"/>
              <w:jc w:val="center"/>
              <w:textAlignment w:val="center"/>
              <w:rPr>
                <w:b/>
                <w:bCs/>
                <w:sz w:val="21"/>
                <w:szCs w:val="21"/>
              </w:rPr>
            </w:pPr>
            <w:r>
              <w:rPr>
                <w:b/>
                <w:bCs/>
                <w:sz w:val="21"/>
                <w:szCs w:val="21"/>
              </w:rPr>
              <w:t>治理设施</w:t>
            </w:r>
          </w:p>
        </w:tc>
        <w:tc>
          <w:tcPr>
            <w:tcW w:w="976" w:type="pct"/>
            <w:gridSpan w:val="3"/>
            <w:noWrap w:val="0"/>
            <w:tcMar>
              <w:left w:w="0" w:type="dxa"/>
              <w:right w:w="0" w:type="dxa"/>
            </w:tcMar>
            <w:vAlign w:val="center"/>
          </w:tcPr>
          <w:p w14:paraId="5E810152">
            <w:pPr>
              <w:widowControl/>
              <w:adjustRightInd w:val="0"/>
              <w:snapToGrid w:val="0"/>
              <w:jc w:val="center"/>
              <w:textAlignment w:val="center"/>
              <w:rPr>
                <w:b/>
                <w:bCs/>
                <w:sz w:val="21"/>
                <w:szCs w:val="21"/>
              </w:rPr>
            </w:pPr>
            <w:r>
              <w:rPr>
                <w:b/>
                <w:bCs/>
                <w:sz w:val="21"/>
                <w:szCs w:val="21"/>
              </w:rPr>
              <w:t>排放情况</w:t>
            </w:r>
          </w:p>
        </w:tc>
      </w:tr>
      <w:tr w14:paraId="50BC64D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40" w:hRule="atLeast"/>
          <w:jc w:val="center"/>
        </w:trPr>
        <w:tc>
          <w:tcPr>
            <w:tcW w:w="186" w:type="pct"/>
            <w:vMerge w:val="continue"/>
            <w:tcBorders>
              <w:bottom w:val="single" w:color="auto" w:sz="12" w:space="0"/>
            </w:tcBorders>
            <w:noWrap w:val="0"/>
            <w:vAlign w:val="center"/>
          </w:tcPr>
          <w:p w14:paraId="35C250F7">
            <w:pPr>
              <w:widowControl/>
              <w:adjustRightInd w:val="0"/>
              <w:snapToGrid w:val="0"/>
              <w:jc w:val="center"/>
              <w:textAlignment w:val="center"/>
              <w:rPr>
                <w:b/>
                <w:bCs/>
                <w:sz w:val="21"/>
                <w:szCs w:val="21"/>
              </w:rPr>
            </w:pPr>
          </w:p>
        </w:tc>
        <w:tc>
          <w:tcPr>
            <w:tcW w:w="334" w:type="pct"/>
            <w:vMerge w:val="continue"/>
            <w:tcBorders>
              <w:bottom w:val="single" w:color="auto" w:sz="12" w:space="0"/>
            </w:tcBorders>
            <w:noWrap w:val="0"/>
            <w:tcMar>
              <w:left w:w="0" w:type="dxa"/>
              <w:right w:w="0" w:type="dxa"/>
            </w:tcMar>
            <w:vAlign w:val="center"/>
          </w:tcPr>
          <w:p w14:paraId="63AFA961">
            <w:pPr>
              <w:widowControl/>
              <w:adjustRightInd w:val="0"/>
              <w:snapToGrid w:val="0"/>
              <w:jc w:val="center"/>
              <w:textAlignment w:val="center"/>
              <w:rPr>
                <w:b/>
                <w:bCs/>
                <w:sz w:val="21"/>
                <w:szCs w:val="21"/>
              </w:rPr>
            </w:pPr>
          </w:p>
        </w:tc>
        <w:tc>
          <w:tcPr>
            <w:tcW w:w="316" w:type="pct"/>
            <w:tcBorders>
              <w:bottom w:val="single" w:color="auto" w:sz="12" w:space="0"/>
            </w:tcBorders>
            <w:noWrap w:val="0"/>
            <w:tcMar>
              <w:left w:w="0" w:type="dxa"/>
              <w:right w:w="0" w:type="dxa"/>
            </w:tcMar>
            <w:vAlign w:val="center"/>
          </w:tcPr>
          <w:p w14:paraId="2859D087">
            <w:pPr>
              <w:widowControl/>
              <w:adjustRightInd w:val="0"/>
              <w:snapToGrid w:val="0"/>
              <w:jc w:val="center"/>
              <w:textAlignment w:val="center"/>
              <w:rPr>
                <w:b/>
                <w:bCs/>
                <w:sz w:val="21"/>
                <w:szCs w:val="21"/>
              </w:rPr>
            </w:pPr>
            <w:r>
              <w:rPr>
                <w:b/>
                <w:bCs/>
                <w:sz w:val="21"/>
                <w:szCs w:val="21"/>
              </w:rPr>
              <w:t>速率</w:t>
            </w:r>
          </w:p>
          <w:p w14:paraId="0B61E4A2">
            <w:pPr>
              <w:widowControl/>
              <w:adjustRightInd w:val="0"/>
              <w:snapToGrid w:val="0"/>
              <w:jc w:val="center"/>
              <w:textAlignment w:val="center"/>
              <w:rPr>
                <w:b/>
                <w:bCs/>
                <w:sz w:val="21"/>
                <w:szCs w:val="21"/>
              </w:rPr>
            </w:pPr>
            <w:r>
              <w:rPr>
                <w:b/>
                <w:bCs/>
                <w:sz w:val="21"/>
                <w:szCs w:val="21"/>
              </w:rPr>
              <w:t>kg/h</w:t>
            </w:r>
          </w:p>
        </w:tc>
        <w:tc>
          <w:tcPr>
            <w:tcW w:w="366" w:type="pct"/>
            <w:tcBorders>
              <w:bottom w:val="single" w:color="auto" w:sz="12" w:space="0"/>
            </w:tcBorders>
            <w:noWrap w:val="0"/>
            <w:tcMar>
              <w:left w:w="0" w:type="dxa"/>
              <w:right w:w="0" w:type="dxa"/>
            </w:tcMar>
            <w:vAlign w:val="center"/>
          </w:tcPr>
          <w:p w14:paraId="606A1D51">
            <w:pPr>
              <w:widowControl/>
              <w:adjustRightInd w:val="0"/>
              <w:snapToGrid w:val="0"/>
              <w:jc w:val="center"/>
              <w:textAlignment w:val="center"/>
              <w:rPr>
                <w:b/>
                <w:bCs/>
                <w:sz w:val="21"/>
                <w:szCs w:val="21"/>
              </w:rPr>
            </w:pPr>
            <w:r>
              <w:rPr>
                <w:b/>
                <w:bCs/>
                <w:sz w:val="21"/>
                <w:szCs w:val="21"/>
              </w:rPr>
              <w:t>产生量</w:t>
            </w:r>
          </w:p>
          <w:p w14:paraId="3BE8046A">
            <w:pPr>
              <w:widowControl/>
              <w:adjustRightInd w:val="0"/>
              <w:snapToGrid w:val="0"/>
              <w:jc w:val="center"/>
              <w:textAlignment w:val="center"/>
              <w:rPr>
                <w:b/>
                <w:bCs/>
                <w:sz w:val="21"/>
                <w:szCs w:val="21"/>
              </w:rPr>
            </w:pPr>
            <w:r>
              <w:rPr>
                <w:b/>
                <w:bCs/>
                <w:sz w:val="21"/>
                <w:szCs w:val="21"/>
              </w:rPr>
              <w:t>t/a</w:t>
            </w:r>
          </w:p>
        </w:tc>
        <w:tc>
          <w:tcPr>
            <w:tcW w:w="140" w:type="pct"/>
            <w:vMerge w:val="continue"/>
            <w:tcBorders>
              <w:bottom w:val="single" w:color="auto" w:sz="12" w:space="0"/>
            </w:tcBorders>
            <w:noWrap w:val="0"/>
            <w:tcMar>
              <w:left w:w="0" w:type="dxa"/>
              <w:right w:w="0" w:type="dxa"/>
            </w:tcMar>
            <w:vAlign w:val="center"/>
          </w:tcPr>
          <w:p w14:paraId="6E392458">
            <w:pPr>
              <w:widowControl/>
              <w:adjustRightInd w:val="0"/>
              <w:snapToGrid w:val="0"/>
              <w:jc w:val="center"/>
              <w:textAlignment w:val="center"/>
              <w:rPr>
                <w:b/>
                <w:bCs/>
                <w:sz w:val="21"/>
                <w:szCs w:val="21"/>
              </w:rPr>
            </w:pPr>
          </w:p>
        </w:tc>
        <w:tc>
          <w:tcPr>
            <w:tcW w:w="189" w:type="pct"/>
            <w:vMerge w:val="continue"/>
            <w:tcBorders>
              <w:bottom w:val="single" w:color="auto" w:sz="12" w:space="0"/>
            </w:tcBorders>
            <w:noWrap w:val="0"/>
            <w:tcMar>
              <w:left w:w="0" w:type="dxa"/>
              <w:right w:w="0" w:type="dxa"/>
            </w:tcMar>
            <w:vAlign w:val="center"/>
          </w:tcPr>
          <w:p w14:paraId="187CD58F">
            <w:pPr>
              <w:widowControl/>
              <w:adjustRightInd w:val="0"/>
              <w:snapToGrid w:val="0"/>
              <w:jc w:val="center"/>
              <w:textAlignment w:val="center"/>
              <w:rPr>
                <w:b/>
                <w:bCs/>
                <w:sz w:val="21"/>
                <w:szCs w:val="21"/>
              </w:rPr>
            </w:pPr>
          </w:p>
        </w:tc>
        <w:tc>
          <w:tcPr>
            <w:tcW w:w="338" w:type="pct"/>
            <w:tcBorders>
              <w:top w:val="single" w:color="auto" w:sz="4" w:space="0"/>
              <w:bottom w:val="single" w:color="auto" w:sz="12" w:space="0"/>
            </w:tcBorders>
            <w:noWrap w:val="0"/>
            <w:tcMar>
              <w:left w:w="0" w:type="dxa"/>
              <w:right w:w="0" w:type="dxa"/>
            </w:tcMar>
            <w:vAlign w:val="center"/>
          </w:tcPr>
          <w:p w14:paraId="4ACF7DBA">
            <w:pPr>
              <w:widowControl/>
              <w:adjustRightInd w:val="0"/>
              <w:snapToGrid w:val="0"/>
              <w:jc w:val="center"/>
              <w:textAlignment w:val="center"/>
              <w:rPr>
                <w:b/>
                <w:bCs/>
                <w:sz w:val="21"/>
                <w:szCs w:val="21"/>
              </w:rPr>
            </w:pPr>
            <w:r>
              <w:rPr>
                <w:b/>
                <w:bCs/>
                <w:sz w:val="21"/>
                <w:szCs w:val="21"/>
              </w:rPr>
              <w:t>浓度</w:t>
            </w:r>
          </w:p>
          <w:p w14:paraId="02FBC48D">
            <w:pPr>
              <w:widowControl/>
              <w:adjustRightInd w:val="0"/>
              <w:snapToGrid w:val="0"/>
              <w:jc w:val="center"/>
              <w:textAlignment w:val="center"/>
              <w:rPr>
                <w:b/>
                <w:bCs/>
                <w:sz w:val="21"/>
                <w:szCs w:val="21"/>
              </w:rPr>
            </w:pPr>
            <w:r>
              <w:rPr>
                <w:b/>
                <w:bCs/>
                <w:sz w:val="21"/>
                <w:szCs w:val="21"/>
              </w:rPr>
              <w:t>mg/m</w:t>
            </w:r>
            <w:r>
              <w:rPr>
                <w:b/>
                <w:bCs/>
                <w:sz w:val="21"/>
                <w:szCs w:val="21"/>
                <w:vertAlign w:val="superscript"/>
              </w:rPr>
              <w:t>3</w:t>
            </w:r>
          </w:p>
        </w:tc>
        <w:tc>
          <w:tcPr>
            <w:tcW w:w="338" w:type="pct"/>
            <w:tcBorders>
              <w:top w:val="single" w:color="auto" w:sz="4" w:space="0"/>
              <w:bottom w:val="single" w:color="auto" w:sz="12" w:space="0"/>
            </w:tcBorders>
            <w:noWrap w:val="0"/>
            <w:tcMar>
              <w:left w:w="0" w:type="dxa"/>
              <w:right w:w="0" w:type="dxa"/>
            </w:tcMar>
            <w:vAlign w:val="center"/>
          </w:tcPr>
          <w:p w14:paraId="78CA6169">
            <w:pPr>
              <w:widowControl/>
              <w:adjustRightInd w:val="0"/>
              <w:snapToGrid w:val="0"/>
              <w:jc w:val="center"/>
              <w:textAlignment w:val="center"/>
              <w:rPr>
                <w:b/>
                <w:bCs/>
                <w:sz w:val="21"/>
                <w:szCs w:val="21"/>
              </w:rPr>
            </w:pPr>
            <w:r>
              <w:rPr>
                <w:b/>
                <w:bCs/>
                <w:sz w:val="21"/>
                <w:szCs w:val="21"/>
              </w:rPr>
              <w:t>速率</w:t>
            </w:r>
          </w:p>
          <w:p w14:paraId="511D4C03">
            <w:pPr>
              <w:widowControl/>
              <w:adjustRightInd w:val="0"/>
              <w:snapToGrid w:val="0"/>
              <w:jc w:val="center"/>
              <w:textAlignment w:val="center"/>
              <w:rPr>
                <w:b/>
                <w:bCs/>
                <w:sz w:val="21"/>
                <w:szCs w:val="21"/>
              </w:rPr>
            </w:pPr>
            <w:r>
              <w:rPr>
                <w:b/>
                <w:bCs/>
                <w:sz w:val="21"/>
                <w:szCs w:val="21"/>
              </w:rPr>
              <w:t>kg/h</w:t>
            </w:r>
          </w:p>
        </w:tc>
        <w:tc>
          <w:tcPr>
            <w:tcW w:w="538" w:type="pct"/>
            <w:tcBorders>
              <w:top w:val="single" w:color="auto" w:sz="4" w:space="0"/>
              <w:bottom w:val="single" w:color="auto" w:sz="12" w:space="0"/>
            </w:tcBorders>
            <w:noWrap w:val="0"/>
            <w:tcMar>
              <w:left w:w="0" w:type="dxa"/>
              <w:right w:w="0" w:type="dxa"/>
            </w:tcMar>
            <w:vAlign w:val="center"/>
          </w:tcPr>
          <w:p w14:paraId="176CDA21">
            <w:pPr>
              <w:widowControl/>
              <w:adjustRightInd w:val="0"/>
              <w:snapToGrid w:val="0"/>
              <w:jc w:val="center"/>
              <w:textAlignment w:val="center"/>
              <w:rPr>
                <w:b/>
                <w:bCs/>
                <w:sz w:val="21"/>
                <w:szCs w:val="21"/>
              </w:rPr>
            </w:pPr>
            <w:r>
              <w:rPr>
                <w:b/>
                <w:bCs/>
                <w:sz w:val="21"/>
                <w:szCs w:val="21"/>
              </w:rPr>
              <w:t>产生量</w:t>
            </w:r>
          </w:p>
          <w:p w14:paraId="56150808">
            <w:pPr>
              <w:widowControl/>
              <w:adjustRightInd w:val="0"/>
              <w:snapToGrid w:val="0"/>
              <w:jc w:val="center"/>
              <w:textAlignment w:val="center"/>
              <w:rPr>
                <w:b/>
                <w:bCs/>
                <w:sz w:val="21"/>
                <w:szCs w:val="21"/>
              </w:rPr>
            </w:pPr>
            <w:r>
              <w:rPr>
                <w:b/>
                <w:bCs/>
                <w:sz w:val="21"/>
                <w:szCs w:val="21"/>
              </w:rPr>
              <w:t>t/a</w:t>
            </w:r>
          </w:p>
        </w:tc>
        <w:tc>
          <w:tcPr>
            <w:tcW w:w="256" w:type="pct"/>
            <w:vMerge w:val="continue"/>
            <w:tcBorders>
              <w:top w:val="nil"/>
              <w:bottom w:val="single" w:color="auto" w:sz="12" w:space="0"/>
            </w:tcBorders>
            <w:noWrap w:val="0"/>
            <w:tcMar>
              <w:left w:w="0" w:type="dxa"/>
              <w:right w:w="0" w:type="dxa"/>
            </w:tcMar>
            <w:vAlign w:val="center"/>
          </w:tcPr>
          <w:p w14:paraId="547FC261">
            <w:pPr>
              <w:widowControl/>
              <w:adjustRightInd w:val="0"/>
              <w:snapToGrid w:val="0"/>
              <w:jc w:val="center"/>
              <w:textAlignment w:val="center"/>
              <w:rPr>
                <w:b/>
                <w:bCs/>
                <w:sz w:val="21"/>
                <w:szCs w:val="21"/>
              </w:rPr>
            </w:pPr>
          </w:p>
        </w:tc>
        <w:tc>
          <w:tcPr>
            <w:tcW w:w="468" w:type="pct"/>
            <w:tcBorders>
              <w:bottom w:val="single" w:color="auto" w:sz="12" w:space="0"/>
            </w:tcBorders>
            <w:noWrap w:val="0"/>
            <w:tcMar>
              <w:left w:w="0" w:type="dxa"/>
              <w:right w:w="0" w:type="dxa"/>
            </w:tcMar>
            <w:vAlign w:val="center"/>
          </w:tcPr>
          <w:p w14:paraId="0D293EFC">
            <w:pPr>
              <w:widowControl/>
              <w:adjustRightInd w:val="0"/>
              <w:snapToGrid w:val="0"/>
              <w:jc w:val="center"/>
              <w:textAlignment w:val="center"/>
              <w:rPr>
                <w:b/>
                <w:bCs/>
                <w:sz w:val="21"/>
                <w:szCs w:val="21"/>
              </w:rPr>
            </w:pPr>
            <w:r>
              <w:rPr>
                <w:b/>
                <w:bCs/>
                <w:sz w:val="21"/>
                <w:szCs w:val="21"/>
              </w:rPr>
              <w:t>处理能力</w:t>
            </w:r>
            <w:r>
              <w:rPr>
                <w:rFonts w:hint="eastAsia"/>
                <w:b/>
                <w:bCs/>
                <w:sz w:val="21"/>
                <w:szCs w:val="21"/>
              </w:rPr>
              <w:t>及风量</w:t>
            </w:r>
          </w:p>
        </w:tc>
        <w:tc>
          <w:tcPr>
            <w:tcW w:w="293" w:type="pct"/>
            <w:tcBorders>
              <w:bottom w:val="single" w:color="auto" w:sz="12" w:space="0"/>
            </w:tcBorders>
            <w:noWrap w:val="0"/>
            <w:tcMar>
              <w:left w:w="0" w:type="dxa"/>
              <w:right w:w="0" w:type="dxa"/>
            </w:tcMar>
            <w:vAlign w:val="center"/>
          </w:tcPr>
          <w:p w14:paraId="4DBB3653">
            <w:pPr>
              <w:widowControl/>
              <w:adjustRightInd w:val="0"/>
              <w:snapToGrid w:val="0"/>
              <w:jc w:val="center"/>
              <w:textAlignment w:val="center"/>
              <w:rPr>
                <w:b/>
                <w:bCs/>
                <w:sz w:val="21"/>
                <w:szCs w:val="21"/>
              </w:rPr>
            </w:pPr>
            <w:r>
              <w:rPr>
                <w:b/>
                <w:bCs/>
                <w:sz w:val="21"/>
                <w:szCs w:val="21"/>
              </w:rPr>
              <w:t>治理工艺去除率%</w:t>
            </w:r>
          </w:p>
        </w:tc>
        <w:tc>
          <w:tcPr>
            <w:tcW w:w="257" w:type="pct"/>
            <w:tcBorders>
              <w:bottom w:val="single" w:color="auto" w:sz="12" w:space="0"/>
            </w:tcBorders>
            <w:noWrap w:val="0"/>
            <w:tcMar>
              <w:left w:w="0" w:type="dxa"/>
              <w:right w:w="0" w:type="dxa"/>
            </w:tcMar>
            <w:vAlign w:val="center"/>
          </w:tcPr>
          <w:p w14:paraId="62C8AA38">
            <w:pPr>
              <w:widowControl/>
              <w:adjustRightInd w:val="0"/>
              <w:snapToGrid w:val="0"/>
              <w:jc w:val="center"/>
              <w:textAlignment w:val="center"/>
              <w:rPr>
                <w:b/>
                <w:bCs/>
                <w:sz w:val="21"/>
                <w:szCs w:val="21"/>
              </w:rPr>
            </w:pPr>
            <w:r>
              <w:rPr>
                <w:b/>
                <w:bCs/>
                <w:sz w:val="21"/>
                <w:szCs w:val="21"/>
              </w:rPr>
              <w:t>是否为可行技术</w:t>
            </w:r>
          </w:p>
        </w:tc>
        <w:tc>
          <w:tcPr>
            <w:tcW w:w="285" w:type="pct"/>
            <w:tcBorders>
              <w:bottom w:val="single" w:color="auto" w:sz="12" w:space="0"/>
            </w:tcBorders>
            <w:noWrap w:val="0"/>
            <w:tcMar>
              <w:left w:w="0" w:type="dxa"/>
              <w:right w:w="0" w:type="dxa"/>
            </w:tcMar>
            <w:vAlign w:val="center"/>
          </w:tcPr>
          <w:p w14:paraId="642FC22F">
            <w:pPr>
              <w:widowControl/>
              <w:adjustRightInd w:val="0"/>
              <w:snapToGrid w:val="0"/>
              <w:jc w:val="center"/>
              <w:textAlignment w:val="center"/>
              <w:rPr>
                <w:b/>
                <w:bCs/>
                <w:sz w:val="21"/>
                <w:szCs w:val="21"/>
              </w:rPr>
            </w:pPr>
            <w:r>
              <w:rPr>
                <w:b/>
                <w:bCs/>
                <w:sz w:val="21"/>
                <w:szCs w:val="21"/>
              </w:rPr>
              <w:t>浓度</w:t>
            </w:r>
          </w:p>
          <w:p w14:paraId="258B77CA">
            <w:pPr>
              <w:widowControl/>
              <w:adjustRightInd w:val="0"/>
              <w:snapToGrid w:val="0"/>
              <w:jc w:val="center"/>
              <w:textAlignment w:val="center"/>
              <w:rPr>
                <w:b/>
                <w:bCs/>
                <w:sz w:val="21"/>
                <w:szCs w:val="21"/>
              </w:rPr>
            </w:pPr>
            <w:r>
              <w:rPr>
                <w:b/>
                <w:bCs/>
                <w:sz w:val="21"/>
                <w:szCs w:val="21"/>
              </w:rPr>
              <w:t>mg/ m</w:t>
            </w:r>
            <w:r>
              <w:rPr>
                <w:b/>
                <w:bCs/>
                <w:sz w:val="21"/>
                <w:szCs w:val="21"/>
                <w:vertAlign w:val="superscript"/>
              </w:rPr>
              <w:t>3</w:t>
            </w:r>
          </w:p>
        </w:tc>
        <w:tc>
          <w:tcPr>
            <w:tcW w:w="366" w:type="pct"/>
            <w:tcBorders>
              <w:bottom w:val="single" w:color="auto" w:sz="12" w:space="0"/>
            </w:tcBorders>
            <w:noWrap w:val="0"/>
            <w:tcMar>
              <w:left w:w="0" w:type="dxa"/>
              <w:right w:w="0" w:type="dxa"/>
            </w:tcMar>
            <w:vAlign w:val="center"/>
          </w:tcPr>
          <w:p w14:paraId="79B218D7">
            <w:pPr>
              <w:widowControl/>
              <w:adjustRightInd w:val="0"/>
              <w:snapToGrid w:val="0"/>
              <w:jc w:val="center"/>
              <w:textAlignment w:val="center"/>
              <w:rPr>
                <w:b/>
                <w:bCs/>
                <w:sz w:val="21"/>
                <w:szCs w:val="21"/>
              </w:rPr>
            </w:pPr>
            <w:r>
              <w:rPr>
                <w:b/>
                <w:bCs/>
                <w:sz w:val="21"/>
                <w:szCs w:val="21"/>
              </w:rPr>
              <w:t>速率</w:t>
            </w:r>
          </w:p>
          <w:p w14:paraId="1223575D">
            <w:pPr>
              <w:widowControl/>
              <w:adjustRightInd w:val="0"/>
              <w:snapToGrid w:val="0"/>
              <w:jc w:val="center"/>
              <w:textAlignment w:val="center"/>
              <w:rPr>
                <w:b/>
                <w:bCs/>
                <w:sz w:val="21"/>
                <w:szCs w:val="21"/>
              </w:rPr>
            </w:pPr>
            <w:r>
              <w:rPr>
                <w:b/>
                <w:bCs/>
                <w:sz w:val="21"/>
                <w:szCs w:val="21"/>
              </w:rPr>
              <w:t>kg/h</w:t>
            </w:r>
          </w:p>
        </w:tc>
        <w:tc>
          <w:tcPr>
            <w:tcW w:w="325" w:type="pct"/>
            <w:tcBorders>
              <w:bottom w:val="single" w:color="auto" w:sz="12" w:space="0"/>
            </w:tcBorders>
            <w:noWrap w:val="0"/>
            <w:tcMar>
              <w:left w:w="0" w:type="dxa"/>
              <w:right w:w="0" w:type="dxa"/>
            </w:tcMar>
            <w:vAlign w:val="center"/>
          </w:tcPr>
          <w:p w14:paraId="7EA638E6">
            <w:pPr>
              <w:widowControl/>
              <w:adjustRightInd w:val="0"/>
              <w:snapToGrid w:val="0"/>
              <w:jc w:val="center"/>
              <w:textAlignment w:val="center"/>
              <w:rPr>
                <w:b/>
                <w:bCs/>
                <w:sz w:val="21"/>
                <w:szCs w:val="21"/>
              </w:rPr>
            </w:pPr>
            <w:r>
              <w:rPr>
                <w:b/>
                <w:bCs/>
                <w:sz w:val="21"/>
                <w:szCs w:val="21"/>
              </w:rPr>
              <w:t>排放量t/a</w:t>
            </w:r>
          </w:p>
        </w:tc>
      </w:tr>
      <w:tr w14:paraId="2BD8814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40" w:hRule="atLeast"/>
          <w:jc w:val="center"/>
        </w:trPr>
        <w:tc>
          <w:tcPr>
            <w:tcW w:w="186" w:type="pct"/>
            <w:vMerge w:val="restart"/>
            <w:tcBorders>
              <w:top w:val="single" w:color="auto" w:sz="12" w:space="0"/>
            </w:tcBorders>
            <w:noWrap w:val="0"/>
            <w:vAlign w:val="center"/>
          </w:tcPr>
          <w:p w14:paraId="64BFC5E4">
            <w:pPr>
              <w:jc w:val="center"/>
              <w:rPr>
                <w:rFonts w:hint="eastAsia"/>
                <w:sz w:val="21"/>
                <w:szCs w:val="21"/>
                <w:lang w:val="en-US" w:eastAsia="zh-CN"/>
              </w:rPr>
            </w:pPr>
            <w:r>
              <w:rPr>
                <w:rFonts w:hint="eastAsia"/>
                <w:sz w:val="21"/>
                <w:szCs w:val="21"/>
                <w:lang w:val="en-US" w:eastAsia="zh-CN"/>
              </w:rPr>
              <w:t>拉毛、刷呢、剪毛、烫光、摇粒、</w:t>
            </w:r>
          </w:p>
          <w:p w14:paraId="65AF48B3">
            <w:pPr>
              <w:jc w:val="center"/>
              <w:rPr>
                <w:sz w:val="21"/>
                <w:szCs w:val="21"/>
              </w:rPr>
            </w:pPr>
            <w:r>
              <w:rPr>
                <w:rFonts w:hint="eastAsia"/>
                <w:sz w:val="21"/>
                <w:szCs w:val="21"/>
              </w:rPr>
              <w:t>定型</w:t>
            </w:r>
            <w:r>
              <w:rPr>
                <w:rFonts w:hint="eastAsia"/>
                <w:sz w:val="21"/>
                <w:szCs w:val="21"/>
                <w:lang w:eastAsia="zh-CN"/>
              </w:rPr>
              <w:t>、</w:t>
            </w:r>
            <w:r>
              <w:rPr>
                <w:rFonts w:hint="eastAsia"/>
                <w:sz w:val="21"/>
                <w:szCs w:val="21"/>
                <w:lang w:val="en-US" w:eastAsia="zh-CN"/>
              </w:rPr>
              <w:t>蒸呢废气</w:t>
            </w:r>
          </w:p>
        </w:tc>
        <w:tc>
          <w:tcPr>
            <w:tcW w:w="334" w:type="pct"/>
            <w:tcBorders>
              <w:top w:val="single" w:color="auto" w:sz="12" w:space="0"/>
              <w:bottom w:val="single" w:color="auto" w:sz="4" w:space="0"/>
            </w:tcBorders>
            <w:noWrap w:val="0"/>
            <w:tcMar>
              <w:left w:w="0" w:type="dxa"/>
              <w:right w:w="0" w:type="dxa"/>
            </w:tcMar>
            <w:vAlign w:val="center"/>
          </w:tcPr>
          <w:p w14:paraId="46441BE1">
            <w:pPr>
              <w:jc w:val="center"/>
              <w:rPr>
                <w:rFonts w:hint="eastAsia" w:eastAsia="宋体"/>
                <w:sz w:val="21"/>
                <w:szCs w:val="21"/>
                <w:lang w:val="en-US" w:eastAsia="zh-CN"/>
              </w:rPr>
            </w:pPr>
            <w:r>
              <w:rPr>
                <w:rFonts w:hint="eastAsia"/>
                <w:sz w:val="21"/>
                <w:szCs w:val="21"/>
                <w:lang w:val="en-US" w:eastAsia="zh-CN"/>
              </w:rPr>
              <w:t>颗粒物</w:t>
            </w:r>
          </w:p>
        </w:tc>
        <w:tc>
          <w:tcPr>
            <w:tcW w:w="316" w:type="pct"/>
            <w:tcBorders>
              <w:top w:val="single" w:color="auto" w:sz="12" w:space="0"/>
              <w:bottom w:val="single" w:color="auto" w:sz="4" w:space="0"/>
            </w:tcBorders>
            <w:noWrap w:val="0"/>
            <w:tcMar>
              <w:left w:w="0" w:type="dxa"/>
              <w:right w:w="0" w:type="dxa"/>
            </w:tcMar>
            <w:vAlign w:val="center"/>
          </w:tcPr>
          <w:p w14:paraId="54C47A5E">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1.069</w:t>
            </w:r>
          </w:p>
        </w:tc>
        <w:tc>
          <w:tcPr>
            <w:tcW w:w="366" w:type="pct"/>
            <w:tcBorders>
              <w:top w:val="single" w:color="auto" w:sz="12" w:space="0"/>
              <w:bottom w:val="single" w:color="auto" w:sz="4" w:space="0"/>
            </w:tcBorders>
            <w:noWrap w:val="0"/>
            <w:tcMar>
              <w:left w:w="0" w:type="dxa"/>
              <w:right w:w="0" w:type="dxa"/>
            </w:tcMar>
            <w:vAlign w:val="center"/>
          </w:tcPr>
          <w:p w14:paraId="17B25FFB">
            <w:pPr>
              <w:keepNext w:val="0"/>
              <w:keepLines w:val="0"/>
              <w:widowControl/>
              <w:suppressLineNumbers w:val="0"/>
              <w:jc w:val="center"/>
              <w:textAlignment w:val="center"/>
              <w:rPr>
                <w:rFonts w:hint="default"/>
                <w:kern w:val="0"/>
                <w:sz w:val="21"/>
                <w:szCs w:val="21"/>
                <w:lang w:val="en-US" w:eastAsia="zh-CN" w:bidi="ar"/>
              </w:rPr>
            </w:pPr>
            <w:r>
              <w:rPr>
                <w:rFonts w:hint="eastAsia"/>
                <w:kern w:val="0"/>
                <w:sz w:val="21"/>
                <w:szCs w:val="21"/>
                <w:lang w:val="en-US" w:eastAsia="zh-CN" w:bidi="ar"/>
              </w:rPr>
              <w:t>7.7</w:t>
            </w:r>
          </w:p>
        </w:tc>
        <w:tc>
          <w:tcPr>
            <w:tcW w:w="140" w:type="pct"/>
            <w:tcBorders>
              <w:top w:val="single" w:color="auto" w:sz="12" w:space="0"/>
              <w:bottom w:val="single" w:color="auto" w:sz="4" w:space="0"/>
            </w:tcBorders>
            <w:noWrap w:val="0"/>
            <w:tcMar>
              <w:left w:w="0" w:type="dxa"/>
              <w:right w:w="0" w:type="dxa"/>
            </w:tcMar>
            <w:vAlign w:val="center"/>
          </w:tcPr>
          <w:p w14:paraId="15B0DF4C">
            <w:pPr>
              <w:widowControl/>
              <w:jc w:val="center"/>
              <w:textAlignment w:val="center"/>
              <w:rPr>
                <w:rFonts w:hint="default"/>
                <w:sz w:val="21"/>
                <w:szCs w:val="21"/>
                <w:lang w:val="en-US" w:eastAsia="zh-CN"/>
              </w:rPr>
            </w:pPr>
            <w:r>
              <w:rPr>
                <w:rFonts w:hint="eastAsia"/>
                <w:sz w:val="21"/>
                <w:szCs w:val="21"/>
                <w:lang w:val="en-US" w:eastAsia="zh-CN"/>
              </w:rPr>
              <w:t>封闭车间+集气罩</w:t>
            </w:r>
          </w:p>
        </w:tc>
        <w:tc>
          <w:tcPr>
            <w:tcW w:w="189" w:type="pct"/>
            <w:tcBorders>
              <w:top w:val="single" w:color="auto" w:sz="12" w:space="0"/>
              <w:bottom w:val="single" w:color="auto" w:sz="4" w:space="0"/>
            </w:tcBorders>
            <w:noWrap w:val="0"/>
            <w:tcMar>
              <w:left w:w="0" w:type="dxa"/>
              <w:right w:w="0" w:type="dxa"/>
            </w:tcMar>
            <w:vAlign w:val="center"/>
          </w:tcPr>
          <w:p w14:paraId="675E7EBD">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99</w:t>
            </w:r>
          </w:p>
        </w:tc>
        <w:tc>
          <w:tcPr>
            <w:tcW w:w="338" w:type="pct"/>
            <w:tcBorders>
              <w:top w:val="single" w:color="auto" w:sz="12" w:space="0"/>
              <w:bottom w:val="single" w:color="auto" w:sz="4" w:space="0"/>
            </w:tcBorders>
            <w:noWrap w:val="0"/>
            <w:tcMar>
              <w:left w:w="0" w:type="dxa"/>
              <w:right w:w="0" w:type="dxa"/>
            </w:tcMar>
            <w:vAlign w:val="center"/>
          </w:tcPr>
          <w:p w14:paraId="54169C0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44.125</w:t>
            </w:r>
          </w:p>
        </w:tc>
        <w:tc>
          <w:tcPr>
            <w:tcW w:w="338" w:type="pct"/>
            <w:tcBorders>
              <w:top w:val="single" w:color="auto" w:sz="12" w:space="0"/>
              <w:bottom w:val="single" w:color="auto" w:sz="4" w:space="0"/>
            </w:tcBorders>
            <w:noWrap w:val="0"/>
            <w:tcMar>
              <w:left w:w="0" w:type="dxa"/>
              <w:right w:w="0" w:type="dxa"/>
            </w:tcMar>
            <w:vAlign w:val="center"/>
          </w:tcPr>
          <w:p w14:paraId="536CA61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1.059</w:t>
            </w:r>
          </w:p>
        </w:tc>
        <w:tc>
          <w:tcPr>
            <w:tcW w:w="538" w:type="pct"/>
            <w:tcBorders>
              <w:top w:val="single" w:color="auto" w:sz="12" w:space="0"/>
              <w:bottom w:val="single" w:color="auto" w:sz="4" w:space="0"/>
            </w:tcBorders>
            <w:noWrap w:val="0"/>
            <w:tcMar>
              <w:left w:w="0" w:type="dxa"/>
              <w:right w:w="0" w:type="dxa"/>
            </w:tcMar>
            <w:vAlign w:val="center"/>
          </w:tcPr>
          <w:p w14:paraId="0F6EEF9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7.623</w:t>
            </w:r>
          </w:p>
        </w:tc>
        <w:tc>
          <w:tcPr>
            <w:tcW w:w="256" w:type="pct"/>
            <w:vMerge w:val="restart"/>
            <w:tcBorders>
              <w:top w:val="single" w:color="auto" w:sz="12" w:space="0"/>
              <w:bottom w:val="single" w:color="auto" w:sz="4" w:space="0"/>
            </w:tcBorders>
            <w:noWrap w:val="0"/>
            <w:tcMar>
              <w:left w:w="0" w:type="dxa"/>
              <w:right w:w="0" w:type="dxa"/>
            </w:tcMar>
            <w:vAlign w:val="center"/>
          </w:tcPr>
          <w:p w14:paraId="34DA8DBA">
            <w:pPr>
              <w:widowControl/>
              <w:jc w:val="center"/>
              <w:textAlignment w:val="center"/>
              <w:rPr>
                <w:kern w:val="0"/>
                <w:sz w:val="21"/>
                <w:szCs w:val="21"/>
                <w:lang w:bidi="ar"/>
              </w:rPr>
            </w:pPr>
            <w:r>
              <w:rPr>
                <w:rFonts w:hint="eastAsia"/>
                <w:kern w:val="0"/>
                <w:sz w:val="21"/>
                <w:szCs w:val="21"/>
                <w:lang w:bidi="ar"/>
              </w:rPr>
              <w:t>有组织</w:t>
            </w:r>
          </w:p>
        </w:tc>
        <w:tc>
          <w:tcPr>
            <w:tcW w:w="468" w:type="pct"/>
            <w:tcBorders>
              <w:top w:val="single" w:color="auto" w:sz="12" w:space="0"/>
              <w:bottom w:val="single" w:color="auto" w:sz="4" w:space="0"/>
            </w:tcBorders>
            <w:noWrap w:val="0"/>
            <w:tcMar>
              <w:left w:w="0" w:type="dxa"/>
              <w:right w:w="0" w:type="dxa"/>
            </w:tcMar>
            <w:vAlign w:val="center"/>
          </w:tcPr>
          <w:p w14:paraId="3DCEBAD8">
            <w:pPr>
              <w:widowControl/>
              <w:jc w:val="center"/>
              <w:textAlignment w:val="center"/>
              <w:rPr>
                <w:rFonts w:hint="eastAsia"/>
                <w:kern w:val="0"/>
                <w:sz w:val="21"/>
                <w:szCs w:val="21"/>
                <w:lang w:bidi="ar"/>
              </w:rPr>
            </w:pPr>
            <w:r>
              <w:rPr>
                <w:rFonts w:hint="eastAsia"/>
                <w:kern w:val="0"/>
                <w:sz w:val="21"/>
                <w:szCs w:val="21"/>
                <w:lang w:val="en-US" w:eastAsia="zh-CN" w:bidi="ar"/>
              </w:rPr>
              <w:t>布袋除尘</w:t>
            </w:r>
            <w:r>
              <w:rPr>
                <w:rFonts w:hint="eastAsia"/>
                <w:kern w:val="0"/>
                <w:sz w:val="21"/>
                <w:szCs w:val="21"/>
                <w:lang w:bidi="ar"/>
              </w:rPr>
              <w:t>，</w:t>
            </w:r>
            <w:r>
              <w:rPr>
                <w:rFonts w:hint="eastAsia"/>
                <w:bCs/>
                <w:iCs/>
                <w:snapToGrid w:val="0"/>
                <w:spacing w:val="-4"/>
                <w:kern w:val="0"/>
                <w:sz w:val="21"/>
                <w:szCs w:val="21"/>
                <w:lang w:val="en-US" w:eastAsia="zh-CN" w:bidi="en-US"/>
              </w:rPr>
              <w:t>240</w:t>
            </w:r>
            <w:r>
              <w:rPr>
                <w:rFonts w:hint="eastAsia"/>
                <w:bCs/>
                <w:iCs/>
                <w:snapToGrid w:val="0"/>
                <w:spacing w:val="-4"/>
                <w:kern w:val="0"/>
                <w:sz w:val="21"/>
                <w:szCs w:val="21"/>
                <w:lang w:bidi="en-US"/>
              </w:rPr>
              <w:t>00</w:t>
            </w:r>
            <w:r>
              <w:rPr>
                <w:sz w:val="21"/>
                <w:szCs w:val="21"/>
              </w:rPr>
              <w:t>m</w:t>
            </w:r>
            <w:r>
              <w:rPr>
                <w:sz w:val="21"/>
                <w:szCs w:val="21"/>
                <w:vertAlign w:val="superscript"/>
              </w:rPr>
              <w:t>3</w:t>
            </w:r>
            <w:r>
              <w:rPr>
                <w:sz w:val="21"/>
                <w:szCs w:val="21"/>
              </w:rPr>
              <w:t>/h</w:t>
            </w:r>
          </w:p>
        </w:tc>
        <w:tc>
          <w:tcPr>
            <w:tcW w:w="293" w:type="pct"/>
            <w:tcBorders>
              <w:top w:val="single" w:color="auto" w:sz="12" w:space="0"/>
              <w:bottom w:val="single" w:color="auto" w:sz="4" w:space="0"/>
            </w:tcBorders>
            <w:noWrap w:val="0"/>
            <w:tcMar>
              <w:left w:w="0" w:type="dxa"/>
              <w:right w:w="0" w:type="dxa"/>
            </w:tcMar>
            <w:vAlign w:val="center"/>
          </w:tcPr>
          <w:p w14:paraId="637129FC">
            <w:pPr>
              <w:widowControl/>
              <w:jc w:val="center"/>
              <w:textAlignment w:val="center"/>
              <w:rPr>
                <w:rFonts w:hint="default"/>
                <w:kern w:val="0"/>
                <w:sz w:val="21"/>
                <w:szCs w:val="21"/>
                <w:lang w:val="en-US" w:eastAsia="zh-CN" w:bidi="ar"/>
              </w:rPr>
            </w:pPr>
            <w:r>
              <w:rPr>
                <w:rFonts w:hint="eastAsia"/>
                <w:kern w:val="0"/>
                <w:sz w:val="21"/>
                <w:szCs w:val="21"/>
                <w:lang w:val="en-US" w:eastAsia="zh-CN" w:bidi="ar"/>
              </w:rPr>
              <w:t>99</w:t>
            </w:r>
          </w:p>
        </w:tc>
        <w:tc>
          <w:tcPr>
            <w:tcW w:w="257" w:type="pct"/>
            <w:tcBorders>
              <w:top w:val="single" w:color="auto" w:sz="12" w:space="0"/>
              <w:bottom w:val="single" w:color="auto" w:sz="4" w:space="0"/>
            </w:tcBorders>
            <w:noWrap w:val="0"/>
            <w:tcMar>
              <w:left w:w="0" w:type="dxa"/>
              <w:right w:w="0" w:type="dxa"/>
            </w:tcMar>
            <w:vAlign w:val="center"/>
          </w:tcPr>
          <w:p w14:paraId="1BFD1C34">
            <w:pPr>
              <w:widowControl/>
              <w:jc w:val="center"/>
              <w:textAlignment w:val="center"/>
              <w:rPr>
                <w:rFonts w:hint="eastAsia" w:eastAsia="宋体"/>
                <w:kern w:val="0"/>
                <w:sz w:val="21"/>
                <w:szCs w:val="21"/>
                <w:lang w:val="en-US" w:eastAsia="zh-CN" w:bidi="ar"/>
              </w:rPr>
            </w:pPr>
            <w:r>
              <w:rPr>
                <w:rFonts w:hint="eastAsia"/>
                <w:kern w:val="0"/>
                <w:sz w:val="21"/>
                <w:szCs w:val="21"/>
                <w:lang w:val="en-US" w:eastAsia="zh-CN" w:bidi="ar"/>
              </w:rPr>
              <w:t>是</w:t>
            </w:r>
          </w:p>
        </w:tc>
        <w:tc>
          <w:tcPr>
            <w:tcW w:w="285" w:type="pct"/>
            <w:vMerge w:val="restart"/>
            <w:tcBorders>
              <w:top w:val="single" w:color="auto" w:sz="12" w:space="0"/>
            </w:tcBorders>
            <w:noWrap w:val="0"/>
            <w:tcMar>
              <w:left w:w="0" w:type="dxa"/>
              <w:right w:w="0" w:type="dxa"/>
            </w:tcMar>
            <w:vAlign w:val="center"/>
          </w:tcPr>
          <w:p w14:paraId="50376E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0.712</w:t>
            </w:r>
          </w:p>
        </w:tc>
        <w:tc>
          <w:tcPr>
            <w:tcW w:w="366" w:type="pct"/>
            <w:vMerge w:val="restart"/>
            <w:tcBorders>
              <w:top w:val="single" w:color="auto" w:sz="12" w:space="0"/>
            </w:tcBorders>
            <w:noWrap w:val="0"/>
            <w:tcMar>
              <w:left w:w="0" w:type="dxa"/>
              <w:right w:w="0" w:type="dxa"/>
            </w:tcMar>
            <w:vAlign w:val="center"/>
          </w:tcPr>
          <w:p w14:paraId="21D51F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0.0165</w:t>
            </w:r>
          </w:p>
        </w:tc>
        <w:tc>
          <w:tcPr>
            <w:tcW w:w="325" w:type="pct"/>
            <w:vMerge w:val="restart"/>
            <w:tcBorders>
              <w:top w:val="single" w:color="auto" w:sz="12" w:space="0"/>
            </w:tcBorders>
            <w:noWrap w:val="0"/>
            <w:tcMar>
              <w:left w:w="0" w:type="dxa"/>
              <w:right w:w="0" w:type="dxa"/>
            </w:tcMar>
            <w:vAlign w:val="center"/>
          </w:tcPr>
          <w:p w14:paraId="403BFC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0.123</w:t>
            </w:r>
          </w:p>
        </w:tc>
      </w:tr>
      <w:tr w14:paraId="7FCC149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40" w:hRule="atLeast"/>
          <w:jc w:val="center"/>
        </w:trPr>
        <w:tc>
          <w:tcPr>
            <w:tcW w:w="186" w:type="pct"/>
            <w:vMerge w:val="continue"/>
            <w:noWrap w:val="0"/>
            <w:vAlign w:val="center"/>
          </w:tcPr>
          <w:p w14:paraId="1CF4E463">
            <w:pPr>
              <w:jc w:val="center"/>
              <w:rPr>
                <w:sz w:val="21"/>
                <w:szCs w:val="21"/>
              </w:rPr>
            </w:pPr>
          </w:p>
        </w:tc>
        <w:tc>
          <w:tcPr>
            <w:tcW w:w="334" w:type="pct"/>
            <w:tcBorders>
              <w:top w:val="single" w:color="auto" w:sz="4" w:space="0"/>
              <w:bottom w:val="single" w:color="auto" w:sz="12" w:space="0"/>
            </w:tcBorders>
            <w:noWrap w:val="0"/>
            <w:tcMar>
              <w:left w:w="0" w:type="dxa"/>
              <w:right w:w="0" w:type="dxa"/>
            </w:tcMar>
            <w:vAlign w:val="center"/>
          </w:tcPr>
          <w:p w14:paraId="2C533324">
            <w:pPr>
              <w:jc w:val="center"/>
              <w:rPr>
                <w:rFonts w:hint="eastAsia"/>
                <w:sz w:val="21"/>
                <w:szCs w:val="21"/>
              </w:rPr>
            </w:pPr>
            <w:r>
              <w:rPr>
                <w:sz w:val="21"/>
                <w:szCs w:val="21"/>
              </w:rPr>
              <w:t>颗粒物</w:t>
            </w:r>
          </w:p>
        </w:tc>
        <w:tc>
          <w:tcPr>
            <w:tcW w:w="316" w:type="pct"/>
            <w:tcBorders>
              <w:top w:val="single" w:color="auto" w:sz="4" w:space="0"/>
              <w:bottom w:val="single" w:color="auto" w:sz="12" w:space="0"/>
            </w:tcBorders>
            <w:noWrap w:val="0"/>
            <w:tcMar>
              <w:left w:w="0" w:type="dxa"/>
              <w:right w:w="0" w:type="dxa"/>
            </w:tcMar>
            <w:vAlign w:val="center"/>
          </w:tcPr>
          <w:p w14:paraId="0BD3A726">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0.034</w:t>
            </w:r>
          </w:p>
        </w:tc>
        <w:tc>
          <w:tcPr>
            <w:tcW w:w="366" w:type="pct"/>
            <w:tcBorders>
              <w:top w:val="single" w:color="auto" w:sz="4" w:space="0"/>
              <w:bottom w:val="single" w:color="auto" w:sz="12" w:space="0"/>
            </w:tcBorders>
            <w:noWrap w:val="0"/>
            <w:tcMar>
              <w:left w:w="0" w:type="dxa"/>
              <w:right w:w="0" w:type="dxa"/>
            </w:tcMar>
            <w:vAlign w:val="center"/>
          </w:tcPr>
          <w:p w14:paraId="2766CF60">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0.246</w:t>
            </w:r>
          </w:p>
        </w:tc>
        <w:tc>
          <w:tcPr>
            <w:tcW w:w="140" w:type="pct"/>
            <w:tcBorders>
              <w:top w:val="single" w:color="auto" w:sz="4" w:space="0"/>
              <w:bottom w:val="single" w:color="auto" w:sz="12" w:space="0"/>
            </w:tcBorders>
            <w:noWrap w:val="0"/>
            <w:tcMar>
              <w:left w:w="0" w:type="dxa"/>
              <w:right w:w="0" w:type="dxa"/>
            </w:tcMar>
            <w:vAlign w:val="center"/>
          </w:tcPr>
          <w:p w14:paraId="44740FA6">
            <w:pPr>
              <w:widowControl/>
              <w:jc w:val="center"/>
              <w:textAlignment w:val="center"/>
              <w:rPr>
                <w:kern w:val="0"/>
                <w:sz w:val="21"/>
                <w:szCs w:val="21"/>
                <w:lang w:bidi="ar"/>
              </w:rPr>
            </w:pPr>
            <w:r>
              <w:rPr>
                <w:rFonts w:hint="eastAsia"/>
                <w:kern w:val="0"/>
                <w:sz w:val="21"/>
                <w:szCs w:val="21"/>
                <w:lang w:val="en-US" w:eastAsia="zh-CN" w:bidi="ar"/>
              </w:rPr>
              <w:t>设备</w:t>
            </w:r>
            <w:r>
              <w:rPr>
                <w:rFonts w:hint="eastAsia"/>
                <w:kern w:val="0"/>
                <w:sz w:val="21"/>
                <w:szCs w:val="21"/>
                <w:lang w:bidi="ar"/>
              </w:rPr>
              <w:t>密闭收集</w:t>
            </w:r>
          </w:p>
        </w:tc>
        <w:tc>
          <w:tcPr>
            <w:tcW w:w="189" w:type="pct"/>
            <w:tcBorders>
              <w:top w:val="single" w:color="auto" w:sz="4" w:space="0"/>
              <w:bottom w:val="single" w:color="auto" w:sz="12" w:space="0"/>
            </w:tcBorders>
            <w:noWrap w:val="0"/>
            <w:tcMar>
              <w:left w:w="0" w:type="dxa"/>
              <w:right w:w="0" w:type="dxa"/>
            </w:tcMar>
            <w:vAlign w:val="center"/>
          </w:tcPr>
          <w:p w14:paraId="61D1D3DD">
            <w:pPr>
              <w:widowControl/>
              <w:jc w:val="center"/>
              <w:textAlignment w:val="center"/>
              <w:rPr>
                <w:rFonts w:hint="default" w:eastAsia="宋体"/>
                <w:kern w:val="0"/>
                <w:sz w:val="21"/>
                <w:szCs w:val="21"/>
                <w:lang w:val="en-US" w:eastAsia="zh-CN" w:bidi="ar"/>
              </w:rPr>
            </w:pPr>
            <w:r>
              <w:rPr>
                <w:rFonts w:hint="eastAsia"/>
                <w:kern w:val="0"/>
                <w:sz w:val="21"/>
                <w:szCs w:val="21"/>
                <w:lang w:bidi="ar"/>
              </w:rPr>
              <w:t>9</w:t>
            </w:r>
            <w:r>
              <w:rPr>
                <w:rFonts w:hint="eastAsia"/>
                <w:kern w:val="0"/>
                <w:sz w:val="21"/>
                <w:szCs w:val="21"/>
                <w:lang w:val="en-US" w:eastAsia="zh-CN" w:bidi="ar"/>
              </w:rPr>
              <w:t>5</w:t>
            </w:r>
          </w:p>
        </w:tc>
        <w:tc>
          <w:tcPr>
            <w:tcW w:w="338" w:type="pct"/>
            <w:tcBorders>
              <w:top w:val="single" w:color="auto" w:sz="4" w:space="0"/>
              <w:bottom w:val="single" w:color="auto" w:sz="12" w:space="0"/>
            </w:tcBorders>
            <w:noWrap w:val="0"/>
            <w:tcMar>
              <w:left w:w="0" w:type="dxa"/>
              <w:right w:w="0" w:type="dxa"/>
            </w:tcMar>
            <w:vAlign w:val="center"/>
          </w:tcPr>
          <w:p w14:paraId="33F60D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1.35</w:t>
            </w:r>
          </w:p>
        </w:tc>
        <w:tc>
          <w:tcPr>
            <w:tcW w:w="338" w:type="pct"/>
            <w:tcBorders>
              <w:top w:val="single" w:color="auto" w:sz="4" w:space="0"/>
              <w:bottom w:val="single" w:color="auto" w:sz="12" w:space="0"/>
            </w:tcBorders>
            <w:noWrap w:val="0"/>
            <w:tcMar>
              <w:left w:w="0" w:type="dxa"/>
              <w:right w:w="0" w:type="dxa"/>
            </w:tcMar>
            <w:vAlign w:val="center"/>
          </w:tcPr>
          <w:p w14:paraId="7136CF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0.033</w:t>
            </w:r>
          </w:p>
        </w:tc>
        <w:tc>
          <w:tcPr>
            <w:tcW w:w="538" w:type="pct"/>
            <w:tcBorders>
              <w:top w:val="single" w:color="auto" w:sz="4" w:space="0"/>
              <w:bottom w:val="single" w:color="auto" w:sz="12" w:space="0"/>
            </w:tcBorders>
            <w:noWrap w:val="0"/>
            <w:tcMar>
              <w:left w:w="0" w:type="dxa"/>
              <w:right w:w="0" w:type="dxa"/>
            </w:tcMar>
            <w:vAlign w:val="center"/>
          </w:tcPr>
          <w:p w14:paraId="532B1F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0.234</w:t>
            </w:r>
          </w:p>
        </w:tc>
        <w:tc>
          <w:tcPr>
            <w:tcW w:w="256" w:type="pct"/>
            <w:vMerge w:val="continue"/>
            <w:tcBorders>
              <w:top w:val="single" w:color="auto" w:sz="4" w:space="0"/>
              <w:bottom w:val="single" w:color="auto" w:sz="12" w:space="0"/>
            </w:tcBorders>
            <w:noWrap w:val="0"/>
            <w:tcMar>
              <w:left w:w="0" w:type="dxa"/>
              <w:right w:w="0" w:type="dxa"/>
            </w:tcMar>
            <w:vAlign w:val="center"/>
          </w:tcPr>
          <w:p w14:paraId="5F98D470">
            <w:pPr>
              <w:widowControl/>
              <w:jc w:val="center"/>
              <w:textAlignment w:val="center"/>
              <w:rPr>
                <w:kern w:val="0"/>
                <w:sz w:val="21"/>
                <w:szCs w:val="21"/>
                <w:lang w:bidi="ar"/>
              </w:rPr>
            </w:pPr>
          </w:p>
        </w:tc>
        <w:tc>
          <w:tcPr>
            <w:tcW w:w="468" w:type="pct"/>
            <w:tcBorders>
              <w:top w:val="single" w:color="auto" w:sz="4" w:space="0"/>
              <w:bottom w:val="single" w:color="auto" w:sz="12" w:space="0"/>
            </w:tcBorders>
            <w:noWrap w:val="0"/>
            <w:tcMar>
              <w:left w:w="0" w:type="dxa"/>
              <w:right w:w="0" w:type="dxa"/>
            </w:tcMar>
            <w:vAlign w:val="center"/>
          </w:tcPr>
          <w:p w14:paraId="785A24B4">
            <w:pPr>
              <w:widowControl/>
              <w:jc w:val="center"/>
              <w:textAlignment w:val="center"/>
              <w:rPr>
                <w:rFonts w:hint="eastAsia"/>
                <w:kern w:val="0"/>
                <w:sz w:val="21"/>
                <w:szCs w:val="21"/>
                <w:lang w:bidi="ar"/>
              </w:rPr>
            </w:pPr>
            <w:r>
              <w:rPr>
                <w:rFonts w:hint="eastAsia"/>
                <w:kern w:val="0"/>
                <w:sz w:val="21"/>
                <w:szCs w:val="21"/>
                <w:lang w:val="en-US" w:eastAsia="zh-CN" w:bidi="ar"/>
              </w:rPr>
              <w:t>水喷淋+静电净化</w:t>
            </w:r>
            <w:r>
              <w:rPr>
                <w:rFonts w:hint="eastAsia"/>
                <w:kern w:val="0"/>
                <w:sz w:val="21"/>
                <w:szCs w:val="21"/>
                <w:lang w:bidi="ar"/>
              </w:rPr>
              <w:t>，</w:t>
            </w:r>
            <w:r>
              <w:rPr>
                <w:rFonts w:hint="eastAsia"/>
                <w:bCs/>
                <w:iCs/>
                <w:snapToGrid w:val="0"/>
                <w:spacing w:val="-4"/>
                <w:kern w:val="0"/>
                <w:sz w:val="21"/>
                <w:szCs w:val="21"/>
                <w:lang w:val="en-US" w:eastAsia="zh-CN" w:bidi="en-US"/>
              </w:rPr>
              <w:t>240</w:t>
            </w:r>
            <w:r>
              <w:rPr>
                <w:rFonts w:hint="eastAsia"/>
                <w:bCs/>
                <w:iCs/>
                <w:snapToGrid w:val="0"/>
                <w:spacing w:val="-4"/>
                <w:kern w:val="0"/>
                <w:sz w:val="21"/>
                <w:szCs w:val="21"/>
                <w:lang w:bidi="en-US"/>
              </w:rPr>
              <w:t>00</w:t>
            </w:r>
            <w:r>
              <w:rPr>
                <w:sz w:val="21"/>
                <w:szCs w:val="21"/>
              </w:rPr>
              <w:t>m</w:t>
            </w:r>
            <w:r>
              <w:rPr>
                <w:sz w:val="21"/>
                <w:szCs w:val="21"/>
                <w:vertAlign w:val="superscript"/>
              </w:rPr>
              <w:t>3</w:t>
            </w:r>
            <w:r>
              <w:rPr>
                <w:sz w:val="21"/>
                <w:szCs w:val="21"/>
              </w:rPr>
              <w:t>/h</w:t>
            </w:r>
          </w:p>
        </w:tc>
        <w:tc>
          <w:tcPr>
            <w:tcW w:w="293" w:type="pct"/>
            <w:tcBorders>
              <w:top w:val="single" w:color="auto" w:sz="4" w:space="0"/>
              <w:bottom w:val="single" w:color="auto" w:sz="12" w:space="0"/>
            </w:tcBorders>
            <w:noWrap w:val="0"/>
            <w:tcMar>
              <w:left w:w="0" w:type="dxa"/>
              <w:right w:w="0" w:type="dxa"/>
            </w:tcMar>
            <w:vAlign w:val="center"/>
          </w:tcPr>
          <w:p w14:paraId="483F1181">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80</w:t>
            </w:r>
          </w:p>
        </w:tc>
        <w:tc>
          <w:tcPr>
            <w:tcW w:w="257" w:type="pct"/>
            <w:tcBorders>
              <w:top w:val="single" w:color="auto" w:sz="4" w:space="0"/>
              <w:bottom w:val="single" w:color="auto" w:sz="12" w:space="0"/>
            </w:tcBorders>
            <w:noWrap w:val="0"/>
            <w:tcMar>
              <w:left w:w="0" w:type="dxa"/>
              <w:right w:w="0" w:type="dxa"/>
            </w:tcMar>
            <w:vAlign w:val="center"/>
          </w:tcPr>
          <w:p w14:paraId="72AF4C1A">
            <w:pPr>
              <w:widowControl/>
              <w:jc w:val="center"/>
              <w:textAlignment w:val="center"/>
              <w:rPr>
                <w:rFonts w:hint="eastAsia"/>
                <w:kern w:val="0"/>
                <w:sz w:val="21"/>
                <w:szCs w:val="21"/>
                <w:lang w:bidi="ar"/>
              </w:rPr>
            </w:pPr>
            <w:r>
              <w:rPr>
                <w:rFonts w:hint="eastAsia"/>
                <w:kern w:val="0"/>
                <w:sz w:val="21"/>
                <w:szCs w:val="21"/>
                <w:lang w:bidi="ar"/>
              </w:rPr>
              <w:t>是</w:t>
            </w:r>
          </w:p>
        </w:tc>
        <w:tc>
          <w:tcPr>
            <w:tcW w:w="285" w:type="pct"/>
            <w:vMerge w:val="continue"/>
            <w:tcBorders>
              <w:bottom w:val="single" w:color="auto" w:sz="12" w:space="0"/>
            </w:tcBorders>
            <w:noWrap w:val="0"/>
            <w:tcMar>
              <w:left w:w="0" w:type="dxa"/>
              <w:right w:w="0" w:type="dxa"/>
            </w:tcMar>
            <w:vAlign w:val="center"/>
          </w:tcPr>
          <w:p w14:paraId="48E157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66" w:type="pct"/>
            <w:vMerge w:val="continue"/>
            <w:tcBorders>
              <w:bottom w:val="single" w:color="auto" w:sz="12" w:space="0"/>
            </w:tcBorders>
            <w:noWrap w:val="0"/>
            <w:tcMar>
              <w:left w:w="0" w:type="dxa"/>
              <w:right w:w="0" w:type="dxa"/>
            </w:tcMar>
            <w:vAlign w:val="center"/>
          </w:tcPr>
          <w:p w14:paraId="2A9FEF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25" w:type="pct"/>
            <w:vMerge w:val="continue"/>
            <w:tcBorders>
              <w:bottom w:val="single" w:color="auto" w:sz="12" w:space="0"/>
            </w:tcBorders>
            <w:noWrap w:val="0"/>
            <w:tcMar>
              <w:left w:w="0" w:type="dxa"/>
              <w:right w:w="0" w:type="dxa"/>
            </w:tcMar>
            <w:vAlign w:val="center"/>
          </w:tcPr>
          <w:p w14:paraId="4D6777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14:paraId="58BDCDDA">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kern w:val="2"/>
          <w:sz w:val="24"/>
          <w:szCs w:val="24"/>
          <w:lang w:val="en-US" w:eastAsia="zh-CN"/>
        </w:rPr>
      </w:pPr>
    </w:p>
    <w:p w14:paraId="5D2F8143">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kern w:val="2"/>
          <w:sz w:val="24"/>
          <w:szCs w:val="24"/>
          <w:lang w:val="en-US" w:eastAsia="zh-CN"/>
        </w:rPr>
      </w:pPr>
      <w:r>
        <w:rPr>
          <w:rFonts w:hint="eastAsia" w:ascii="Times New Roman" w:hAnsi="Times New Roman" w:eastAsia="宋体" w:cs="Times New Roman"/>
          <w:b/>
          <w:bCs/>
          <w:color w:val="auto"/>
          <w:kern w:val="2"/>
          <w:sz w:val="24"/>
          <w:szCs w:val="24"/>
          <w:lang w:val="en-US" w:eastAsia="zh-CN"/>
        </w:rPr>
        <w:t>表2-5 本项目无组织废气产生及排放情况</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31"/>
        <w:gridCol w:w="1416"/>
        <w:gridCol w:w="1480"/>
        <w:gridCol w:w="1607"/>
        <w:gridCol w:w="1671"/>
        <w:gridCol w:w="1630"/>
        <w:gridCol w:w="1080"/>
        <w:gridCol w:w="955"/>
        <w:gridCol w:w="955"/>
        <w:gridCol w:w="1013"/>
      </w:tblGrid>
      <w:tr w14:paraId="46F68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84" w:type="dxa"/>
            <w:gridSpan w:val="2"/>
            <w:vMerge w:val="restart"/>
            <w:noWrap w:val="0"/>
            <w:vAlign w:val="center"/>
          </w:tcPr>
          <w:p w14:paraId="4E74CBED">
            <w:pPr>
              <w:jc w:val="center"/>
              <w:rPr>
                <w:rFonts w:hint="eastAsia"/>
                <w:b/>
                <w:sz w:val="21"/>
                <w:szCs w:val="21"/>
              </w:rPr>
            </w:pPr>
            <w:r>
              <w:rPr>
                <w:rFonts w:hint="eastAsia"/>
                <w:b/>
                <w:sz w:val="21"/>
                <w:szCs w:val="21"/>
              </w:rPr>
              <w:t>污染源</w:t>
            </w:r>
          </w:p>
        </w:tc>
        <w:tc>
          <w:tcPr>
            <w:tcW w:w="1438" w:type="dxa"/>
            <w:vMerge w:val="restart"/>
            <w:noWrap w:val="0"/>
            <w:vAlign w:val="center"/>
          </w:tcPr>
          <w:p w14:paraId="18113BBF">
            <w:pPr>
              <w:jc w:val="center"/>
              <w:rPr>
                <w:rFonts w:hint="eastAsia"/>
                <w:b/>
                <w:sz w:val="21"/>
                <w:szCs w:val="21"/>
              </w:rPr>
            </w:pPr>
            <w:r>
              <w:rPr>
                <w:rFonts w:hint="eastAsia"/>
                <w:b/>
                <w:sz w:val="21"/>
                <w:szCs w:val="21"/>
              </w:rPr>
              <w:t>污染物名称</w:t>
            </w:r>
          </w:p>
        </w:tc>
        <w:tc>
          <w:tcPr>
            <w:tcW w:w="3135" w:type="dxa"/>
            <w:gridSpan w:val="2"/>
            <w:noWrap w:val="0"/>
            <w:vAlign w:val="center"/>
          </w:tcPr>
          <w:p w14:paraId="0A328A1B">
            <w:pPr>
              <w:jc w:val="center"/>
              <w:rPr>
                <w:rFonts w:hint="eastAsia"/>
                <w:b/>
                <w:sz w:val="21"/>
                <w:szCs w:val="21"/>
              </w:rPr>
            </w:pPr>
            <w:r>
              <w:rPr>
                <w:rFonts w:hint="eastAsia"/>
                <w:b/>
                <w:sz w:val="21"/>
                <w:szCs w:val="21"/>
              </w:rPr>
              <w:t>产生情况</w:t>
            </w:r>
          </w:p>
        </w:tc>
        <w:tc>
          <w:tcPr>
            <w:tcW w:w="3352" w:type="dxa"/>
            <w:gridSpan w:val="2"/>
            <w:noWrap w:val="0"/>
            <w:vAlign w:val="center"/>
          </w:tcPr>
          <w:p w14:paraId="5C640E62">
            <w:pPr>
              <w:jc w:val="center"/>
              <w:rPr>
                <w:rFonts w:hint="eastAsia"/>
                <w:b/>
                <w:sz w:val="21"/>
                <w:szCs w:val="21"/>
              </w:rPr>
            </w:pPr>
            <w:r>
              <w:rPr>
                <w:rFonts w:hint="eastAsia"/>
                <w:b/>
                <w:sz w:val="21"/>
                <w:szCs w:val="21"/>
              </w:rPr>
              <w:t>排放情况</w:t>
            </w:r>
          </w:p>
        </w:tc>
        <w:tc>
          <w:tcPr>
            <w:tcW w:w="1097" w:type="dxa"/>
            <w:vMerge w:val="restart"/>
            <w:noWrap w:val="0"/>
            <w:vAlign w:val="center"/>
          </w:tcPr>
          <w:p w14:paraId="3A8557A3">
            <w:pPr>
              <w:jc w:val="center"/>
              <w:rPr>
                <w:rFonts w:hint="eastAsia"/>
                <w:b/>
                <w:sz w:val="21"/>
                <w:szCs w:val="21"/>
              </w:rPr>
            </w:pPr>
            <w:r>
              <w:rPr>
                <w:rFonts w:hint="eastAsia"/>
                <w:b/>
                <w:sz w:val="21"/>
                <w:szCs w:val="21"/>
              </w:rPr>
              <w:t>排放时间/h</w:t>
            </w:r>
          </w:p>
        </w:tc>
        <w:tc>
          <w:tcPr>
            <w:tcW w:w="970" w:type="dxa"/>
            <w:vMerge w:val="restart"/>
            <w:noWrap w:val="0"/>
            <w:vAlign w:val="center"/>
          </w:tcPr>
          <w:p w14:paraId="7B5FA95B">
            <w:pPr>
              <w:jc w:val="center"/>
              <w:rPr>
                <w:rFonts w:hint="eastAsia"/>
                <w:b/>
                <w:sz w:val="21"/>
                <w:szCs w:val="21"/>
              </w:rPr>
            </w:pPr>
            <w:r>
              <w:rPr>
                <w:rFonts w:hint="eastAsia"/>
                <w:b/>
                <w:sz w:val="21"/>
                <w:szCs w:val="21"/>
              </w:rPr>
              <w:t>面源长度/</w:t>
            </w:r>
            <w:r>
              <w:rPr>
                <w:rFonts w:hint="eastAsia"/>
                <w:b/>
                <w:sz w:val="21"/>
                <w:szCs w:val="21"/>
                <w:lang w:eastAsia="zh-Hans"/>
              </w:rPr>
              <w:t>m</w:t>
            </w:r>
          </w:p>
        </w:tc>
        <w:tc>
          <w:tcPr>
            <w:tcW w:w="970" w:type="dxa"/>
            <w:vMerge w:val="restart"/>
            <w:noWrap w:val="0"/>
            <w:vAlign w:val="center"/>
          </w:tcPr>
          <w:p w14:paraId="72E1AF0A">
            <w:pPr>
              <w:jc w:val="center"/>
              <w:rPr>
                <w:rFonts w:hint="eastAsia"/>
                <w:b/>
                <w:sz w:val="21"/>
                <w:szCs w:val="21"/>
              </w:rPr>
            </w:pPr>
            <w:r>
              <w:rPr>
                <w:rFonts w:hint="eastAsia"/>
                <w:b/>
                <w:sz w:val="21"/>
                <w:szCs w:val="21"/>
              </w:rPr>
              <w:t>面源长度/</w:t>
            </w:r>
            <w:r>
              <w:rPr>
                <w:rFonts w:hint="eastAsia"/>
                <w:b/>
                <w:sz w:val="21"/>
                <w:szCs w:val="21"/>
                <w:lang w:eastAsia="zh-Hans"/>
              </w:rPr>
              <w:t>m</w:t>
            </w:r>
          </w:p>
        </w:tc>
        <w:tc>
          <w:tcPr>
            <w:tcW w:w="1029" w:type="dxa"/>
            <w:vMerge w:val="restart"/>
            <w:noWrap w:val="0"/>
            <w:vAlign w:val="center"/>
          </w:tcPr>
          <w:p w14:paraId="01FE3008">
            <w:pPr>
              <w:jc w:val="center"/>
              <w:rPr>
                <w:rFonts w:hint="eastAsia"/>
                <w:b/>
                <w:sz w:val="21"/>
                <w:szCs w:val="21"/>
              </w:rPr>
            </w:pPr>
            <w:r>
              <w:rPr>
                <w:rFonts w:hint="eastAsia"/>
                <w:b/>
                <w:sz w:val="21"/>
                <w:szCs w:val="21"/>
              </w:rPr>
              <w:t>面源高度/</w:t>
            </w:r>
            <w:r>
              <w:rPr>
                <w:rFonts w:hint="eastAsia"/>
                <w:b/>
                <w:sz w:val="21"/>
                <w:szCs w:val="21"/>
                <w:lang w:eastAsia="zh-Hans"/>
              </w:rPr>
              <w:t>m</w:t>
            </w:r>
          </w:p>
        </w:tc>
      </w:tr>
      <w:tr w14:paraId="6EDB3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184" w:type="dxa"/>
            <w:gridSpan w:val="2"/>
            <w:vMerge w:val="continue"/>
            <w:noWrap w:val="0"/>
            <w:vAlign w:val="center"/>
          </w:tcPr>
          <w:p w14:paraId="6A9A5B9D">
            <w:pPr>
              <w:jc w:val="center"/>
              <w:rPr>
                <w:rFonts w:hint="eastAsia"/>
                <w:bCs/>
                <w:sz w:val="21"/>
                <w:szCs w:val="21"/>
              </w:rPr>
            </w:pPr>
          </w:p>
        </w:tc>
        <w:tc>
          <w:tcPr>
            <w:tcW w:w="1438" w:type="dxa"/>
            <w:vMerge w:val="continue"/>
            <w:noWrap w:val="0"/>
            <w:vAlign w:val="center"/>
          </w:tcPr>
          <w:p w14:paraId="17A0A08C">
            <w:pPr>
              <w:jc w:val="center"/>
              <w:rPr>
                <w:rFonts w:hint="eastAsia"/>
                <w:bCs/>
                <w:sz w:val="21"/>
                <w:szCs w:val="21"/>
              </w:rPr>
            </w:pPr>
          </w:p>
        </w:tc>
        <w:tc>
          <w:tcPr>
            <w:tcW w:w="1503" w:type="dxa"/>
            <w:noWrap w:val="0"/>
            <w:vAlign w:val="center"/>
          </w:tcPr>
          <w:p w14:paraId="67F7A3F7">
            <w:pPr>
              <w:jc w:val="center"/>
              <w:rPr>
                <w:rFonts w:hint="eastAsia"/>
                <w:b/>
                <w:sz w:val="21"/>
                <w:szCs w:val="21"/>
              </w:rPr>
            </w:pPr>
            <w:r>
              <w:rPr>
                <w:rFonts w:hint="eastAsia"/>
                <w:b/>
                <w:sz w:val="21"/>
                <w:szCs w:val="21"/>
              </w:rPr>
              <w:t>产生量/t/a</w:t>
            </w:r>
          </w:p>
        </w:tc>
        <w:tc>
          <w:tcPr>
            <w:tcW w:w="1632" w:type="dxa"/>
            <w:noWrap w:val="0"/>
            <w:vAlign w:val="center"/>
          </w:tcPr>
          <w:p w14:paraId="069B69DD">
            <w:pPr>
              <w:jc w:val="center"/>
              <w:rPr>
                <w:rFonts w:hint="eastAsia"/>
                <w:b/>
                <w:sz w:val="21"/>
                <w:szCs w:val="21"/>
              </w:rPr>
            </w:pPr>
            <w:r>
              <w:rPr>
                <w:rFonts w:hint="eastAsia"/>
                <w:b/>
                <w:sz w:val="21"/>
                <w:szCs w:val="21"/>
              </w:rPr>
              <w:t>产生速率/kg/h</w:t>
            </w:r>
          </w:p>
        </w:tc>
        <w:tc>
          <w:tcPr>
            <w:tcW w:w="1697" w:type="dxa"/>
            <w:noWrap w:val="0"/>
            <w:vAlign w:val="center"/>
          </w:tcPr>
          <w:p w14:paraId="383ED83B">
            <w:pPr>
              <w:jc w:val="center"/>
              <w:rPr>
                <w:rFonts w:hint="eastAsia"/>
                <w:b/>
                <w:sz w:val="21"/>
                <w:szCs w:val="21"/>
              </w:rPr>
            </w:pPr>
            <w:r>
              <w:rPr>
                <w:rFonts w:hint="eastAsia"/>
                <w:b/>
                <w:sz w:val="21"/>
                <w:szCs w:val="21"/>
              </w:rPr>
              <w:t>排放量/t/a</w:t>
            </w:r>
          </w:p>
        </w:tc>
        <w:tc>
          <w:tcPr>
            <w:tcW w:w="1655" w:type="dxa"/>
            <w:noWrap w:val="0"/>
            <w:vAlign w:val="center"/>
          </w:tcPr>
          <w:p w14:paraId="2EF2F7AC">
            <w:pPr>
              <w:jc w:val="center"/>
              <w:rPr>
                <w:rFonts w:hint="eastAsia"/>
                <w:b/>
                <w:sz w:val="21"/>
                <w:szCs w:val="21"/>
              </w:rPr>
            </w:pPr>
            <w:r>
              <w:rPr>
                <w:rFonts w:hint="eastAsia"/>
                <w:b/>
                <w:sz w:val="21"/>
                <w:szCs w:val="21"/>
              </w:rPr>
              <w:t>排放速率/kg/h</w:t>
            </w:r>
          </w:p>
        </w:tc>
        <w:tc>
          <w:tcPr>
            <w:tcW w:w="1097" w:type="dxa"/>
            <w:vMerge w:val="continue"/>
            <w:noWrap w:val="0"/>
            <w:vAlign w:val="center"/>
          </w:tcPr>
          <w:p w14:paraId="045C9A33">
            <w:pPr>
              <w:jc w:val="center"/>
              <w:rPr>
                <w:rFonts w:hint="eastAsia"/>
                <w:bCs/>
                <w:sz w:val="21"/>
                <w:szCs w:val="21"/>
              </w:rPr>
            </w:pPr>
          </w:p>
        </w:tc>
        <w:tc>
          <w:tcPr>
            <w:tcW w:w="970" w:type="dxa"/>
            <w:vMerge w:val="continue"/>
            <w:noWrap w:val="0"/>
            <w:vAlign w:val="center"/>
          </w:tcPr>
          <w:p w14:paraId="1132DE14">
            <w:pPr>
              <w:jc w:val="center"/>
              <w:rPr>
                <w:rFonts w:hint="eastAsia"/>
                <w:bCs/>
                <w:sz w:val="21"/>
                <w:szCs w:val="21"/>
              </w:rPr>
            </w:pPr>
          </w:p>
        </w:tc>
        <w:tc>
          <w:tcPr>
            <w:tcW w:w="970" w:type="dxa"/>
            <w:vMerge w:val="continue"/>
            <w:noWrap w:val="0"/>
            <w:vAlign w:val="center"/>
          </w:tcPr>
          <w:p w14:paraId="6E309E8B">
            <w:pPr>
              <w:jc w:val="center"/>
              <w:rPr>
                <w:rFonts w:hint="eastAsia"/>
                <w:bCs/>
                <w:sz w:val="21"/>
                <w:szCs w:val="21"/>
              </w:rPr>
            </w:pPr>
          </w:p>
        </w:tc>
        <w:tc>
          <w:tcPr>
            <w:tcW w:w="1029" w:type="dxa"/>
            <w:vMerge w:val="continue"/>
            <w:noWrap w:val="0"/>
            <w:vAlign w:val="center"/>
          </w:tcPr>
          <w:p w14:paraId="2A8E55C5">
            <w:pPr>
              <w:jc w:val="center"/>
              <w:rPr>
                <w:rFonts w:hint="eastAsia"/>
                <w:bCs/>
                <w:sz w:val="21"/>
                <w:szCs w:val="21"/>
              </w:rPr>
            </w:pPr>
          </w:p>
        </w:tc>
      </w:tr>
      <w:tr w14:paraId="052D2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1" w:type="dxa"/>
            <w:vMerge w:val="restart"/>
            <w:noWrap w:val="0"/>
            <w:vAlign w:val="center"/>
          </w:tcPr>
          <w:p w14:paraId="47DACBF6">
            <w:pPr>
              <w:jc w:val="center"/>
              <w:rPr>
                <w:rFonts w:hint="default" w:eastAsia="宋体"/>
                <w:bCs/>
                <w:sz w:val="21"/>
                <w:szCs w:val="21"/>
                <w:lang w:val="en-US" w:eastAsia="zh-CN"/>
              </w:rPr>
            </w:pPr>
            <w:bookmarkStart w:id="58" w:name="OLE_LINK2" w:colFirst="1" w:colLast="67"/>
            <w:r>
              <w:rPr>
                <w:rFonts w:hint="eastAsia"/>
                <w:bCs/>
                <w:sz w:val="21"/>
                <w:szCs w:val="21"/>
                <w:lang w:val="en-US" w:eastAsia="zh-CN"/>
              </w:rPr>
              <w:t>生产车间</w:t>
            </w:r>
          </w:p>
        </w:tc>
        <w:tc>
          <w:tcPr>
            <w:tcW w:w="1453" w:type="dxa"/>
            <w:noWrap w:val="0"/>
            <w:vAlign w:val="center"/>
          </w:tcPr>
          <w:p w14:paraId="5385C1EB">
            <w:pPr>
              <w:jc w:val="center"/>
              <w:rPr>
                <w:rFonts w:hint="eastAsia" w:eastAsia="宋体"/>
                <w:bCs/>
                <w:sz w:val="21"/>
                <w:szCs w:val="21"/>
                <w:lang w:eastAsia="zh-CN"/>
              </w:rPr>
            </w:pPr>
            <w:r>
              <w:rPr>
                <w:rFonts w:hint="eastAsia"/>
                <w:sz w:val="21"/>
                <w:szCs w:val="21"/>
                <w:lang w:val="en-US" w:eastAsia="zh-CN"/>
              </w:rPr>
              <w:t>拉毛、刷呢、剪毛、烫光、摇粒、</w:t>
            </w:r>
          </w:p>
        </w:tc>
        <w:tc>
          <w:tcPr>
            <w:tcW w:w="1438" w:type="dxa"/>
            <w:noWrap w:val="0"/>
            <w:vAlign w:val="center"/>
          </w:tcPr>
          <w:p w14:paraId="4738AF4D">
            <w:pPr>
              <w:jc w:val="center"/>
              <w:rPr>
                <w:rFonts w:hint="eastAsia"/>
                <w:bCs/>
                <w:sz w:val="21"/>
                <w:szCs w:val="21"/>
              </w:rPr>
            </w:pPr>
            <w:r>
              <w:rPr>
                <w:rFonts w:hint="eastAsia"/>
                <w:bCs/>
                <w:sz w:val="21"/>
                <w:szCs w:val="21"/>
              </w:rPr>
              <w:t>颗粒物</w:t>
            </w:r>
          </w:p>
        </w:tc>
        <w:tc>
          <w:tcPr>
            <w:tcW w:w="1503" w:type="dxa"/>
            <w:noWrap w:val="0"/>
            <w:vAlign w:val="center"/>
          </w:tcPr>
          <w:p w14:paraId="3E14F301">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0.077</w:t>
            </w:r>
          </w:p>
        </w:tc>
        <w:tc>
          <w:tcPr>
            <w:tcW w:w="1632" w:type="dxa"/>
            <w:noWrap w:val="0"/>
            <w:vAlign w:val="center"/>
          </w:tcPr>
          <w:p w14:paraId="437CB635">
            <w:pPr>
              <w:widowControl/>
              <w:jc w:val="center"/>
              <w:textAlignment w:val="center"/>
              <w:rPr>
                <w:rFonts w:hint="default" w:eastAsia="宋体"/>
                <w:bCs/>
                <w:sz w:val="21"/>
                <w:szCs w:val="21"/>
                <w:lang w:val="en-US" w:eastAsia="zh-CN"/>
              </w:rPr>
            </w:pPr>
            <w:r>
              <w:rPr>
                <w:rFonts w:hint="eastAsia"/>
                <w:bCs/>
                <w:sz w:val="21"/>
                <w:szCs w:val="21"/>
                <w:lang w:val="en-US" w:eastAsia="zh-CN"/>
              </w:rPr>
              <w:t>0.011</w:t>
            </w:r>
          </w:p>
        </w:tc>
        <w:tc>
          <w:tcPr>
            <w:tcW w:w="1697" w:type="dxa"/>
            <w:noWrap w:val="0"/>
            <w:vAlign w:val="center"/>
          </w:tcPr>
          <w:p w14:paraId="38D6F3DC">
            <w:pPr>
              <w:widowControl/>
              <w:jc w:val="center"/>
              <w:textAlignment w:val="center"/>
              <w:rPr>
                <w:rFonts w:hint="default"/>
                <w:kern w:val="0"/>
                <w:sz w:val="21"/>
                <w:szCs w:val="21"/>
                <w:lang w:val="en-US" w:bidi="ar"/>
              </w:rPr>
            </w:pPr>
            <w:r>
              <w:rPr>
                <w:rFonts w:hint="eastAsia"/>
                <w:kern w:val="0"/>
                <w:sz w:val="21"/>
                <w:szCs w:val="21"/>
                <w:lang w:val="en-US" w:eastAsia="zh-CN" w:bidi="ar"/>
              </w:rPr>
              <w:t>0.077</w:t>
            </w:r>
          </w:p>
        </w:tc>
        <w:tc>
          <w:tcPr>
            <w:tcW w:w="1655" w:type="dxa"/>
            <w:noWrap w:val="0"/>
            <w:vAlign w:val="center"/>
          </w:tcPr>
          <w:p w14:paraId="54CE01F1">
            <w:pPr>
              <w:widowControl/>
              <w:jc w:val="center"/>
              <w:textAlignment w:val="center"/>
              <w:rPr>
                <w:rFonts w:hint="eastAsia"/>
                <w:bCs/>
                <w:sz w:val="21"/>
                <w:szCs w:val="21"/>
              </w:rPr>
            </w:pPr>
            <w:r>
              <w:rPr>
                <w:rFonts w:hint="eastAsia"/>
                <w:bCs/>
                <w:sz w:val="21"/>
                <w:szCs w:val="21"/>
                <w:lang w:val="en-US" w:eastAsia="zh-CN"/>
              </w:rPr>
              <w:t>0.011</w:t>
            </w:r>
          </w:p>
        </w:tc>
        <w:tc>
          <w:tcPr>
            <w:tcW w:w="1097" w:type="dxa"/>
            <w:vMerge w:val="restart"/>
            <w:noWrap w:val="0"/>
            <w:vAlign w:val="center"/>
          </w:tcPr>
          <w:p w14:paraId="35227DD6">
            <w:pPr>
              <w:jc w:val="center"/>
              <w:rPr>
                <w:rFonts w:hint="eastAsia"/>
                <w:bCs/>
                <w:sz w:val="21"/>
                <w:szCs w:val="21"/>
              </w:rPr>
            </w:pPr>
            <w:r>
              <w:rPr>
                <w:rFonts w:hint="eastAsia"/>
                <w:bCs/>
                <w:sz w:val="21"/>
                <w:szCs w:val="21"/>
              </w:rPr>
              <w:t>7200</w:t>
            </w:r>
          </w:p>
        </w:tc>
        <w:tc>
          <w:tcPr>
            <w:tcW w:w="970" w:type="dxa"/>
            <w:noWrap w:val="0"/>
            <w:vAlign w:val="center"/>
          </w:tcPr>
          <w:p w14:paraId="58A77823">
            <w:pPr>
              <w:jc w:val="center"/>
              <w:rPr>
                <w:rFonts w:hint="default" w:eastAsia="宋体"/>
                <w:bCs/>
                <w:sz w:val="21"/>
                <w:szCs w:val="21"/>
                <w:lang w:val="en-US" w:eastAsia="zh-CN"/>
              </w:rPr>
            </w:pPr>
            <w:r>
              <w:rPr>
                <w:rFonts w:hint="eastAsia"/>
                <w:bCs/>
                <w:sz w:val="21"/>
                <w:szCs w:val="21"/>
                <w:lang w:val="en-US" w:eastAsia="zh-CN"/>
              </w:rPr>
              <w:t>20</w:t>
            </w:r>
          </w:p>
        </w:tc>
        <w:tc>
          <w:tcPr>
            <w:tcW w:w="970" w:type="dxa"/>
            <w:noWrap w:val="0"/>
            <w:vAlign w:val="center"/>
          </w:tcPr>
          <w:p w14:paraId="453C626F">
            <w:pPr>
              <w:jc w:val="center"/>
              <w:rPr>
                <w:rFonts w:hint="default" w:eastAsia="宋体"/>
                <w:bCs/>
                <w:sz w:val="21"/>
                <w:szCs w:val="21"/>
                <w:lang w:val="en-US" w:eastAsia="zh-CN"/>
              </w:rPr>
            </w:pPr>
            <w:r>
              <w:rPr>
                <w:rFonts w:hint="eastAsia"/>
                <w:bCs/>
                <w:sz w:val="21"/>
                <w:szCs w:val="21"/>
                <w:lang w:val="en-US" w:eastAsia="zh-CN"/>
              </w:rPr>
              <w:t>10</w:t>
            </w:r>
          </w:p>
        </w:tc>
        <w:tc>
          <w:tcPr>
            <w:tcW w:w="1029" w:type="dxa"/>
            <w:noWrap w:val="0"/>
            <w:vAlign w:val="center"/>
          </w:tcPr>
          <w:p w14:paraId="55E8D438">
            <w:pPr>
              <w:jc w:val="center"/>
              <w:rPr>
                <w:rFonts w:hint="eastAsia" w:eastAsia="宋体"/>
                <w:bCs/>
                <w:sz w:val="21"/>
                <w:szCs w:val="21"/>
                <w:lang w:val="en-US" w:eastAsia="zh-CN"/>
              </w:rPr>
            </w:pPr>
            <w:r>
              <w:rPr>
                <w:rFonts w:hint="eastAsia"/>
                <w:bCs/>
                <w:sz w:val="21"/>
                <w:szCs w:val="21"/>
                <w:lang w:val="en-US" w:eastAsia="zh-CN"/>
              </w:rPr>
              <w:t>5</w:t>
            </w:r>
          </w:p>
        </w:tc>
      </w:tr>
      <w:bookmarkEnd w:id="58"/>
      <w:tr w14:paraId="62E69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1" w:type="dxa"/>
            <w:vMerge w:val="continue"/>
            <w:noWrap w:val="0"/>
            <w:vAlign w:val="center"/>
          </w:tcPr>
          <w:p w14:paraId="556984B4">
            <w:pPr>
              <w:jc w:val="center"/>
              <w:rPr>
                <w:rFonts w:hint="eastAsia"/>
                <w:bCs/>
                <w:sz w:val="21"/>
                <w:szCs w:val="21"/>
              </w:rPr>
            </w:pPr>
          </w:p>
        </w:tc>
        <w:tc>
          <w:tcPr>
            <w:tcW w:w="1453" w:type="dxa"/>
            <w:vMerge w:val="restart"/>
            <w:noWrap w:val="0"/>
            <w:vAlign w:val="center"/>
          </w:tcPr>
          <w:p w14:paraId="2ABC3273">
            <w:pPr>
              <w:jc w:val="center"/>
              <w:rPr>
                <w:rFonts w:hint="eastAsia"/>
                <w:bCs/>
                <w:sz w:val="21"/>
                <w:szCs w:val="21"/>
              </w:rPr>
            </w:pPr>
            <w:r>
              <w:rPr>
                <w:rFonts w:hint="eastAsia"/>
                <w:bCs/>
                <w:sz w:val="21"/>
                <w:szCs w:val="21"/>
              </w:rPr>
              <w:t>定型</w:t>
            </w:r>
            <w:r>
              <w:rPr>
                <w:rFonts w:hint="eastAsia"/>
                <w:bCs/>
                <w:sz w:val="21"/>
                <w:szCs w:val="21"/>
                <w:lang w:eastAsia="zh-CN"/>
              </w:rPr>
              <w:t>、</w:t>
            </w:r>
            <w:r>
              <w:rPr>
                <w:rFonts w:hint="eastAsia"/>
                <w:sz w:val="21"/>
                <w:szCs w:val="21"/>
                <w:lang w:val="en-US" w:eastAsia="zh-CN"/>
              </w:rPr>
              <w:t>蒸呢废气</w:t>
            </w:r>
          </w:p>
        </w:tc>
        <w:tc>
          <w:tcPr>
            <w:tcW w:w="1438" w:type="dxa"/>
            <w:noWrap w:val="0"/>
            <w:vAlign w:val="center"/>
          </w:tcPr>
          <w:p w14:paraId="3A71E417">
            <w:pPr>
              <w:jc w:val="center"/>
              <w:rPr>
                <w:rFonts w:hint="eastAsia"/>
                <w:bCs/>
                <w:sz w:val="21"/>
                <w:szCs w:val="21"/>
              </w:rPr>
            </w:pPr>
            <w:r>
              <w:rPr>
                <w:rFonts w:hint="eastAsia"/>
                <w:bCs/>
                <w:sz w:val="21"/>
                <w:szCs w:val="21"/>
              </w:rPr>
              <w:t>颗粒物</w:t>
            </w:r>
          </w:p>
        </w:tc>
        <w:tc>
          <w:tcPr>
            <w:tcW w:w="1503" w:type="dxa"/>
            <w:noWrap w:val="0"/>
            <w:vAlign w:val="center"/>
          </w:tcPr>
          <w:p w14:paraId="1747868E">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0.0025</w:t>
            </w:r>
          </w:p>
        </w:tc>
        <w:tc>
          <w:tcPr>
            <w:tcW w:w="1632" w:type="dxa"/>
            <w:noWrap w:val="0"/>
            <w:vAlign w:val="center"/>
          </w:tcPr>
          <w:p w14:paraId="68537442">
            <w:pPr>
              <w:widowControl/>
              <w:jc w:val="center"/>
              <w:textAlignment w:val="center"/>
              <w:rPr>
                <w:rFonts w:hint="default" w:eastAsia="宋体"/>
                <w:bCs/>
                <w:sz w:val="21"/>
                <w:szCs w:val="21"/>
                <w:lang w:val="en-US" w:eastAsia="zh-CN"/>
              </w:rPr>
            </w:pPr>
            <w:r>
              <w:rPr>
                <w:rFonts w:hint="eastAsia"/>
                <w:bCs/>
                <w:sz w:val="21"/>
                <w:szCs w:val="21"/>
                <w:lang w:val="en-US" w:eastAsia="zh-CN"/>
              </w:rPr>
              <w:t>0.0003</w:t>
            </w:r>
          </w:p>
        </w:tc>
        <w:tc>
          <w:tcPr>
            <w:tcW w:w="1697" w:type="dxa"/>
            <w:noWrap w:val="0"/>
            <w:vAlign w:val="center"/>
          </w:tcPr>
          <w:p w14:paraId="68BD284E">
            <w:pPr>
              <w:widowControl/>
              <w:jc w:val="center"/>
              <w:textAlignment w:val="center"/>
              <w:rPr>
                <w:rFonts w:hint="default"/>
                <w:kern w:val="0"/>
                <w:sz w:val="21"/>
                <w:szCs w:val="21"/>
                <w:lang w:val="en-US" w:bidi="ar"/>
              </w:rPr>
            </w:pPr>
            <w:r>
              <w:rPr>
                <w:rFonts w:hint="eastAsia"/>
                <w:kern w:val="0"/>
                <w:sz w:val="21"/>
                <w:szCs w:val="21"/>
                <w:lang w:val="en-US" w:eastAsia="zh-CN" w:bidi="ar"/>
              </w:rPr>
              <w:t>0.0025</w:t>
            </w:r>
          </w:p>
        </w:tc>
        <w:tc>
          <w:tcPr>
            <w:tcW w:w="1655" w:type="dxa"/>
            <w:noWrap w:val="0"/>
            <w:vAlign w:val="center"/>
          </w:tcPr>
          <w:p w14:paraId="28301D35">
            <w:pPr>
              <w:widowControl/>
              <w:jc w:val="center"/>
              <w:textAlignment w:val="center"/>
              <w:rPr>
                <w:rFonts w:hint="eastAsia"/>
                <w:bCs/>
                <w:sz w:val="21"/>
                <w:szCs w:val="21"/>
              </w:rPr>
            </w:pPr>
            <w:r>
              <w:rPr>
                <w:rFonts w:hint="eastAsia"/>
                <w:bCs/>
                <w:sz w:val="21"/>
                <w:szCs w:val="21"/>
                <w:lang w:val="en-US" w:eastAsia="zh-CN"/>
              </w:rPr>
              <w:t>0.0003</w:t>
            </w:r>
          </w:p>
        </w:tc>
        <w:tc>
          <w:tcPr>
            <w:tcW w:w="1097" w:type="dxa"/>
            <w:vMerge w:val="continue"/>
            <w:noWrap w:val="0"/>
            <w:vAlign w:val="center"/>
          </w:tcPr>
          <w:p w14:paraId="0D693040">
            <w:pPr>
              <w:jc w:val="center"/>
              <w:rPr>
                <w:rFonts w:hint="eastAsia"/>
                <w:bCs/>
                <w:sz w:val="21"/>
                <w:szCs w:val="21"/>
              </w:rPr>
            </w:pPr>
          </w:p>
        </w:tc>
        <w:tc>
          <w:tcPr>
            <w:tcW w:w="970" w:type="dxa"/>
            <w:vMerge w:val="restart"/>
            <w:shd w:val="clear" w:color="auto" w:fill="auto"/>
            <w:noWrap w:val="0"/>
            <w:vAlign w:val="center"/>
          </w:tcPr>
          <w:p w14:paraId="2FE64733">
            <w:pPr>
              <w:jc w:val="center"/>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60</w:t>
            </w:r>
          </w:p>
        </w:tc>
        <w:tc>
          <w:tcPr>
            <w:tcW w:w="970" w:type="dxa"/>
            <w:vMerge w:val="restart"/>
            <w:shd w:val="clear" w:color="auto" w:fill="auto"/>
            <w:noWrap w:val="0"/>
            <w:vAlign w:val="center"/>
          </w:tcPr>
          <w:p w14:paraId="0CBEC692">
            <w:pPr>
              <w:jc w:val="center"/>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20</w:t>
            </w:r>
          </w:p>
        </w:tc>
        <w:tc>
          <w:tcPr>
            <w:tcW w:w="1029" w:type="dxa"/>
            <w:vMerge w:val="restart"/>
            <w:shd w:val="clear" w:color="auto" w:fill="auto"/>
            <w:noWrap w:val="0"/>
            <w:vAlign w:val="center"/>
          </w:tcPr>
          <w:p w14:paraId="57E05BFF">
            <w:pPr>
              <w:jc w:val="center"/>
              <w:rPr>
                <w:rFonts w:hint="eastAsia" w:ascii="Times New Roman" w:hAnsi="Times New Roman" w:eastAsia="宋体" w:cs="Times New Roman"/>
                <w:bCs/>
                <w:kern w:val="2"/>
                <w:sz w:val="21"/>
                <w:szCs w:val="21"/>
                <w:lang w:val="en-US" w:eastAsia="zh-CN" w:bidi="ar-SA"/>
              </w:rPr>
            </w:pPr>
            <w:r>
              <w:rPr>
                <w:rFonts w:hint="eastAsia"/>
                <w:bCs/>
                <w:sz w:val="21"/>
                <w:szCs w:val="21"/>
              </w:rPr>
              <w:t>8</w:t>
            </w:r>
            <w:r>
              <w:rPr>
                <w:rFonts w:hint="eastAsia"/>
                <w:bCs/>
                <w:sz w:val="21"/>
                <w:szCs w:val="21"/>
                <w:lang w:val="en-US" w:eastAsia="zh-CN"/>
              </w:rPr>
              <w:t>.5</w:t>
            </w:r>
          </w:p>
        </w:tc>
      </w:tr>
      <w:tr w14:paraId="317E3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1" w:type="dxa"/>
            <w:vMerge w:val="continue"/>
            <w:noWrap w:val="0"/>
            <w:vAlign w:val="center"/>
          </w:tcPr>
          <w:p w14:paraId="714B5EFF">
            <w:pPr>
              <w:jc w:val="center"/>
              <w:rPr>
                <w:rFonts w:hint="eastAsia"/>
                <w:bCs/>
                <w:sz w:val="21"/>
                <w:szCs w:val="21"/>
              </w:rPr>
            </w:pPr>
          </w:p>
        </w:tc>
        <w:tc>
          <w:tcPr>
            <w:tcW w:w="1453" w:type="dxa"/>
            <w:vMerge w:val="continue"/>
            <w:noWrap w:val="0"/>
            <w:vAlign w:val="center"/>
          </w:tcPr>
          <w:p w14:paraId="128F52DA">
            <w:pPr>
              <w:jc w:val="center"/>
              <w:rPr>
                <w:rFonts w:hint="eastAsia"/>
                <w:bCs/>
                <w:sz w:val="21"/>
                <w:szCs w:val="21"/>
              </w:rPr>
            </w:pPr>
          </w:p>
        </w:tc>
        <w:tc>
          <w:tcPr>
            <w:tcW w:w="1438" w:type="dxa"/>
            <w:noWrap w:val="0"/>
            <w:vAlign w:val="center"/>
          </w:tcPr>
          <w:p w14:paraId="3E29415A">
            <w:pPr>
              <w:jc w:val="center"/>
              <w:rPr>
                <w:rFonts w:hint="eastAsia"/>
                <w:bCs/>
                <w:sz w:val="21"/>
                <w:szCs w:val="21"/>
              </w:rPr>
            </w:pPr>
            <w:r>
              <w:rPr>
                <w:rFonts w:hint="eastAsia"/>
                <w:bCs/>
                <w:sz w:val="21"/>
                <w:szCs w:val="21"/>
              </w:rPr>
              <w:t>非甲烷总烃</w:t>
            </w:r>
          </w:p>
        </w:tc>
        <w:tc>
          <w:tcPr>
            <w:tcW w:w="1503" w:type="dxa"/>
            <w:noWrap w:val="0"/>
            <w:vAlign w:val="center"/>
          </w:tcPr>
          <w:p w14:paraId="605E6C15">
            <w:pPr>
              <w:widowControl/>
              <w:jc w:val="center"/>
              <w:textAlignment w:val="center"/>
              <w:rPr>
                <w:rFonts w:hint="default" w:eastAsia="宋体"/>
                <w:kern w:val="0"/>
                <w:sz w:val="21"/>
                <w:szCs w:val="21"/>
                <w:lang w:val="en-US" w:eastAsia="zh-CN" w:bidi="ar"/>
              </w:rPr>
            </w:pPr>
            <w:r>
              <w:rPr>
                <w:rFonts w:hint="eastAsia"/>
                <w:kern w:val="0"/>
                <w:sz w:val="21"/>
                <w:szCs w:val="21"/>
                <w:lang w:val="en-US" w:eastAsia="zh-CN" w:bidi="ar"/>
              </w:rPr>
              <w:t>0.081</w:t>
            </w:r>
          </w:p>
        </w:tc>
        <w:tc>
          <w:tcPr>
            <w:tcW w:w="1632" w:type="dxa"/>
            <w:noWrap w:val="0"/>
            <w:vAlign w:val="center"/>
          </w:tcPr>
          <w:p w14:paraId="4388D294">
            <w:pPr>
              <w:widowControl/>
              <w:jc w:val="center"/>
              <w:textAlignment w:val="center"/>
              <w:rPr>
                <w:rFonts w:hint="default" w:eastAsia="宋体"/>
                <w:bCs/>
                <w:sz w:val="21"/>
                <w:szCs w:val="21"/>
                <w:lang w:val="en-US" w:eastAsia="zh-CN"/>
              </w:rPr>
            </w:pPr>
            <w:r>
              <w:rPr>
                <w:rFonts w:hint="eastAsia"/>
                <w:bCs/>
                <w:sz w:val="21"/>
                <w:szCs w:val="21"/>
                <w:lang w:val="en-US" w:eastAsia="zh-CN"/>
              </w:rPr>
              <w:t>0.011</w:t>
            </w:r>
          </w:p>
        </w:tc>
        <w:tc>
          <w:tcPr>
            <w:tcW w:w="1697" w:type="dxa"/>
            <w:noWrap w:val="0"/>
            <w:vAlign w:val="center"/>
          </w:tcPr>
          <w:p w14:paraId="6F4D8022">
            <w:pPr>
              <w:widowControl/>
              <w:jc w:val="center"/>
              <w:textAlignment w:val="center"/>
              <w:rPr>
                <w:rFonts w:hint="default"/>
                <w:kern w:val="0"/>
                <w:sz w:val="21"/>
                <w:szCs w:val="21"/>
                <w:lang w:val="en-US" w:bidi="ar"/>
              </w:rPr>
            </w:pPr>
            <w:r>
              <w:rPr>
                <w:rFonts w:hint="eastAsia"/>
                <w:kern w:val="0"/>
                <w:sz w:val="21"/>
                <w:szCs w:val="21"/>
                <w:lang w:val="en-US" w:eastAsia="zh-CN" w:bidi="ar"/>
              </w:rPr>
              <w:t>0.081</w:t>
            </w:r>
          </w:p>
        </w:tc>
        <w:tc>
          <w:tcPr>
            <w:tcW w:w="1655" w:type="dxa"/>
            <w:noWrap w:val="0"/>
            <w:vAlign w:val="center"/>
          </w:tcPr>
          <w:p w14:paraId="0F5171E6">
            <w:pPr>
              <w:widowControl/>
              <w:jc w:val="center"/>
              <w:textAlignment w:val="center"/>
              <w:rPr>
                <w:rFonts w:hint="default"/>
                <w:bCs/>
                <w:sz w:val="21"/>
                <w:szCs w:val="21"/>
                <w:lang w:val="en-US"/>
              </w:rPr>
            </w:pPr>
            <w:r>
              <w:rPr>
                <w:rFonts w:hint="eastAsia"/>
                <w:bCs/>
                <w:sz w:val="21"/>
                <w:szCs w:val="21"/>
                <w:lang w:val="en-US" w:eastAsia="zh-CN"/>
              </w:rPr>
              <w:t>0.011</w:t>
            </w:r>
          </w:p>
        </w:tc>
        <w:tc>
          <w:tcPr>
            <w:tcW w:w="1097" w:type="dxa"/>
            <w:vMerge w:val="continue"/>
            <w:noWrap w:val="0"/>
            <w:vAlign w:val="center"/>
          </w:tcPr>
          <w:p w14:paraId="26FC2AB3">
            <w:pPr>
              <w:jc w:val="center"/>
              <w:rPr>
                <w:rFonts w:hint="eastAsia"/>
                <w:bCs/>
                <w:sz w:val="21"/>
                <w:szCs w:val="21"/>
              </w:rPr>
            </w:pPr>
          </w:p>
        </w:tc>
        <w:tc>
          <w:tcPr>
            <w:tcW w:w="970" w:type="dxa"/>
            <w:vMerge w:val="continue"/>
            <w:noWrap w:val="0"/>
            <w:vAlign w:val="center"/>
          </w:tcPr>
          <w:p w14:paraId="0FA598CE">
            <w:pPr>
              <w:jc w:val="center"/>
              <w:rPr>
                <w:rFonts w:hint="eastAsia"/>
                <w:bCs/>
                <w:sz w:val="21"/>
                <w:szCs w:val="21"/>
              </w:rPr>
            </w:pPr>
          </w:p>
        </w:tc>
        <w:tc>
          <w:tcPr>
            <w:tcW w:w="970" w:type="dxa"/>
            <w:vMerge w:val="continue"/>
            <w:noWrap w:val="0"/>
            <w:vAlign w:val="center"/>
          </w:tcPr>
          <w:p w14:paraId="44DB13F8">
            <w:pPr>
              <w:jc w:val="center"/>
              <w:rPr>
                <w:rFonts w:hint="eastAsia"/>
                <w:bCs/>
                <w:sz w:val="21"/>
                <w:szCs w:val="21"/>
              </w:rPr>
            </w:pPr>
          </w:p>
        </w:tc>
        <w:tc>
          <w:tcPr>
            <w:tcW w:w="1029" w:type="dxa"/>
            <w:vMerge w:val="continue"/>
            <w:noWrap w:val="0"/>
            <w:vAlign w:val="center"/>
          </w:tcPr>
          <w:p w14:paraId="43A844C3">
            <w:pPr>
              <w:jc w:val="center"/>
              <w:rPr>
                <w:rFonts w:hint="eastAsia"/>
                <w:bCs/>
                <w:sz w:val="21"/>
                <w:szCs w:val="21"/>
              </w:rPr>
            </w:pPr>
          </w:p>
        </w:tc>
      </w:tr>
    </w:tbl>
    <w:p w14:paraId="6F4992C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非正常排放指生产中开停车（工、炉）、设备检修、工艺设备运转异常等非正常工况下的污染物排放，以及污染排放控制措施达不到应有效率等情况下的排放，对周边环境保护目标造成影响。本次考虑水喷淋和静电除尘装置失效对颗粒物、非甲烷总烃的处理效率降为0%，多管旋风除尘和布袋除尘器失效对颗粒物的处理效率降为0%，低氮燃烧装置和SNCR脱硝装置失效对NOx的处理效率降为0%，一旦装置出现故障，应立即停产直至恢复正常。非正常排放污染源强见下表。</w:t>
      </w:r>
    </w:p>
    <w:p w14:paraId="7491795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bCs/>
          <w:color w:val="auto"/>
          <w:kern w:val="2"/>
          <w:sz w:val="24"/>
          <w:szCs w:val="24"/>
          <w:lang w:val="en-US" w:eastAsia="zh-CN"/>
        </w:rPr>
      </w:pPr>
      <w:r>
        <w:rPr>
          <w:rFonts w:hint="eastAsia" w:ascii="Times New Roman" w:hAnsi="Times New Roman" w:eastAsia="宋体" w:cs="Times New Roman"/>
          <w:b/>
          <w:bCs/>
          <w:color w:val="auto"/>
          <w:kern w:val="2"/>
          <w:sz w:val="24"/>
          <w:szCs w:val="24"/>
          <w:lang w:val="en-US" w:eastAsia="zh-CN"/>
        </w:rPr>
        <w:t>表2-6  非正常工况有组织废气污染源强</w:t>
      </w:r>
    </w:p>
    <w:tbl>
      <w:tblPr>
        <w:tblStyle w:val="38"/>
        <w:tblW w:w="497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462"/>
        <w:gridCol w:w="1298"/>
        <w:gridCol w:w="1480"/>
        <w:gridCol w:w="1688"/>
        <w:gridCol w:w="1870"/>
        <w:gridCol w:w="1460"/>
        <w:gridCol w:w="3431"/>
      </w:tblGrid>
      <w:tr w14:paraId="2AF0A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12" w:space="0"/>
              <w:left w:val="nil"/>
              <w:bottom w:val="single" w:color="auto" w:sz="12" w:space="0"/>
            </w:tcBorders>
            <w:vAlign w:val="center"/>
          </w:tcPr>
          <w:p w14:paraId="081EC7FD">
            <w:pPr>
              <w:jc w:val="center"/>
              <w:rPr>
                <w:b/>
                <w:color w:val="auto"/>
                <w:sz w:val="21"/>
                <w:szCs w:val="21"/>
              </w:rPr>
            </w:pPr>
            <w:r>
              <w:rPr>
                <w:b/>
                <w:color w:val="auto"/>
                <w:sz w:val="21"/>
                <w:szCs w:val="21"/>
              </w:rPr>
              <w:t>污染源</w:t>
            </w:r>
          </w:p>
        </w:tc>
        <w:tc>
          <w:tcPr>
            <w:tcW w:w="527" w:type="pct"/>
            <w:tcBorders>
              <w:top w:val="single" w:color="auto" w:sz="12" w:space="0"/>
              <w:bottom w:val="single" w:color="auto" w:sz="12" w:space="0"/>
            </w:tcBorders>
            <w:vAlign w:val="center"/>
          </w:tcPr>
          <w:p w14:paraId="2DA725EE">
            <w:pPr>
              <w:jc w:val="center"/>
              <w:rPr>
                <w:b/>
                <w:color w:val="auto"/>
                <w:sz w:val="21"/>
                <w:szCs w:val="21"/>
              </w:rPr>
            </w:pPr>
            <w:r>
              <w:rPr>
                <w:b/>
                <w:color w:val="auto"/>
                <w:sz w:val="21"/>
                <w:szCs w:val="21"/>
              </w:rPr>
              <w:t>污染物</w:t>
            </w:r>
          </w:p>
        </w:tc>
        <w:tc>
          <w:tcPr>
            <w:tcW w:w="468" w:type="pct"/>
            <w:tcBorders>
              <w:top w:val="single" w:color="auto" w:sz="12" w:space="0"/>
              <w:bottom w:val="single" w:color="auto" w:sz="12" w:space="0"/>
            </w:tcBorders>
            <w:vAlign w:val="center"/>
          </w:tcPr>
          <w:p w14:paraId="530633DB">
            <w:pPr>
              <w:jc w:val="center"/>
              <w:rPr>
                <w:b/>
                <w:color w:val="auto"/>
                <w:sz w:val="21"/>
                <w:szCs w:val="21"/>
              </w:rPr>
            </w:pPr>
            <w:r>
              <w:rPr>
                <w:b/>
                <w:color w:val="auto"/>
                <w:sz w:val="21"/>
                <w:szCs w:val="21"/>
              </w:rPr>
              <w:t>年发生频次（次）</w:t>
            </w:r>
          </w:p>
        </w:tc>
        <w:tc>
          <w:tcPr>
            <w:tcW w:w="533" w:type="pct"/>
            <w:tcBorders>
              <w:top w:val="single" w:color="auto" w:sz="12" w:space="0"/>
              <w:bottom w:val="single" w:color="auto" w:sz="12" w:space="0"/>
            </w:tcBorders>
            <w:vAlign w:val="center"/>
          </w:tcPr>
          <w:p w14:paraId="744A05D0">
            <w:pPr>
              <w:jc w:val="center"/>
              <w:rPr>
                <w:b/>
                <w:color w:val="auto"/>
                <w:sz w:val="21"/>
                <w:szCs w:val="21"/>
              </w:rPr>
            </w:pPr>
            <w:r>
              <w:rPr>
                <w:b/>
                <w:color w:val="auto"/>
                <w:sz w:val="21"/>
                <w:szCs w:val="21"/>
              </w:rPr>
              <w:t>单次持续时间（h）</w:t>
            </w:r>
          </w:p>
        </w:tc>
        <w:tc>
          <w:tcPr>
            <w:tcW w:w="609" w:type="pct"/>
            <w:tcBorders>
              <w:top w:val="single" w:color="auto" w:sz="12" w:space="0"/>
              <w:bottom w:val="single" w:color="auto" w:sz="12" w:space="0"/>
            </w:tcBorders>
            <w:vAlign w:val="center"/>
          </w:tcPr>
          <w:p w14:paraId="02D40B5A">
            <w:pPr>
              <w:jc w:val="center"/>
              <w:rPr>
                <w:b/>
                <w:color w:val="auto"/>
                <w:sz w:val="21"/>
                <w:szCs w:val="21"/>
              </w:rPr>
            </w:pPr>
            <w:r>
              <w:rPr>
                <w:rFonts w:hint="eastAsia"/>
                <w:b/>
                <w:color w:val="auto"/>
                <w:sz w:val="21"/>
                <w:szCs w:val="21"/>
              </w:rPr>
              <w:t>单次</w:t>
            </w:r>
            <w:r>
              <w:rPr>
                <w:b/>
                <w:color w:val="auto"/>
                <w:sz w:val="21"/>
                <w:szCs w:val="21"/>
              </w:rPr>
              <w:t>排放浓度（mg/m</w:t>
            </w:r>
            <w:r>
              <w:rPr>
                <w:b/>
                <w:color w:val="auto"/>
                <w:sz w:val="21"/>
                <w:szCs w:val="21"/>
                <w:vertAlign w:val="superscript"/>
              </w:rPr>
              <w:t>3</w:t>
            </w:r>
            <w:r>
              <w:rPr>
                <w:b/>
                <w:color w:val="auto"/>
                <w:sz w:val="21"/>
                <w:szCs w:val="21"/>
              </w:rPr>
              <w:t>）</w:t>
            </w:r>
          </w:p>
        </w:tc>
        <w:tc>
          <w:tcPr>
            <w:tcW w:w="674" w:type="pct"/>
            <w:tcBorders>
              <w:top w:val="single" w:color="auto" w:sz="12" w:space="0"/>
              <w:bottom w:val="single" w:color="auto" w:sz="12" w:space="0"/>
            </w:tcBorders>
            <w:vAlign w:val="center"/>
          </w:tcPr>
          <w:p w14:paraId="3DC3FE2E">
            <w:pPr>
              <w:jc w:val="center"/>
              <w:rPr>
                <w:b/>
                <w:color w:val="auto"/>
                <w:sz w:val="21"/>
                <w:szCs w:val="21"/>
              </w:rPr>
            </w:pPr>
            <w:r>
              <w:rPr>
                <w:rFonts w:hint="eastAsia"/>
                <w:b/>
                <w:color w:val="auto"/>
                <w:sz w:val="21"/>
                <w:szCs w:val="21"/>
              </w:rPr>
              <w:t>单次</w:t>
            </w:r>
            <w:r>
              <w:rPr>
                <w:b/>
                <w:color w:val="auto"/>
                <w:sz w:val="21"/>
                <w:szCs w:val="21"/>
              </w:rPr>
              <w:t>排放速率（kg/h）</w:t>
            </w:r>
          </w:p>
        </w:tc>
        <w:tc>
          <w:tcPr>
            <w:tcW w:w="526" w:type="pct"/>
            <w:tcBorders>
              <w:top w:val="single" w:color="auto" w:sz="12" w:space="0"/>
              <w:bottom w:val="single" w:color="auto" w:sz="12" w:space="0"/>
            </w:tcBorders>
            <w:vAlign w:val="center"/>
          </w:tcPr>
          <w:p w14:paraId="0EE5CDDD">
            <w:pPr>
              <w:jc w:val="center"/>
              <w:rPr>
                <w:b/>
                <w:color w:val="auto"/>
                <w:sz w:val="21"/>
                <w:szCs w:val="21"/>
              </w:rPr>
            </w:pPr>
            <w:r>
              <w:rPr>
                <w:rFonts w:hint="eastAsia"/>
                <w:b/>
                <w:color w:val="auto"/>
                <w:sz w:val="21"/>
                <w:szCs w:val="21"/>
              </w:rPr>
              <w:t>单次</w:t>
            </w:r>
            <w:r>
              <w:rPr>
                <w:b/>
                <w:color w:val="auto"/>
                <w:sz w:val="21"/>
                <w:szCs w:val="21"/>
              </w:rPr>
              <w:t>排放量（kg</w:t>
            </w:r>
            <w:r>
              <w:rPr>
                <w:rFonts w:hint="eastAsia"/>
                <w:b/>
                <w:color w:val="auto"/>
                <w:sz w:val="21"/>
                <w:szCs w:val="21"/>
              </w:rPr>
              <w:t>/次</w:t>
            </w:r>
            <w:r>
              <w:rPr>
                <w:b/>
                <w:color w:val="auto"/>
                <w:sz w:val="21"/>
                <w:szCs w:val="21"/>
              </w:rPr>
              <w:t>）</w:t>
            </w:r>
          </w:p>
        </w:tc>
        <w:tc>
          <w:tcPr>
            <w:tcW w:w="1237" w:type="pct"/>
            <w:tcBorders>
              <w:top w:val="single" w:color="auto" w:sz="12" w:space="0"/>
              <w:bottom w:val="single" w:color="auto" w:sz="12" w:space="0"/>
              <w:right w:val="nil"/>
            </w:tcBorders>
            <w:vAlign w:val="center"/>
          </w:tcPr>
          <w:p w14:paraId="0DFB840A">
            <w:pPr>
              <w:jc w:val="center"/>
              <w:rPr>
                <w:b/>
                <w:color w:val="auto"/>
                <w:sz w:val="21"/>
                <w:szCs w:val="21"/>
              </w:rPr>
            </w:pPr>
            <w:r>
              <w:rPr>
                <w:rFonts w:hint="eastAsia"/>
                <w:b/>
                <w:color w:val="auto"/>
                <w:sz w:val="21"/>
                <w:szCs w:val="21"/>
              </w:rPr>
              <w:t>应对措施</w:t>
            </w:r>
          </w:p>
        </w:tc>
      </w:tr>
      <w:tr w14:paraId="692FB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21" w:type="pct"/>
            <w:vMerge w:val="restart"/>
            <w:tcBorders>
              <w:top w:val="single" w:color="auto" w:sz="12" w:space="0"/>
              <w:left w:val="nil"/>
            </w:tcBorders>
            <w:vAlign w:val="center"/>
          </w:tcPr>
          <w:p w14:paraId="462CE04C">
            <w:pPr>
              <w:jc w:val="center"/>
              <w:rPr>
                <w:rFonts w:hint="default" w:eastAsia="宋体"/>
                <w:color w:val="auto"/>
                <w:sz w:val="21"/>
                <w:szCs w:val="21"/>
                <w:lang w:val="en-US" w:eastAsia="zh-CN"/>
              </w:rPr>
            </w:pPr>
            <w:r>
              <w:rPr>
                <w:rFonts w:hint="eastAsia"/>
                <w:color w:val="auto"/>
                <w:sz w:val="21"/>
                <w:szCs w:val="21"/>
                <w:lang w:val="en-US" w:eastAsia="zh-CN"/>
              </w:rPr>
              <w:t>DA001</w:t>
            </w:r>
          </w:p>
        </w:tc>
        <w:tc>
          <w:tcPr>
            <w:tcW w:w="527" w:type="pct"/>
            <w:tcBorders>
              <w:top w:val="single" w:color="auto" w:sz="12" w:space="0"/>
              <w:bottom w:val="single" w:color="auto" w:sz="4" w:space="0"/>
            </w:tcBorders>
            <w:vAlign w:val="center"/>
          </w:tcPr>
          <w:p w14:paraId="61E592A9">
            <w:pPr>
              <w:jc w:val="center"/>
              <w:rPr>
                <w:rFonts w:hint="eastAsia" w:eastAsia="宋体"/>
                <w:color w:val="auto"/>
                <w:sz w:val="21"/>
                <w:szCs w:val="21"/>
                <w:lang w:eastAsia="zh-CN"/>
              </w:rPr>
            </w:pPr>
            <w:r>
              <w:rPr>
                <w:rFonts w:hint="eastAsia"/>
                <w:color w:val="auto"/>
                <w:sz w:val="21"/>
                <w:szCs w:val="21"/>
                <w:lang w:val="en-US" w:eastAsia="zh-CN"/>
              </w:rPr>
              <w:t>颗粒物</w:t>
            </w:r>
          </w:p>
        </w:tc>
        <w:tc>
          <w:tcPr>
            <w:tcW w:w="468" w:type="pct"/>
            <w:tcBorders>
              <w:top w:val="single" w:color="auto" w:sz="12" w:space="0"/>
              <w:bottom w:val="single" w:color="auto" w:sz="4" w:space="0"/>
            </w:tcBorders>
            <w:vAlign w:val="center"/>
          </w:tcPr>
          <w:p w14:paraId="68A05926">
            <w:pPr>
              <w:widowControl/>
              <w:jc w:val="center"/>
              <w:rPr>
                <w:rFonts w:eastAsia="等线"/>
                <w:color w:val="auto"/>
                <w:sz w:val="21"/>
                <w:szCs w:val="21"/>
              </w:rPr>
            </w:pPr>
            <w:r>
              <w:rPr>
                <w:color w:val="auto"/>
                <w:sz w:val="21"/>
                <w:szCs w:val="21"/>
              </w:rPr>
              <w:t>1</w:t>
            </w:r>
            <w:r>
              <w:rPr>
                <w:rFonts w:hint="eastAsia"/>
                <w:color w:val="auto"/>
                <w:sz w:val="21"/>
                <w:szCs w:val="21"/>
              </w:rPr>
              <w:t>~2</w:t>
            </w:r>
          </w:p>
        </w:tc>
        <w:tc>
          <w:tcPr>
            <w:tcW w:w="533" w:type="pct"/>
            <w:tcBorders>
              <w:top w:val="single" w:color="auto" w:sz="12" w:space="0"/>
              <w:bottom w:val="single" w:color="auto" w:sz="4" w:space="0"/>
            </w:tcBorders>
            <w:vAlign w:val="center"/>
          </w:tcPr>
          <w:p w14:paraId="48731B8F">
            <w:pPr>
              <w:widowControl/>
              <w:jc w:val="center"/>
              <w:rPr>
                <w:rFonts w:eastAsia="等线"/>
                <w:color w:val="auto"/>
                <w:sz w:val="21"/>
                <w:szCs w:val="21"/>
              </w:rPr>
            </w:pPr>
            <w:r>
              <w:rPr>
                <w:color w:val="auto"/>
                <w:sz w:val="21"/>
                <w:szCs w:val="21"/>
              </w:rPr>
              <w:t>0.5</w:t>
            </w:r>
          </w:p>
        </w:tc>
        <w:tc>
          <w:tcPr>
            <w:tcW w:w="609" w:type="pct"/>
            <w:tcBorders>
              <w:top w:val="single" w:color="auto" w:sz="12" w:space="0"/>
              <w:bottom w:val="single" w:color="auto" w:sz="4" w:space="0"/>
            </w:tcBorders>
            <w:shd w:val="clear" w:color="auto" w:fill="auto"/>
            <w:vAlign w:val="center"/>
          </w:tcPr>
          <w:p w14:paraId="33A5C398">
            <w:pPr>
              <w:keepNext w:val="0"/>
              <w:keepLines w:val="0"/>
              <w:widowControl/>
              <w:suppressLineNumbers w:val="0"/>
              <w:jc w:val="center"/>
              <w:textAlignment w:val="center"/>
              <w:rPr>
                <w:rFonts w:hint="default" w:eastAsia="宋体"/>
                <w:kern w:val="0"/>
                <w:sz w:val="21"/>
                <w:szCs w:val="21"/>
                <w:lang w:val="en-US" w:eastAsia="zh-CN" w:bidi="ar"/>
              </w:rPr>
            </w:pPr>
            <w:r>
              <w:rPr>
                <w:rFonts w:hint="eastAsia" w:eastAsia="宋体"/>
                <w:kern w:val="0"/>
                <w:sz w:val="21"/>
                <w:szCs w:val="21"/>
                <w:lang w:val="en-US" w:eastAsia="zh-CN" w:bidi="ar"/>
              </w:rPr>
              <w:t>45.8</w:t>
            </w:r>
          </w:p>
        </w:tc>
        <w:tc>
          <w:tcPr>
            <w:tcW w:w="674" w:type="pct"/>
            <w:tcBorders>
              <w:top w:val="single" w:color="auto" w:sz="12" w:space="0"/>
              <w:bottom w:val="single" w:color="auto" w:sz="4" w:space="0"/>
            </w:tcBorders>
            <w:shd w:val="clear" w:color="auto" w:fill="auto"/>
            <w:vAlign w:val="center"/>
          </w:tcPr>
          <w:p w14:paraId="11135E56">
            <w:pPr>
              <w:keepNext w:val="0"/>
              <w:keepLines w:val="0"/>
              <w:widowControl/>
              <w:suppressLineNumbers w:val="0"/>
              <w:jc w:val="center"/>
              <w:textAlignment w:val="center"/>
              <w:rPr>
                <w:rFonts w:hint="default" w:eastAsia="宋体"/>
                <w:kern w:val="0"/>
                <w:sz w:val="21"/>
                <w:szCs w:val="21"/>
                <w:lang w:val="en-US" w:eastAsia="zh-CN" w:bidi="ar"/>
              </w:rPr>
            </w:pPr>
            <w:r>
              <w:rPr>
                <w:rFonts w:hint="eastAsia" w:eastAsia="宋体"/>
                <w:kern w:val="0"/>
                <w:sz w:val="21"/>
                <w:szCs w:val="21"/>
                <w:lang w:val="en-US" w:eastAsia="zh-CN" w:bidi="ar"/>
              </w:rPr>
              <w:t>1.1</w:t>
            </w:r>
          </w:p>
        </w:tc>
        <w:tc>
          <w:tcPr>
            <w:tcW w:w="526" w:type="pct"/>
            <w:tcBorders>
              <w:top w:val="single" w:color="auto" w:sz="12" w:space="0"/>
              <w:bottom w:val="single" w:color="auto" w:sz="4" w:space="0"/>
            </w:tcBorders>
            <w:vAlign w:val="center"/>
          </w:tcPr>
          <w:p w14:paraId="14942ED2">
            <w:pPr>
              <w:keepNext w:val="0"/>
              <w:keepLines w:val="0"/>
              <w:widowControl/>
              <w:suppressLineNumbers w:val="0"/>
              <w:jc w:val="center"/>
              <w:textAlignment w:val="center"/>
              <w:rPr>
                <w:rFonts w:hint="default" w:eastAsia="宋体"/>
                <w:kern w:val="0"/>
                <w:sz w:val="21"/>
                <w:szCs w:val="21"/>
                <w:lang w:val="en-US" w:eastAsia="zh-CN" w:bidi="ar"/>
              </w:rPr>
            </w:pPr>
            <w:r>
              <w:rPr>
                <w:rFonts w:hint="eastAsia" w:eastAsia="宋体"/>
                <w:kern w:val="0"/>
                <w:sz w:val="21"/>
                <w:szCs w:val="21"/>
                <w:lang w:val="en-US" w:eastAsia="zh-CN" w:bidi="ar"/>
              </w:rPr>
              <w:t>0.55</w:t>
            </w:r>
          </w:p>
        </w:tc>
        <w:tc>
          <w:tcPr>
            <w:tcW w:w="1237" w:type="pct"/>
            <w:vMerge w:val="restart"/>
            <w:tcBorders>
              <w:top w:val="single" w:color="auto" w:sz="12" w:space="0"/>
              <w:right w:val="nil"/>
            </w:tcBorders>
            <w:vAlign w:val="center"/>
          </w:tcPr>
          <w:p w14:paraId="1389A6C1">
            <w:pPr>
              <w:jc w:val="center"/>
              <w:rPr>
                <w:color w:val="auto"/>
                <w:sz w:val="21"/>
                <w:szCs w:val="21"/>
              </w:rPr>
            </w:pPr>
            <w:r>
              <w:rPr>
                <w:rFonts w:hint="eastAsia"/>
                <w:color w:val="auto"/>
                <w:sz w:val="21"/>
                <w:szCs w:val="21"/>
              </w:rPr>
              <w:t>制定环保管理制度，有专职环保人员每天定期巡查，做好废气处理设施台账记录，厂区配套监控系统等，加强对废气处理装置的定期检查维护。若发生非正常排放情况，应立即停止生产，待设备恢复正常后方可继续生产</w:t>
            </w:r>
          </w:p>
        </w:tc>
      </w:tr>
      <w:tr w14:paraId="6A0FC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14:paraId="24A6F49E">
            <w:pPr>
              <w:pStyle w:val="159"/>
              <w:spacing w:after="0"/>
              <w:rPr>
                <w:sz w:val="21"/>
                <w:szCs w:val="21"/>
              </w:rPr>
            </w:pPr>
          </w:p>
        </w:tc>
        <w:tc>
          <w:tcPr>
            <w:tcW w:w="527" w:type="pct"/>
            <w:vAlign w:val="center"/>
          </w:tcPr>
          <w:p w14:paraId="5D4B71D3">
            <w:pPr>
              <w:pStyle w:val="159"/>
              <w:spacing w:after="0"/>
              <w:rPr>
                <w:rFonts w:hint="eastAsia" w:eastAsia="宋体"/>
                <w:color w:val="auto"/>
                <w:sz w:val="21"/>
                <w:szCs w:val="21"/>
                <w:lang w:val="en-US" w:eastAsia="zh-CN"/>
              </w:rPr>
            </w:pPr>
            <w:r>
              <w:rPr>
                <w:rFonts w:hint="eastAsia"/>
                <w:color w:val="auto"/>
                <w:sz w:val="21"/>
                <w:szCs w:val="21"/>
                <w:lang w:val="en-US" w:eastAsia="zh-CN"/>
              </w:rPr>
              <w:t>非甲烷总烃</w:t>
            </w:r>
          </w:p>
        </w:tc>
        <w:tc>
          <w:tcPr>
            <w:tcW w:w="468" w:type="pct"/>
            <w:vAlign w:val="center"/>
          </w:tcPr>
          <w:p w14:paraId="7D6E95D5">
            <w:pPr>
              <w:widowControl/>
              <w:jc w:val="center"/>
              <w:rPr>
                <w:rFonts w:hint="eastAsia"/>
                <w:color w:val="auto"/>
                <w:sz w:val="21"/>
                <w:szCs w:val="21"/>
              </w:rPr>
            </w:pPr>
            <w:r>
              <w:rPr>
                <w:color w:val="auto"/>
                <w:sz w:val="21"/>
                <w:szCs w:val="21"/>
              </w:rPr>
              <w:t>1</w:t>
            </w:r>
            <w:r>
              <w:rPr>
                <w:rFonts w:hint="eastAsia"/>
                <w:color w:val="auto"/>
                <w:sz w:val="21"/>
                <w:szCs w:val="21"/>
              </w:rPr>
              <w:t>~2</w:t>
            </w:r>
          </w:p>
        </w:tc>
        <w:tc>
          <w:tcPr>
            <w:tcW w:w="533" w:type="pct"/>
            <w:vAlign w:val="center"/>
          </w:tcPr>
          <w:p w14:paraId="675A7023">
            <w:pPr>
              <w:widowControl/>
              <w:jc w:val="center"/>
              <w:rPr>
                <w:rFonts w:hint="eastAsia"/>
                <w:color w:val="auto"/>
                <w:sz w:val="21"/>
                <w:szCs w:val="21"/>
              </w:rPr>
            </w:pPr>
            <w:r>
              <w:rPr>
                <w:color w:val="auto"/>
                <w:sz w:val="21"/>
                <w:szCs w:val="21"/>
              </w:rPr>
              <w:t>0.5</w:t>
            </w:r>
          </w:p>
        </w:tc>
        <w:tc>
          <w:tcPr>
            <w:tcW w:w="609" w:type="pct"/>
            <w:shd w:val="clear" w:color="auto" w:fill="auto"/>
            <w:vAlign w:val="center"/>
          </w:tcPr>
          <w:p w14:paraId="49442D38">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9.375</w:t>
            </w:r>
          </w:p>
        </w:tc>
        <w:tc>
          <w:tcPr>
            <w:tcW w:w="674" w:type="pct"/>
            <w:shd w:val="clear" w:color="auto" w:fill="auto"/>
            <w:vAlign w:val="center"/>
          </w:tcPr>
          <w:p w14:paraId="70CD6B9B">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0.225</w:t>
            </w:r>
          </w:p>
        </w:tc>
        <w:tc>
          <w:tcPr>
            <w:tcW w:w="526" w:type="pct"/>
            <w:vAlign w:val="center"/>
          </w:tcPr>
          <w:p w14:paraId="7F12BEF1">
            <w:pPr>
              <w:keepNext w:val="0"/>
              <w:keepLines w:val="0"/>
              <w:widowControl/>
              <w:suppressLineNumbers w:val="0"/>
              <w:jc w:val="center"/>
              <w:textAlignment w:val="center"/>
              <w:rPr>
                <w:rFonts w:hint="default" w:eastAsia="宋体"/>
                <w:kern w:val="0"/>
                <w:sz w:val="21"/>
                <w:szCs w:val="21"/>
                <w:lang w:val="en-US" w:eastAsia="zh-CN" w:bidi="ar"/>
              </w:rPr>
            </w:pPr>
            <w:r>
              <w:rPr>
                <w:rFonts w:hint="eastAsia"/>
                <w:kern w:val="0"/>
                <w:sz w:val="21"/>
                <w:szCs w:val="21"/>
                <w:lang w:val="en-US" w:eastAsia="zh-CN" w:bidi="ar"/>
              </w:rPr>
              <w:t>0.113</w:t>
            </w:r>
          </w:p>
        </w:tc>
        <w:tc>
          <w:tcPr>
            <w:tcW w:w="1237" w:type="pct"/>
            <w:vMerge w:val="continue"/>
            <w:tcBorders>
              <w:right w:val="nil"/>
            </w:tcBorders>
            <w:vAlign w:val="center"/>
          </w:tcPr>
          <w:p w14:paraId="2B83F8FA">
            <w:pPr>
              <w:pStyle w:val="159"/>
              <w:spacing w:after="0"/>
              <w:rPr>
                <w:rFonts w:hint="eastAsia"/>
                <w:color w:val="auto"/>
                <w:sz w:val="21"/>
                <w:szCs w:val="21"/>
              </w:rPr>
            </w:pPr>
          </w:p>
        </w:tc>
      </w:tr>
      <w:tr w14:paraId="54645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21" w:type="pct"/>
            <w:vMerge w:val="restart"/>
            <w:tcBorders>
              <w:left w:val="nil"/>
            </w:tcBorders>
            <w:vAlign w:val="center"/>
          </w:tcPr>
          <w:p w14:paraId="2E415182">
            <w:pPr>
              <w:jc w:val="center"/>
              <w:rPr>
                <w:rFonts w:hint="default" w:eastAsia="宋体"/>
                <w:color w:val="auto"/>
                <w:sz w:val="21"/>
                <w:szCs w:val="21"/>
                <w:lang w:val="en-US" w:eastAsia="zh-CN"/>
              </w:rPr>
            </w:pPr>
            <w:r>
              <w:rPr>
                <w:rFonts w:hint="eastAsia"/>
                <w:color w:val="auto"/>
                <w:sz w:val="21"/>
                <w:szCs w:val="21"/>
                <w:lang w:val="en-US" w:eastAsia="zh-CN"/>
              </w:rPr>
              <w:t>DA002</w:t>
            </w:r>
          </w:p>
        </w:tc>
        <w:tc>
          <w:tcPr>
            <w:tcW w:w="527" w:type="pct"/>
            <w:vAlign w:val="center"/>
          </w:tcPr>
          <w:p w14:paraId="02EA27E0">
            <w:pPr>
              <w:widowControl/>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颗粒物</w:t>
            </w:r>
          </w:p>
        </w:tc>
        <w:tc>
          <w:tcPr>
            <w:tcW w:w="468" w:type="pct"/>
            <w:vAlign w:val="center"/>
          </w:tcPr>
          <w:p w14:paraId="5F64E41D">
            <w:pPr>
              <w:widowControl/>
              <w:jc w:val="center"/>
              <w:rPr>
                <w:color w:val="auto"/>
                <w:sz w:val="21"/>
                <w:szCs w:val="21"/>
              </w:rPr>
            </w:pPr>
            <w:r>
              <w:rPr>
                <w:color w:val="auto"/>
                <w:sz w:val="21"/>
                <w:szCs w:val="21"/>
              </w:rPr>
              <w:t>1</w:t>
            </w:r>
            <w:r>
              <w:rPr>
                <w:rFonts w:hint="eastAsia"/>
                <w:color w:val="auto"/>
                <w:sz w:val="21"/>
                <w:szCs w:val="21"/>
              </w:rPr>
              <w:t>~2</w:t>
            </w:r>
          </w:p>
        </w:tc>
        <w:tc>
          <w:tcPr>
            <w:tcW w:w="533" w:type="pct"/>
            <w:vAlign w:val="center"/>
          </w:tcPr>
          <w:p w14:paraId="08A2FCD6">
            <w:pPr>
              <w:widowControl/>
              <w:jc w:val="center"/>
              <w:rPr>
                <w:color w:val="auto"/>
                <w:sz w:val="21"/>
                <w:szCs w:val="21"/>
              </w:rPr>
            </w:pPr>
            <w:r>
              <w:rPr>
                <w:color w:val="auto"/>
                <w:sz w:val="21"/>
                <w:szCs w:val="21"/>
              </w:rPr>
              <w:t>0.5</w:t>
            </w:r>
          </w:p>
        </w:tc>
        <w:tc>
          <w:tcPr>
            <w:tcW w:w="609" w:type="pct"/>
            <w:shd w:val="clear" w:color="auto" w:fill="auto"/>
            <w:vAlign w:val="center"/>
          </w:tcPr>
          <w:p w14:paraId="679B8C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69.29</w:t>
            </w:r>
          </w:p>
        </w:tc>
        <w:tc>
          <w:tcPr>
            <w:tcW w:w="674" w:type="pct"/>
            <w:shd w:val="clear" w:color="auto" w:fill="auto"/>
            <w:vAlign w:val="center"/>
          </w:tcPr>
          <w:p w14:paraId="427916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kern w:val="0"/>
                <w:sz w:val="21"/>
                <w:szCs w:val="21"/>
                <w:lang w:val="en-US" w:eastAsia="zh-CN" w:bidi="ar"/>
              </w:rPr>
              <w:t>0.485</w:t>
            </w:r>
          </w:p>
        </w:tc>
        <w:tc>
          <w:tcPr>
            <w:tcW w:w="526" w:type="pct"/>
            <w:vAlign w:val="center"/>
          </w:tcPr>
          <w:p w14:paraId="13C26610">
            <w:pPr>
              <w:keepNext w:val="0"/>
              <w:keepLines w:val="0"/>
              <w:widowControl/>
              <w:suppressLineNumbers w:val="0"/>
              <w:jc w:val="center"/>
              <w:textAlignment w:val="center"/>
              <w:rPr>
                <w:rFonts w:hint="default"/>
                <w:color w:val="auto"/>
                <w:sz w:val="21"/>
                <w:szCs w:val="21"/>
                <w:lang w:val="en-US" w:eastAsia="zh-CN"/>
              </w:rPr>
            </w:pPr>
            <w:r>
              <w:rPr>
                <w:rFonts w:hint="eastAsia"/>
                <w:kern w:val="0"/>
                <w:sz w:val="21"/>
                <w:szCs w:val="21"/>
                <w:lang w:val="en-US" w:eastAsia="zh-CN" w:bidi="ar"/>
              </w:rPr>
              <w:t>0.242</w:t>
            </w:r>
          </w:p>
        </w:tc>
        <w:tc>
          <w:tcPr>
            <w:tcW w:w="1237" w:type="pct"/>
            <w:vMerge w:val="continue"/>
            <w:tcBorders>
              <w:right w:val="nil"/>
            </w:tcBorders>
            <w:vAlign w:val="center"/>
          </w:tcPr>
          <w:p w14:paraId="54B58AF9">
            <w:pPr>
              <w:jc w:val="center"/>
              <w:rPr>
                <w:color w:val="auto"/>
                <w:sz w:val="21"/>
                <w:szCs w:val="21"/>
              </w:rPr>
            </w:pPr>
          </w:p>
        </w:tc>
      </w:tr>
      <w:tr w14:paraId="12171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14:paraId="0E998E9C">
            <w:pPr>
              <w:pStyle w:val="159"/>
              <w:spacing w:after="0"/>
              <w:rPr>
                <w:sz w:val="21"/>
                <w:szCs w:val="21"/>
              </w:rPr>
            </w:pPr>
          </w:p>
        </w:tc>
        <w:tc>
          <w:tcPr>
            <w:tcW w:w="527" w:type="pct"/>
            <w:vAlign w:val="center"/>
          </w:tcPr>
          <w:p w14:paraId="54642B04">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468" w:type="pct"/>
            <w:vAlign w:val="center"/>
          </w:tcPr>
          <w:p w14:paraId="1B1AC6E9">
            <w:pPr>
              <w:widowControl/>
              <w:jc w:val="center"/>
              <w:rPr>
                <w:rFonts w:hint="eastAsia"/>
                <w:color w:val="auto"/>
                <w:sz w:val="21"/>
                <w:szCs w:val="21"/>
              </w:rPr>
            </w:pPr>
            <w:r>
              <w:rPr>
                <w:color w:val="auto"/>
                <w:sz w:val="21"/>
                <w:szCs w:val="21"/>
              </w:rPr>
              <w:t>1</w:t>
            </w:r>
            <w:r>
              <w:rPr>
                <w:rFonts w:hint="eastAsia"/>
                <w:color w:val="auto"/>
                <w:sz w:val="21"/>
                <w:szCs w:val="21"/>
              </w:rPr>
              <w:t>~2</w:t>
            </w:r>
          </w:p>
        </w:tc>
        <w:tc>
          <w:tcPr>
            <w:tcW w:w="533" w:type="pct"/>
            <w:vAlign w:val="center"/>
          </w:tcPr>
          <w:p w14:paraId="0F89041D">
            <w:pPr>
              <w:widowControl/>
              <w:jc w:val="center"/>
              <w:rPr>
                <w:rFonts w:hint="eastAsia"/>
                <w:color w:val="auto"/>
                <w:sz w:val="21"/>
                <w:szCs w:val="21"/>
              </w:rPr>
            </w:pPr>
            <w:r>
              <w:rPr>
                <w:color w:val="auto"/>
                <w:sz w:val="21"/>
                <w:szCs w:val="21"/>
              </w:rPr>
              <w:t>0.5</w:t>
            </w:r>
          </w:p>
        </w:tc>
        <w:tc>
          <w:tcPr>
            <w:tcW w:w="609" w:type="pct"/>
            <w:shd w:val="clear" w:color="auto" w:fill="auto"/>
            <w:vAlign w:val="center"/>
          </w:tcPr>
          <w:p w14:paraId="43B4459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47.14</w:t>
            </w:r>
          </w:p>
        </w:tc>
        <w:tc>
          <w:tcPr>
            <w:tcW w:w="674" w:type="pct"/>
            <w:shd w:val="clear" w:color="auto" w:fill="auto"/>
            <w:vAlign w:val="center"/>
          </w:tcPr>
          <w:p w14:paraId="4B2B55D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kern w:val="0"/>
                <w:sz w:val="21"/>
                <w:szCs w:val="21"/>
                <w:lang w:val="en-US" w:eastAsia="zh-CN" w:bidi="ar"/>
              </w:rPr>
              <w:t>0.33</w:t>
            </w:r>
          </w:p>
        </w:tc>
        <w:tc>
          <w:tcPr>
            <w:tcW w:w="526" w:type="pct"/>
            <w:vAlign w:val="center"/>
          </w:tcPr>
          <w:p w14:paraId="79010449">
            <w:pPr>
              <w:keepNext w:val="0"/>
              <w:keepLines w:val="0"/>
              <w:widowControl/>
              <w:suppressLineNumbers w:val="0"/>
              <w:jc w:val="center"/>
              <w:textAlignment w:val="center"/>
              <w:rPr>
                <w:rFonts w:hint="default" w:eastAsia="宋体"/>
                <w:color w:val="auto"/>
                <w:sz w:val="21"/>
                <w:szCs w:val="21"/>
                <w:lang w:val="en-US" w:eastAsia="zh-CN"/>
              </w:rPr>
            </w:pPr>
            <w:r>
              <w:rPr>
                <w:rFonts w:hint="eastAsia"/>
                <w:kern w:val="0"/>
                <w:sz w:val="21"/>
                <w:szCs w:val="21"/>
                <w:lang w:val="en-US" w:eastAsia="zh-CN" w:bidi="ar"/>
              </w:rPr>
              <w:t>0.165</w:t>
            </w:r>
          </w:p>
        </w:tc>
        <w:tc>
          <w:tcPr>
            <w:tcW w:w="1237" w:type="pct"/>
            <w:vMerge w:val="continue"/>
            <w:tcBorders>
              <w:right w:val="nil"/>
            </w:tcBorders>
            <w:vAlign w:val="center"/>
          </w:tcPr>
          <w:p w14:paraId="66C81202">
            <w:pPr>
              <w:pStyle w:val="159"/>
              <w:spacing w:after="0"/>
              <w:rPr>
                <w:rFonts w:hint="eastAsia"/>
                <w:color w:val="auto"/>
                <w:sz w:val="21"/>
                <w:szCs w:val="21"/>
              </w:rPr>
            </w:pPr>
          </w:p>
        </w:tc>
      </w:tr>
      <w:tr w14:paraId="73236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14:paraId="7DBEF182">
            <w:pPr>
              <w:pStyle w:val="159"/>
              <w:spacing w:after="0"/>
              <w:rPr>
                <w:rFonts w:hint="eastAsia"/>
                <w:color w:val="auto"/>
                <w:sz w:val="21"/>
                <w:szCs w:val="21"/>
              </w:rPr>
            </w:pPr>
          </w:p>
        </w:tc>
        <w:tc>
          <w:tcPr>
            <w:tcW w:w="527" w:type="pct"/>
            <w:vAlign w:val="center"/>
          </w:tcPr>
          <w:p w14:paraId="1BF27123">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468" w:type="pct"/>
            <w:vAlign w:val="center"/>
          </w:tcPr>
          <w:p w14:paraId="6C90F31B">
            <w:pPr>
              <w:widowControl/>
              <w:jc w:val="center"/>
              <w:rPr>
                <w:rFonts w:hint="eastAsia"/>
                <w:color w:val="auto"/>
                <w:sz w:val="21"/>
                <w:szCs w:val="21"/>
              </w:rPr>
            </w:pPr>
            <w:r>
              <w:rPr>
                <w:color w:val="auto"/>
                <w:sz w:val="21"/>
                <w:szCs w:val="21"/>
              </w:rPr>
              <w:t>1</w:t>
            </w:r>
            <w:r>
              <w:rPr>
                <w:rFonts w:hint="eastAsia"/>
                <w:color w:val="auto"/>
                <w:sz w:val="21"/>
                <w:szCs w:val="21"/>
              </w:rPr>
              <w:t>~2</w:t>
            </w:r>
          </w:p>
        </w:tc>
        <w:tc>
          <w:tcPr>
            <w:tcW w:w="533" w:type="pct"/>
            <w:vAlign w:val="center"/>
          </w:tcPr>
          <w:p w14:paraId="3D121019">
            <w:pPr>
              <w:widowControl/>
              <w:jc w:val="center"/>
              <w:rPr>
                <w:rFonts w:hint="eastAsia"/>
                <w:color w:val="auto"/>
                <w:sz w:val="21"/>
                <w:szCs w:val="21"/>
              </w:rPr>
            </w:pPr>
            <w:r>
              <w:rPr>
                <w:color w:val="auto"/>
                <w:sz w:val="21"/>
                <w:szCs w:val="21"/>
              </w:rPr>
              <w:t>0.5</w:t>
            </w:r>
          </w:p>
        </w:tc>
        <w:tc>
          <w:tcPr>
            <w:tcW w:w="609" w:type="pct"/>
            <w:shd w:val="clear" w:color="auto" w:fill="auto"/>
            <w:vAlign w:val="center"/>
          </w:tcPr>
          <w:p w14:paraId="5C9D35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98.61</w:t>
            </w:r>
          </w:p>
        </w:tc>
        <w:tc>
          <w:tcPr>
            <w:tcW w:w="674" w:type="pct"/>
            <w:shd w:val="clear" w:color="auto" w:fill="auto"/>
            <w:vAlign w:val="center"/>
          </w:tcPr>
          <w:p w14:paraId="77613AC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kern w:val="0"/>
                <w:sz w:val="21"/>
                <w:szCs w:val="21"/>
                <w:lang w:val="en-US" w:eastAsia="zh-CN" w:bidi="ar"/>
              </w:rPr>
              <w:t>0.69</w:t>
            </w:r>
          </w:p>
        </w:tc>
        <w:tc>
          <w:tcPr>
            <w:tcW w:w="526" w:type="pct"/>
            <w:vAlign w:val="center"/>
          </w:tcPr>
          <w:p w14:paraId="461EBB68">
            <w:pPr>
              <w:keepNext w:val="0"/>
              <w:keepLines w:val="0"/>
              <w:widowControl/>
              <w:suppressLineNumbers w:val="0"/>
              <w:jc w:val="center"/>
              <w:textAlignment w:val="center"/>
              <w:rPr>
                <w:rFonts w:hint="default" w:eastAsia="宋体"/>
                <w:color w:val="auto"/>
                <w:sz w:val="21"/>
                <w:szCs w:val="21"/>
                <w:lang w:val="en-US" w:eastAsia="zh-CN"/>
              </w:rPr>
            </w:pPr>
            <w:r>
              <w:rPr>
                <w:rFonts w:hint="eastAsia"/>
                <w:kern w:val="0"/>
                <w:sz w:val="21"/>
                <w:szCs w:val="21"/>
                <w:lang w:val="en-US" w:eastAsia="zh-CN" w:bidi="ar"/>
              </w:rPr>
              <w:t>0.35</w:t>
            </w:r>
          </w:p>
        </w:tc>
        <w:tc>
          <w:tcPr>
            <w:tcW w:w="1237" w:type="pct"/>
            <w:vMerge w:val="continue"/>
            <w:tcBorders>
              <w:right w:val="nil"/>
            </w:tcBorders>
            <w:vAlign w:val="center"/>
          </w:tcPr>
          <w:p w14:paraId="7A2EF5D9">
            <w:pPr>
              <w:pStyle w:val="159"/>
              <w:spacing w:after="0"/>
              <w:rPr>
                <w:rFonts w:hint="eastAsia"/>
                <w:color w:val="auto"/>
                <w:sz w:val="21"/>
                <w:szCs w:val="21"/>
              </w:rPr>
            </w:pPr>
          </w:p>
        </w:tc>
      </w:tr>
      <w:tr w14:paraId="21D3E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14:paraId="2EE536F2">
            <w:pPr>
              <w:pStyle w:val="159"/>
              <w:spacing w:after="0"/>
              <w:rPr>
                <w:rFonts w:hint="eastAsia"/>
                <w:color w:val="auto"/>
                <w:sz w:val="21"/>
                <w:szCs w:val="21"/>
              </w:rPr>
            </w:pPr>
          </w:p>
        </w:tc>
        <w:tc>
          <w:tcPr>
            <w:tcW w:w="527" w:type="pct"/>
            <w:vAlign w:val="center"/>
          </w:tcPr>
          <w:p w14:paraId="157E7828">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汞及其化合物</w:t>
            </w:r>
          </w:p>
        </w:tc>
        <w:tc>
          <w:tcPr>
            <w:tcW w:w="468" w:type="pct"/>
            <w:vAlign w:val="center"/>
          </w:tcPr>
          <w:p w14:paraId="3F05E8E4">
            <w:pPr>
              <w:widowControl/>
              <w:jc w:val="center"/>
              <w:rPr>
                <w:rFonts w:hint="eastAsia"/>
                <w:color w:val="auto"/>
                <w:sz w:val="21"/>
                <w:szCs w:val="21"/>
              </w:rPr>
            </w:pPr>
            <w:r>
              <w:rPr>
                <w:color w:val="auto"/>
                <w:sz w:val="21"/>
                <w:szCs w:val="21"/>
              </w:rPr>
              <w:t>1</w:t>
            </w:r>
            <w:r>
              <w:rPr>
                <w:rFonts w:hint="eastAsia"/>
                <w:color w:val="auto"/>
                <w:sz w:val="21"/>
                <w:szCs w:val="21"/>
              </w:rPr>
              <w:t>~2</w:t>
            </w:r>
          </w:p>
        </w:tc>
        <w:tc>
          <w:tcPr>
            <w:tcW w:w="533" w:type="pct"/>
            <w:vAlign w:val="center"/>
          </w:tcPr>
          <w:p w14:paraId="2B220794">
            <w:pPr>
              <w:widowControl/>
              <w:jc w:val="center"/>
              <w:rPr>
                <w:rFonts w:hint="eastAsia"/>
                <w:color w:val="auto"/>
                <w:sz w:val="21"/>
                <w:szCs w:val="21"/>
              </w:rPr>
            </w:pPr>
            <w:r>
              <w:rPr>
                <w:color w:val="auto"/>
                <w:sz w:val="21"/>
                <w:szCs w:val="21"/>
              </w:rPr>
              <w:t>0.5</w:t>
            </w:r>
          </w:p>
        </w:tc>
        <w:tc>
          <w:tcPr>
            <w:tcW w:w="609" w:type="pct"/>
            <w:vAlign w:val="center"/>
          </w:tcPr>
          <w:p w14:paraId="0F982C9D">
            <w:pPr>
              <w:keepNext w:val="0"/>
              <w:keepLines w:val="0"/>
              <w:widowControl/>
              <w:suppressLineNumbers w:val="0"/>
              <w:jc w:val="center"/>
              <w:textAlignment w:val="center"/>
              <w:rPr>
                <w:rFonts w:hint="eastAsia"/>
                <w:color w:val="auto"/>
                <w:sz w:val="21"/>
                <w:szCs w:val="21"/>
              </w:rPr>
            </w:pPr>
            <w:r>
              <w:rPr>
                <w:rFonts w:hint="eastAsia" w:cs="Times New Roman"/>
                <w:i w:val="0"/>
                <w:iCs w:val="0"/>
                <w:color w:val="000000"/>
                <w:kern w:val="0"/>
                <w:sz w:val="21"/>
                <w:szCs w:val="21"/>
                <w:u w:val="none"/>
                <w:lang w:val="en-US" w:eastAsia="zh-CN" w:bidi="ar"/>
              </w:rPr>
              <w:t>0.028</w:t>
            </w:r>
          </w:p>
        </w:tc>
        <w:tc>
          <w:tcPr>
            <w:tcW w:w="674" w:type="pct"/>
            <w:vAlign w:val="center"/>
          </w:tcPr>
          <w:p w14:paraId="6C1A0F3A">
            <w:pPr>
              <w:keepNext w:val="0"/>
              <w:keepLines w:val="0"/>
              <w:widowControl/>
              <w:suppressLineNumbers w:val="0"/>
              <w:jc w:val="center"/>
              <w:textAlignment w:val="center"/>
              <w:rPr>
                <w:rFonts w:hint="eastAsia"/>
                <w:color w:val="auto"/>
                <w:sz w:val="21"/>
                <w:szCs w:val="21"/>
              </w:rPr>
            </w:pPr>
            <w:r>
              <w:rPr>
                <w:rFonts w:hint="eastAsia"/>
                <w:kern w:val="0"/>
                <w:sz w:val="21"/>
                <w:szCs w:val="21"/>
                <w:lang w:val="en-US" w:eastAsia="zh-CN" w:bidi="ar"/>
              </w:rPr>
              <w:t>0.0002</w:t>
            </w:r>
          </w:p>
        </w:tc>
        <w:tc>
          <w:tcPr>
            <w:tcW w:w="526" w:type="pct"/>
            <w:vAlign w:val="center"/>
          </w:tcPr>
          <w:p w14:paraId="4888137D">
            <w:pPr>
              <w:keepNext w:val="0"/>
              <w:keepLines w:val="0"/>
              <w:widowControl/>
              <w:suppressLineNumbers w:val="0"/>
              <w:jc w:val="center"/>
              <w:textAlignment w:val="center"/>
              <w:rPr>
                <w:rFonts w:hint="default" w:eastAsia="宋体"/>
                <w:color w:val="auto"/>
                <w:sz w:val="21"/>
                <w:szCs w:val="21"/>
                <w:lang w:val="en-US" w:eastAsia="zh-CN"/>
              </w:rPr>
            </w:pPr>
            <w:r>
              <w:rPr>
                <w:rFonts w:hint="eastAsia"/>
                <w:kern w:val="0"/>
                <w:sz w:val="21"/>
                <w:szCs w:val="21"/>
                <w:lang w:val="en-US" w:eastAsia="zh-CN" w:bidi="ar"/>
              </w:rPr>
              <w:t>0.0001</w:t>
            </w:r>
          </w:p>
        </w:tc>
        <w:tc>
          <w:tcPr>
            <w:tcW w:w="1237" w:type="pct"/>
            <w:vMerge w:val="continue"/>
            <w:tcBorders>
              <w:right w:val="nil"/>
            </w:tcBorders>
            <w:vAlign w:val="center"/>
          </w:tcPr>
          <w:p w14:paraId="570926CB">
            <w:pPr>
              <w:pStyle w:val="159"/>
              <w:spacing w:after="0"/>
              <w:rPr>
                <w:rFonts w:hint="eastAsia"/>
                <w:color w:val="auto"/>
                <w:sz w:val="21"/>
                <w:szCs w:val="21"/>
              </w:rPr>
            </w:pPr>
          </w:p>
        </w:tc>
      </w:tr>
      <w:tr w14:paraId="39B6F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restart"/>
            <w:tcBorders>
              <w:left w:val="nil"/>
            </w:tcBorders>
            <w:vAlign w:val="center"/>
          </w:tcPr>
          <w:p w14:paraId="153026CA">
            <w:pPr>
              <w:pStyle w:val="159"/>
              <w:spacing w:after="0"/>
              <w:rPr>
                <w:rFonts w:hint="default" w:eastAsia="宋体"/>
                <w:color w:val="auto"/>
                <w:sz w:val="21"/>
                <w:szCs w:val="21"/>
                <w:lang w:val="en-US" w:eastAsia="zh-CN"/>
              </w:rPr>
            </w:pPr>
            <w:r>
              <w:rPr>
                <w:rFonts w:hint="eastAsia"/>
                <w:color w:val="auto"/>
                <w:sz w:val="21"/>
                <w:szCs w:val="21"/>
                <w:lang w:val="en-US" w:eastAsia="zh-CN"/>
              </w:rPr>
              <w:t>DA003</w:t>
            </w:r>
          </w:p>
        </w:tc>
        <w:tc>
          <w:tcPr>
            <w:tcW w:w="527" w:type="pct"/>
            <w:vAlign w:val="center"/>
          </w:tcPr>
          <w:p w14:paraId="42CCC537">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颗粒物</w:t>
            </w:r>
          </w:p>
        </w:tc>
        <w:tc>
          <w:tcPr>
            <w:tcW w:w="468" w:type="pct"/>
            <w:vAlign w:val="center"/>
          </w:tcPr>
          <w:p w14:paraId="789089C7">
            <w:pPr>
              <w:widowControl/>
              <w:jc w:val="center"/>
              <w:rPr>
                <w:color w:val="auto"/>
                <w:sz w:val="21"/>
                <w:szCs w:val="21"/>
              </w:rPr>
            </w:pPr>
            <w:r>
              <w:rPr>
                <w:color w:val="auto"/>
                <w:sz w:val="21"/>
                <w:szCs w:val="21"/>
              </w:rPr>
              <w:t>1</w:t>
            </w:r>
            <w:r>
              <w:rPr>
                <w:rFonts w:hint="eastAsia"/>
                <w:color w:val="auto"/>
                <w:sz w:val="21"/>
                <w:szCs w:val="21"/>
              </w:rPr>
              <w:t>~2</w:t>
            </w:r>
          </w:p>
        </w:tc>
        <w:tc>
          <w:tcPr>
            <w:tcW w:w="533" w:type="pct"/>
            <w:vAlign w:val="center"/>
          </w:tcPr>
          <w:p w14:paraId="6152E601">
            <w:pPr>
              <w:widowControl/>
              <w:jc w:val="center"/>
              <w:rPr>
                <w:color w:val="auto"/>
                <w:sz w:val="21"/>
                <w:szCs w:val="21"/>
              </w:rPr>
            </w:pPr>
            <w:r>
              <w:rPr>
                <w:color w:val="auto"/>
                <w:sz w:val="21"/>
                <w:szCs w:val="21"/>
              </w:rPr>
              <w:t>0.5</w:t>
            </w:r>
          </w:p>
        </w:tc>
        <w:tc>
          <w:tcPr>
            <w:tcW w:w="609" w:type="pct"/>
            <w:shd w:val="clear" w:color="auto" w:fill="auto"/>
            <w:vAlign w:val="center"/>
          </w:tcPr>
          <w:p w14:paraId="13A744D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69.29</w:t>
            </w:r>
          </w:p>
        </w:tc>
        <w:tc>
          <w:tcPr>
            <w:tcW w:w="674" w:type="pct"/>
            <w:shd w:val="clear" w:color="auto" w:fill="auto"/>
            <w:vAlign w:val="center"/>
          </w:tcPr>
          <w:p w14:paraId="288CD14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kern w:val="0"/>
                <w:sz w:val="21"/>
                <w:szCs w:val="21"/>
                <w:lang w:val="en-US" w:eastAsia="zh-CN" w:bidi="ar"/>
              </w:rPr>
              <w:t>0.485</w:t>
            </w:r>
          </w:p>
        </w:tc>
        <w:tc>
          <w:tcPr>
            <w:tcW w:w="526" w:type="pct"/>
            <w:shd w:val="clear" w:color="auto" w:fill="auto"/>
            <w:vAlign w:val="center"/>
          </w:tcPr>
          <w:p w14:paraId="130E957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kern w:val="0"/>
                <w:sz w:val="21"/>
                <w:szCs w:val="21"/>
                <w:lang w:val="en-US" w:eastAsia="zh-CN" w:bidi="ar"/>
              </w:rPr>
              <w:t>0.242</w:t>
            </w:r>
          </w:p>
        </w:tc>
        <w:tc>
          <w:tcPr>
            <w:tcW w:w="1237" w:type="pct"/>
            <w:vMerge w:val="continue"/>
            <w:tcBorders>
              <w:right w:val="nil"/>
            </w:tcBorders>
            <w:vAlign w:val="center"/>
          </w:tcPr>
          <w:p w14:paraId="24633682">
            <w:pPr>
              <w:pStyle w:val="159"/>
              <w:spacing w:after="0"/>
              <w:rPr>
                <w:rFonts w:hint="eastAsia"/>
                <w:color w:val="auto"/>
                <w:sz w:val="21"/>
                <w:szCs w:val="21"/>
              </w:rPr>
            </w:pPr>
          </w:p>
        </w:tc>
      </w:tr>
      <w:tr w14:paraId="0A741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14:paraId="0A23B5D9">
            <w:pPr>
              <w:pStyle w:val="159"/>
              <w:spacing w:after="0"/>
              <w:rPr>
                <w:rFonts w:hint="eastAsia"/>
                <w:color w:val="auto"/>
                <w:sz w:val="21"/>
                <w:szCs w:val="21"/>
              </w:rPr>
            </w:pPr>
          </w:p>
        </w:tc>
        <w:tc>
          <w:tcPr>
            <w:tcW w:w="527" w:type="pct"/>
            <w:vAlign w:val="center"/>
          </w:tcPr>
          <w:p w14:paraId="1815D6E0">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468" w:type="pct"/>
            <w:vAlign w:val="center"/>
          </w:tcPr>
          <w:p w14:paraId="7D4BCD61">
            <w:pPr>
              <w:widowControl/>
              <w:jc w:val="center"/>
              <w:rPr>
                <w:color w:val="auto"/>
                <w:sz w:val="21"/>
                <w:szCs w:val="21"/>
              </w:rPr>
            </w:pPr>
            <w:r>
              <w:rPr>
                <w:color w:val="auto"/>
                <w:sz w:val="21"/>
                <w:szCs w:val="21"/>
              </w:rPr>
              <w:t>1</w:t>
            </w:r>
            <w:r>
              <w:rPr>
                <w:rFonts w:hint="eastAsia"/>
                <w:color w:val="auto"/>
                <w:sz w:val="21"/>
                <w:szCs w:val="21"/>
              </w:rPr>
              <w:t>~2</w:t>
            </w:r>
          </w:p>
        </w:tc>
        <w:tc>
          <w:tcPr>
            <w:tcW w:w="533" w:type="pct"/>
            <w:vAlign w:val="center"/>
          </w:tcPr>
          <w:p w14:paraId="60E0D19B">
            <w:pPr>
              <w:widowControl/>
              <w:jc w:val="center"/>
              <w:rPr>
                <w:color w:val="auto"/>
                <w:sz w:val="21"/>
                <w:szCs w:val="21"/>
              </w:rPr>
            </w:pPr>
            <w:r>
              <w:rPr>
                <w:color w:val="auto"/>
                <w:sz w:val="21"/>
                <w:szCs w:val="21"/>
              </w:rPr>
              <w:t>0.5</w:t>
            </w:r>
          </w:p>
        </w:tc>
        <w:tc>
          <w:tcPr>
            <w:tcW w:w="609" w:type="pct"/>
            <w:shd w:val="clear" w:color="auto" w:fill="auto"/>
            <w:vAlign w:val="center"/>
          </w:tcPr>
          <w:p w14:paraId="6CFC18C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47.14</w:t>
            </w:r>
          </w:p>
        </w:tc>
        <w:tc>
          <w:tcPr>
            <w:tcW w:w="674" w:type="pct"/>
            <w:shd w:val="clear" w:color="auto" w:fill="auto"/>
            <w:vAlign w:val="center"/>
          </w:tcPr>
          <w:p w14:paraId="3AD0951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kern w:val="0"/>
                <w:sz w:val="21"/>
                <w:szCs w:val="21"/>
                <w:lang w:val="en-US" w:eastAsia="zh-CN" w:bidi="ar"/>
              </w:rPr>
              <w:t>0.33</w:t>
            </w:r>
          </w:p>
        </w:tc>
        <w:tc>
          <w:tcPr>
            <w:tcW w:w="526" w:type="pct"/>
            <w:shd w:val="clear" w:color="auto" w:fill="auto"/>
            <w:vAlign w:val="center"/>
          </w:tcPr>
          <w:p w14:paraId="43D46BA3">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kern w:val="0"/>
                <w:sz w:val="21"/>
                <w:szCs w:val="21"/>
                <w:lang w:val="en-US" w:eastAsia="zh-CN" w:bidi="ar"/>
              </w:rPr>
              <w:t>0.165</w:t>
            </w:r>
          </w:p>
        </w:tc>
        <w:tc>
          <w:tcPr>
            <w:tcW w:w="1237" w:type="pct"/>
            <w:vMerge w:val="continue"/>
            <w:tcBorders>
              <w:right w:val="nil"/>
            </w:tcBorders>
            <w:vAlign w:val="center"/>
          </w:tcPr>
          <w:p w14:paraId="25BB72DA">
            <w:pPr>
              <w:pStyle w:val="159"/>
              <w:spacing w:after="0"/>
              <w:rPr>
                <w:rFonts w:hint="eastAsia"/>
                <w:color w:val="auto"/>
                <w:sz w:val="21"/>
                <w:szCs w:val="21"/>
              </w:rPr>
            </w:pPr>
          </w:p>
        </w:tc>
      </w:tr>
      <w:tr w14:paraId="320FC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14:paraId="3510594D">
            <w:pPr>
              <w:pStyle w:val="159"/>
              <w:spacing w:after="0"/>
              <w:rPr>
                <w:rFonts w:hint="eastAsia"/>
                <w:color w:val="auto"/>
                <w:sz w:val="21"/>
                <w:szCs w:val="21"/>
              </w:rPr>
            </w:pPr>
          </w:p>
        </w:tc>
        <w:tc>
          <w:tcPr>
            <w:tcW w:w="527" w:type="pct"/>
            <w:vAlign w:val="center"/>
          </w:tcPr>
          <w:p w14:paraId="5F433660">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468" w:type="pct"/>
            <w:vAlign w:val="center"/>
          </w:tcPr>
          <w:p w14:paraId="6B374F85">
            <w:pPr>
              <w:widowControl/>
              <w:jc w:val="center"/>
              <w:rPr>
                <w:color w:val="auto"/>
                <w:sz w:val="21"/>
                <w:szCs w:val="21"/>
              </w:rPr>
            </w:pPr>
            <w:r>
              <w:rPr>
                <w:color w:val="auto"/>
                <w:sz w:val="21"/>
                <w:szCs w:val="21"/>
              </w:rPr>
              <w:t>1</w:t>
            </w:r>
            <w:r>
              <w:rPr>
                <w:rFonts w:hint="eastAsia"/>
                <w:color w:val="auto"/>
                <w:sz w:val="21"/>
                <w:szCs w:val="21"/>
              </w:rPr>
              <w:t>~2</w:t>
            </w:r>
          </w:p>
        </w:tc>
        <w:tc>
          <w:tcPr>
            <w:tcW w:w="533" w:type="pct"/>
            <w:vAlign w:val="center"/>
          </w:tcPr>
          <w:p w14:paraId="553DAF3D">
            <w:pPr>
              <w:widowControl/>
              <w:jc w:val="center"/>
              <w:rPr>
                <w:color w:val="auto"/>
                <w:sz w:val="21"/>
                <w:szCs w:val="21"/>
              </w:rPr>
            </w:pPr>
            <w:r>
              <w:rPr>
                <w:color w:val="auto"/>
                <w:sz w:val="21"/>
                <w:szCs w:val="21"/>
              </w:rPr>
              <w:t>0.5</w:t>
            </w:r>
          </w:p>
        </w:tc>
        <w:tc>
          <w:tcPr>
            <w:tcW w:w="1718" w:type="dxa"/>
            <w:shd w:val="clear" w:color="auto" w:fill="auto"/>
            <w:vAlign w:val="center"/>
          </w:tcPr>
          <w:p w14:paraId="7F890AF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98.61</w:t>
            </w:r>
          </w:p>
        </w:tc>
        <w:tc>
          <w:tcPr>
            <w:tcW w:w="1903" w:type="dxa"/>
            <w:shd w:val="clear" w:color="auto" w:fill="auto"/>
            <w:vAlign w:val="center"/>
          </w:tcPr>
          <w:p w14:paraId="0DA77D6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kern w:val="0"/>
                <w:sz w:val="21"/>
                <w:szCs w:val="21"/>
                <w:lang w:val="en-US" w:eastAsia="zh-CN" w:bidi="ar"/>
              </w:rPr>
              <w:t>0.69</w:t>
            </w:r>
          </w:p>
        </w:tc>
        <w:tc>
          <w:tcPr>
            <w:tcW w:w="1486" w:type="dxa"/>
            <w:shd w:val="clear" w:color="auto" w:fill="auto"/>
            <w:vAlign w:val="center"/>
          </w:tcPr>
          <w:p w14:paraId="7E6393B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kern w:val="0"/>
                <w:sz w:val="21"/>
                <w:szCs w:val="21"/>
                <w:lang w:val="en-US" w:eastAsia="zh-CN" w:bidi="ar"/>
              </w:rPr>
              <w:t>0.35</w:t>
            </w:r>
          </w:p>
        </w:tc>
        <w:tc>
          <w:tcPr>
            <w:tcW w:w="1237" w:type="pct"/>
            <w:vMerge w:val="continue"/>
            <w:tcBorders>
              <w:right w:val="nil"/>
            </w:tcBorders>
            <w:vAlign w:val="center"/>
          </w:tcPr>
          <w:p w14:paraId="4A0B8E02">
            <w:pPr>
              <w:pStyle w:val="159"/>
              <w:spacing w:after="0"/>
              <w:rPr>
                <w:rFonts w:hint="eastAsia"/>
                <w:color w:val="auto"/>
                <w:sz w:val="21"/>
                <w:szCs w:val="21"/>
              </w:rPr>
            </w:pPr>
          </w:p>
        </w:tc>
      </w:tr>
      <w:tr w14:paraId="76D39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14:paraId="052AD822">
            <w:pPr>
              <w:pStyle w:val="159"/>
              <w:spacing w:after="0"/>
              <w:rPr>
                <w:rFonts w:hint="eastAsia"/>
                <w:color w:val="auto"/>
                <w:sz w:val="21"/>
                <w:szCs w:val="21"/>
              </w:rPr>
            </w:pPr>
          </w:p>
        </w:tc>
        <w:tc>
          <w:tcPr>
            <w:tcW w:w="527" w:type="pct"/>
            <w:vAlign w:val="center"/>
          </w:tcPr>
          <w:p w14:paraId="4BEE5B9A">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汞及其化合物</w:t>
            </w:r>
          </w:p>
        </w:tc>
        <w:tc>
          <w:tcPr>
            <w:tcW w:w="468" w:type="pct"/>
            <w:vAlign w:val="center"/>
          </w:tcPr>
          <w:p w14:paraId="5657404F">
            <w:pPr>
              <w:widowControl/>
              <w:jc w:val="center"/>
              <w:rPr>
                <w:color w:val="auto"/>
                <w:sz w:val="21"/>
                <w:szCs w:val="21"/>
              </w:rPr>
            </w:pPr>
            <w:r>
              <w:rPr>
                <w:color w:val="auto"/>
                <w:sz w:val="21"/>
                <w:szCs w:val="21"/>
              </w:rPr>
              <w:t>1</w:t>
            </w:r>
            <w:r>
              <w:rPr>
                <w:rFonts w:hint="eastAsia"/>
                <w:color w:val="auto"/>
                <w:sz w:val="21"/>
                <w:szCs w:val="21"/>
              </w:rPr>
              <w:t>~2</w:t>
            </w:r>
          </w:p>
        </w:tc>
        <w:tc>
          <w:tcPr>
            <w:tcW w:w="533" w:type="pct"/>
            <w:vAlign w:val="center"/>
          </w:tcPr>
          <w:p w14:paraId="1FBB0DB7">
            <w:pPr>
              <w:widowControl/>
              <w:jc w:val="center"/>
              <w:rPr>
                <w:color w:val="auto"/>
                <w:sz w:val="21"/>
                <w:szCs w:val="21"/>
              </w:rPr>
            </w:pPr>
            <w:r>
              <w:rPr>
                <w:color w:val="auto"/>
                <w:sz w:val="21"/>
                <w:szCs w:val="21"/>
              </w:rPr>
              <w:t>0.5</w:t>
            </w:r>
          </w:p>
        </w:tc>
        <w:tc>
          <w:tcPr>
            <w:tcW w:w="1688" w:type="dxa"/>
            <w:shd w:val="clear" w:color="auto" w:fill="auto"/>
            <w:vAlign w:val="center"/>
          </w:tcPr>
          <w:p w14:paraId="18CB5FC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0.053</w:t>
            </w:r>
          </w:p>
        </w:tc>
        <w:tc>
          <w:tcPr>
            <w:tcW w:w="1870" w:type="dxa"/>
            <w:shd w:val="clear" w:color="auto" w:fill="auto"/>
            <w:vAlign w:val="center"/>
          </w:tcPr>
          <w:p w14:paraId="2C44CFF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0.0004</w:t>
            </w:r>
          </w:p>
        </w:tc>
        <w:tc>
          <w:tcPr>
            <w:tcW w:w="1460" w:type="dxa"/>
            <w:shd w:val="clear" w:color="auto" w:fill="auto"/>
            <w:vAlign w:val="center"/>
          </w:tcPr>
          <w:p w14:paraId="596BD85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0.0002</w:t>
            </w:r>
          </w:p>
        </w:tc>
        <w:tc>
          <w:tcPr>
            <w:tcW w:w="1237" w:type="pct"/>
            <w:vMerge w:val="continue"/>
            <w:tcBorders>
              <w:right w:val="nil"/>
            </w:tcBorders>
            <w:vAlign w:val="center"/>
          </w:tcPr>
          <w:p w14:paraId="34EED81A">
            <w:pPr>
              <w:pStyle w:val="159"/>
              <w:spacing w:after="0"/>
              <w:rPr>
                <w:rFonts w:hint="eastAsia"/>
                <w:color w:val="auto"/>
                <w:sz w:val="21"/>
                <w:szCs w:val="21"/>
              </w:rPr>
            </w:pPr>
          </w:p>
        </w:tc>
      </w:tr>
    </w:tbl>
    <w:p w14:paraId="093CE8E2">
      <w:pPr>
        <w:pStyle w:val="156"/>
        <w:rPr>
          <w:rFonts w:ascii="Times New Roman" w:eastAsia="宋体"/>
          <w:bCs/>
          <w:color w:val="auto"/>
          <w:kern w:val="2"/>
          <w:sz w:val="24"/>
          <w:szCs w:val="24"/>
        </w:rPr>
      </w:pPr>
    </w:p>
    <w:p w14:paraId="40B2D376">
      <w:pPr>
        <w:pStyle w:val="156"/>
        <w:rPr>
          <w:rFonts w:ascii="Times New Roman" w:eastAsia="宋体"/>
          <w:bCs/>
          <w:color w:val="auto"/>
          <w:kern w:val="2"/>
          <w:sz w:val="24"/>
          <w:szCs w:val="24"/>
        </w:rPr>
        <w:sectPr>
          <w:pgSz w:w="16839" w:h="11907" w:orient="landscape"/>
          <w:pgMar w:top="1800" w:right="1440" w:bottom="1800" w:left="1440" w:header="1134" w:footer="992" w:gutter="0"/>
          <w:pgBorders>
            <w:top w:val="none" w:sz="0" w:space="0"/>
            <w:left w:val="none" w:sz="0" w:space="0"/>
            <w:bottom w:val="none" w:sz="0" w:space="0"/>
            <w:right w:val="none" w:sz="0" w:space="0"/>
          </w:pgBorders>
          <w:cols w:space="720" w:num="1"/>
          <w:docGrid w:linePitch="312" w:charSpace="0"/>
        </w:sectPr>
      </w:pPr>
    </w:p>
    <w:p w14:paraId="2108E9F7">
      <w:pPr>
        <w:pStyle w:val="156"/>
        <w:ind w:left="0" w:leftChars="0" w:firstLine="0" w:firstLineChars="0"/>
        <w:jc w:val="center"/>
        <w:rPr>
          <w:rFonts w:ascii="Times New Roman" w:eastAsia="宋体"/>
          <w:bCs/>
          <w:color w:val="auto"/>
          <w:kern w:val="2"/>
          <w:sz w:val="24"/>
          <w:szCs w:val="24"/>
        </w:rPr>
      </w:pPr>
      <w:r>
        <w:rPr>
          <w:rFonts w:ascii="Times New Roman" w:eastAsia="宋体"/>
          <w:bCs/>
          <w:color w:val="auto"/>
          <w:kern w:val="2"/>
          <w:sz w:val="24"/>
          <w:szCs w:val="24"/>
        </w:rPr>
        <w:t>表</w:t>
      </w:r>
      <w:r>
        <w:rPr>
          <w:rFonts w:hint="eastAsia" w:ascii="Times New Roman" w:eastAsia="宋体"/>
          <w:bCs/>
          <w:color w:val="auto"/>
          <w:kern w:val="2"/>
          <w:sz w:val="24"/>
          <w:szCs w:val="24"/>
        </w:rPr>
        <w:t>2-</w:t>
      </w:r>
      <w:r>
        <w:rPr>
          <w:rFonts w:hint="eastAsia" w:ascii="Times New Roman" w:eastAsia="宋体"/>
          <w:bCs/>
          <w:color w:val="auto"/>
          <w:kern w:val="2"/>
          <w:sz w:val="24"/>
          <w:szCs w:val="24"/>
          <w:lang w:val="en-US" w:eastAsia="zh-CN"/>
        </w:rPr>
        <w:t xml:space="preserve">7  </w:t>
      </w:r>
      <w:r>
        <w:rPr>
          <w:rFonts w:hint="eastAsia" w:ascii="Times New Roman" w:eastAsia="宋体"/>
          <w:bCs/>
          <w:color w:val="auto"/>
          <w:kern w:val="2"/>
          <w:sz w:val="24"/>
          <w:szCs w:val="24"/>
        </w:rPr>
        <w:t>本项目大气污染物有组织排放量核算表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556"/>
        <w:gridCol w:w="1543"/>
        <w:gridCol w:w="1544"/>
        <w:gridCol w:w="1626"/>
        <w:gridCol w:w="1500"/>
        <w:gridCol w:w="1535"/>
      </w:tblGrid>
      <w:tr w14:paraId="2A13D1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tcBorders>
              <w:tl2br w:val="nil"/>
              <w:tr2bl w:val="nil"/>
            </w:tcBorders>
            <w:shd w:val="clear" w:color="auto" w:fill="auto"/>
            <w:vAlign w:val="center"/>
          </w:tcPr>
          <w:p w14:paraId="2A669400">
            <w:pPr>
              <w:widowControl/>
              <w:jc w:val="center"/>
              <w:rPr>
                <w:b/>
                <w:bCs/>
                <w:color w:val="auto"/>
                <w:kern w:val="0"/>
                <w:szCs w:val="21"/>
              </w:rPr>
            </w:pPr>
            <w:r>
              <w:rPr>
                <w:b/>
                <w:bCs/>
                <w:color w:val="auto"/>
                <w:kern w:val="0"/>
                <w:szCs w:val="21"/>
              </w:rPr>
              <w:t>序号</w:t>
            </w:r>
          </w:p>
        </w:tc>
        <w:tc>
          <w:tcPr>
            <w:tcW w:w="953" w:type="pct"/>
            <w:tcBorders>
              <w:tl2br w:val="nil"/>
              <w:tr2bl w:val="nil"/>
            </w:tcBorders>
            <w:shd w:val="clear" w:color="auto" w:fill="auto"/>
            <w:vAlign w:val="center"/>
          </w:tcPr>
          <w:p w14:paraId="6D34B793">
            <w:pPr>
              <w:widowControl/>
              <w:jc w:val="center"/>
              <w:rPr>
                <w:b/>
                <w:bCs/>
                <w:color w:val="auto"/>
                <w:kern w:val="0"/>
                <w:szCs w:val="21"/>
              </w:rPr>
            </w:pPr>
            <w:r>
              <w:rPr>
                <w:b/>
                <w:bCs/>
                <w:color w:val="auto"/>
                <w:kern w:val="0"/>
                <w:szCs w:val="21"/>
              </w:rPr>
              <w:t>排放口编号</w:t>
            </w:r>
          </w:p>
        </w:tc>
        <w:tc>
          <w:tcPr>
            <w:tcW w:w="954" w:type="pct"/>
            <w:tcBorders>
              <w:tl2br w:val="nil"/>
              <w:tr2bl w:val="nil"/>
            </w:tcBorders>
            <w:shd w:val="clear" w:color="auto" w:fill="auto"/>
            <w:vAlign w:val="center"/>
          </w:tcPr>
          <w:p w14:paraId="4EAB64D6">
            <w:pPr>
              <w:widowControl/>
              <w:jc w:val="center"/>
              <w:rPr>
                <w:b/>
                <w:bCs/>
                <w:color w:val="auto"/>
                <w:kern w:val="0"/>
                <w:szCs w:val="21"/>
              </w:rPr>
            </w:pPr>
            <w:r>
              <w:rPr>
                <w:b/>
                <w:bCs/>
                <w:color w:val="auto"/>
                <w:kern w:val="0"/>
                <w:szCs w:val="21"/>
              </w:rPr>
              <w:t>污染物</w:t>
            </w:r>
          </w:p>
        </w:tc>
        <w:tc>
          <w:tcPr>
            <w:tcW w:w="954" w:type="pct"/>
            <w:tcBorders>
              <w:tl2br w:val="nil"/>
              <w:tr2bl w:val="nil"/>
            </w:tcBorders>
            <w:shd w:val="clear" w:color="auto" w:fill="auto"/>
            <w:vAlign w:val="center"/>
          </w:tcPr>
          <w:p w14:paraId="6A4EBA3C">
            <w:pPr>
              <w:widowControl/>
              <w:jc w:val="center"/>
              <w:rPr>
                <w:b/>
                <w:bCs/>
                <w:color w:val="auto"/>
                <w:kern w:val="0"/>
                <w:szCs w:val="21"/>
              </w:rPr>
            </w:pPr>
            <w:r>
              <w:rPr>
                <w:b/>
                <w:bCs/>
                <w:color w:val="auto"/>
                <w:kern w:val="0"/>
                <w:szCs w:val="21"/>
              </w:rPr>
              <w:t>核算排放浓度/（mg/m</w:t>
            </w:r>
            <w:r>
              <w:rPr>
                <w:b/>
                <w:bCs/>
                <w:color w:val="auto"/>
                <w:kern w:val="0"/>
                <w:szCs w:val="21"/>
                <w:vertAlign w:val="superscript"/>
              </w:rPr>
              <w:t>3</w:t>
            </w:r>
            <w:r>
              <w:rPr>
                <w:b/>
                <w:bCs/>
                <w:color w:val="auto"/>
                <w:kern w:val="0"/>
                <w:szCs w:val="21"/>
              </w:rPr>
              <w:t>）</w:t>
            </w:r>
          </w:p>
        </w:tc>
        <w:tc>
          <w:tcPr>
            <w:tcW w:w="880" w:type="pct"/>
            <w:tcBorders>
              <w:tl2br w:val="nil"/>
              <w:tr2bl w:val="nil"/>
            </w:tcBorders>
            <w:shd w:val="clear" w:color="auto" w:fill="auto"/>
            <w:vAlign w:val="center"/>
          </w:tcPr>
          <w:p w14:paraId="60C728B5">
            <w:pPr>
              <w:widowControl/>
              <w:jc w:val="center"/>
              <w:rPr>
                <w:b/>
                <w:bCs/>
                <w:color w:val="auto"/>
                <w:kern w:val="0"/>
                <w:szCs w:val="21"/>
              </w:rPr>
            </w:pPr>
            <w:r>
              <w:rPr>
                <w:b/>
                <w:bCs/>
                <w:color w:val="auto"/>
                <w:kern w:val="0"/>
                <w:szCs w:val="21"/>
              </w:rPr>
              <w:t>核算排放速率/（kg/h）</w:t>
            </w:r>
          </w:p>
        </w:tc>
        <w:tc>
          <w:tcPr>
            <w:tcW w:w="899" w:type="pct"/>
            <w:tcBorders>
              <w:tl2br w:val="nil"/>
              <w:tr2bl w:val="nil"/>
            </w:tcBorders>
            <w:shd w:val="clear" w:color="auto" w:fill="auto"/>
            <w:vAlign w:val="center"/>
          </w:tcPr>
          <w:p w14:paraId="2D3645E1">
            <w:pPr>
              <w:widowControl/>
              <w:jc w:val="center"/>
              <w:rPr>
                <w:b/>
                <w:bCs/>
                <w:color w:val="auto"/>
                <w:kern w:val="0"/>
                <w:szCs w:val="21"/>
              </w:rPr>
            </w:pPr>
            <w:r>
              <w:rPr>
                <w:b/>
                <w:bCs/>
                <w:color w:val="auto"/>
                <w:kern w:val="0"/>
                <w:szCs w:val="21"/>
              </w:rPr>
              <w:t>核算年排放量/（t/a）</w:t>
            </w:r>
          </w:p>
        </w:tc>
      </w:tr>
      <w:tr w14:paraId="594DE5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auto"/>
            <w:vAlign w:val="center"/>
          </w:tcPr>
          <w:p w14:paraId="2754DED1">
            <w:pPr>
              <w:widowControl/>
              <w:jc w:val="center"/>
              <w:rPr>
                <w:color w:val="auto"/>
                <w:kern w:val="0"/>
                <w:szCs w:val="21"/>
              </w:rPr>
            </w:pPr>
            <w:r>
              <w:rPr>
                <w:rFonts w:hint="eastAsia"/>
                <w:color w:val="auto"/>
                <w:szCs w:val="21"/>
              </w:rPr>
              <w:t>一般排放口</w:t>
            </w:r>
          </w:p>
        </w:tc>
      </w:tr>
      <w:tr w14:paraId="3339BA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restart"/>
            <w:tcBorders>
              <w:tl2br w:val="nil"/>
              <w:tr2bl w:val="nil"/>
            </w:tcBorders>
            <w:shd w:val="clear" w:color="auto" w:fill="auto"/>
            <w:noWrap/>
            <w:vAlign w:val="center"/>
          </w:tcPr>
          <w:p w14:paraId="4A562BEF">
            <w:pPr>
              <w:widowControl/>
              <w:jc w:val="center"/>
              <w:rPr>
                <w:color w:val="auto"/>
                <w:kern w:val="0"/>
                <w:szCs w:val="21"/>
              </w:rPr>
            </w:pPr>
            <w:r>
              <w:rPr>
                <w:color w:val="auto"/>
                <w:kern w:val="0"/>
                <w:szCs w:val="21"/>
              </w:rPr>
              <w:t>1</w:t>
            </w:r>
          </w:p>
        </w:tc>
        <w:tc>
          <w:tcPr>
            <w:tcW w:w="953" w:type="pct"/>
            <w:vMerge w:val="restart"/>
            <w:tcBorders>
              <w:tl2br w:val="nil"/>
              <w:tr2bl w:val="nil"/>
            </w:tcBorders>
            <w:shd w:val="clear" w:color="auto" w:fill="auto"/>
            <w:vAlign w:val="center"/>
          </w:tcPr>
          <w:p w14:paraId="58A586A5">
            <w:pPr>
              <w:widowControl/>
              <w:jc w:val="center"/>
              <w:rPr>
                <w:color w:val="auto"/>
                <w:kern w:val="0"/>
                <w:szCs w:val="21"/>
              </w:rPr>
            </w:pPr>
            <w:r>
              <w:rPr>
                <w:rFonts w:hint="eastAsia"/>
                <w:color w:val="auto"/>
                <w:kern w:val="0"/>
                <w:szCs w:val="21"/>
                <w:lang w:val="en-US" w:eastAsia="zh-CN"/>
              </w:rPr>
              <w:t>DA001</w:t>
            </w:r>
            <w:r>
              <w:rPr>
                <w:rFonts w:hint="eastAsia"/>
                <w:color w:val="auto"/>
                <w:kern w:val="0"/>
                <w:szCs w:val="21"/>
              </w:rPr>
              <w:t>排气筒</w:t>
            </w:r>
          </w:p>
        </w:tc>
        <w:tc>
          <w:tcPr>
            <w:tcW w:w="954" w:type="pct"/>
            <w:tcBorders>
              <w:tl2br w:val="nil"/>
              <w:tr2bl w:val="nil"/>
            </w:tcBorders>
            <w:shd w:val="clear" w:color="auto" w:fill="auto"/>
            <w:vAlign w:val="center"/>
          </w:tcPr>
          <w:p w14:paraId="4C813272">
            <w:pPr>
              <w:pStyle w:val="105"/>
              <w:spacing w:line="240" w:lineRule="exact"/>
              <w:rPr>
                <w:color w:val="auto"/>
                <w:sz w:val="21"/>
                <w:szCs w:val="21"/>
              </w:rPr>
            </w:pPr>
            <w:r>
              <w:rPr>
                <w:color w:val="auto"/>
                <w:sz w:val="21"/>
                <w:szCs w:val="21"/>
              </w:rPr>
              <w:t>颗粒物</w:t>
            </w:r>
          </w:p>
        </w:tc>
        <w:tc>
          <w:tcPr>
            <w:tcW w:w="954" w:type="pct"/>
            <w:tcBorders>
              <w:tl2br w:val="nil"/>
              <w:tr2bl w:val="nil"/>
            </w:tcBorders>
            <w:shd w:val="clear" w:color="auto" w:fill="auto"/>
            <w:noWrap/>
            <w:vAlign w:val="center"/>
          </w:tcPr>
          <w:p w14:paraId="47565A22">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0.712</w:t>
            </w:r>
          </w:p>
        </w:tc>
        <w:tc>
          <w:tcPr>
            <w:tcW w:w="880" w:type="pct"/>
            <w:tcBorders>
              <w:tl2br w:val="nil"/>
              <w:tr2bl w:val="nil"/>
            </w:tcBorders>
            <w:shd w:val="clear" w:color="auto" w:fill="auto"/>
            <w:noWrap/>
            <w:vAlign w:val="center"/>
          </w:tcPr>
          <w:p w14:paraId="4D1FF361">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0.0165</w:t>
            </w:r>
          </w:p>
        </w:tc>
        <w:tc>
          <w:tcPr>
            <w:tcW w:w="899" w:type="pct"/>
            <w:tcBorders>
              <w:tl2br w:val="nil"/>
              <w:tr2bl w:val="nil"/>
            </w:tcBorders>
            <w:shd w:val="clear" w:color="auto" w:fill="auto"/>
            <w:noWrap/>
            <w:vAlign w:val="center"/>
          </w:tcPr>
          <w:p w14:paraId="2C535EE1">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0.123</w:t>
            </w:r>
          </w:p>
        </w:tc>
      </w:tr>
      <w:tr w14:paraId="01D79A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continue"/>
            <w:tcBorders>
              <w:tl2br w:val="nil"/>
              <w:tr2bl w:val="nil"/>
            </w:tcBorders>
            <w:vAlign w:val="center"/>
          </w:tcPr>
          <w:p w14:paraId="266D7B0E">
            <w:pPr>
              <w:widowControl/>
              <w:jc w:val="center"/>
              <w:rPr>
                <w:color w:val="auto"/>
                <w:kern w:val="0"/>
                <w:szCs w:val="21"/>
              </w:rPr>
            </w:pPr>
          </w:p>
        </w:tc>
        <w:tc>
          <w:tcPr>
            <w:tcW w:w="953" w:type="pct"/>
            <w:vMerge w:val="continue"/>
            <w:tcBorders>
              <w:tl2br w:val="nil"/>
              <w:tr2bl w:val="nil"/>
            </w:tcBorders>
            <w:vAlign w:val="center"/>
          </w:tcPr>
          <w:p w14:paraId="0EB771AF">
            <w:pPr>
              <w:widowControl/>
              <w:jc w:val="left"/>
              <w:rPr>
                <w:color w:val="auto"/>
                <w:kern w:val="0"/>
                <w:szCs w:val="21"/>
              </w:rPr>
            </w:pPr>
          </w:p>
        </w:tc>
        <w:tc>
          <w:tcPr>
            <w:tcW w:w="954" w:type="pct"/>
            <w:tcBorders>
              <w:tl2br w:val="nil"/>
              <w:tr2bl w:val="nil"/>
            </w:tcBorders>
            <w:shd w:val="clear" w:color="auto" w:fill="auto"/>
            <w:vAlign w:val="center"/>
          </w:tcPr>
          <w:p w14:paraId="5F031EED">
            <w:pPr>
              <w:pStyle w:val="105"/>
              <w:spacing w:line="240" w:lineRule="exact"/>
              <w:rPr>
                <w:color w:val="auto"/>
                <w:sz w:val="21"/>
                <w:szCs w:val="21"/>
              </w:rPr>
            </w:pPr>
            <w:r>
              <w:rPr>
                <w:color w:val="auto"/>
                <w:sz w:val="21"/>
                <w:szCs w:val="21"/>
              </w:rPr>
              <w:t>非甲烷总烃</w:t>
            </w:r>
          </w:p>
        </w:tc>
        <w:tc>
          <w:tcPr>
            <w:tcW w:w="954" w:type="pct"/>
            <w:tcBorders>
              <w:tl2br w:val="nil"/>
              <w:tr2bl w:val="nil"/>
            </w:tcBorders>
            <w:shd w:val="clear" w:color="auto" w:fill="auto"/>
            <w:noWrap/>
            <w:vAlign w:val="center"/>
          </w:tcPr>
          <w:p w14:paraId="4A0CE4E2">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1.78</w:t>
            </w:r>
          </w:p>
        </w:tc>
        <w:tc>
          <w:tcPr>
            <w:tcW w:w="880" w:type="pct"/>
            <w:tcBorders>
              <w:tl2br w:val="nil"/>
              <w:tr2bl w:val="nil"/>
            </w:tcBorders>
            <w:shd w:val="clear" w:color="auto" w:fill="auto"/>
            <w:noWrap/>
            <w:vAlign w:val="center"/>
          </w:tcPr>
          <w:p w14:paraId="42DF8AC7">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0.043</w:t>
            </w:r>
          </w:p>
        </w:tc>
        <w:tc>
          <w:tcPr>
            <w:tcW w:w="899" w:type="pct"/>
            <w:tcBorders>
              <w:tl2br w:val="nil"/>
              <w:tr2bl w:val="nil"/>
            </w:tcBorders>
            <w:shd w:val="clear" w:color="auto" w:fill="auto"/>
            <w:noWrap/>
            <w:vAlign w:val="center"/>
          </w:tcPr>
          <w:p w14:paraId="35F04849">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0.308</w:t>
            </w:r>
          </w:p>
        </w:tc>
      </w:tr>
      <w:tr w14:paraId="508849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restart"/>
            <w:tcBorders>
              <w:top w:val="single" w:color="000000" w:sz="8" w:space="0"/>
              <w:tl2br w:val="nil"/>
              <w:tr2bl w:val="nil"/>
            </w:tcBorders>
            <w:vAlign w:val="center"/>
          </w:tcPr>
          <w:p w14:paraId="41A6B817">
            <w:pPr>
              <w:widowControl/>
              <w:jc w:val="center"/>
              <w:rPr>
                <w:color w:val="auto"/>
                <w:kern w:val="0"/>
                <w:szCs w:val="21"/>
              </w:rPr>
            </w:pPr>
            <w:r>
              <w:rPr>
                <w:color w:val="auto"/>
                <w:kern w:val="0"/>
                <w:szCs w:val="21"/>
              </w:rPr>
              <w:t>2</w:t>
            </w:r>
          </w:p>
        </w:tc>
        <w:tc>
          <w:tcPr>
            <w:tcW w:w="953" w:type="pct"/>
            <w:vMerge w:val="restart"/>
            <w:tcBorders>
              <w:top w:val="single" w:color="000000" w:sz="8" w:space="0"/>
              <w:tl2br w:val="nil"/>
              <w:tr2bl w:val="nil"/>
            </w:tcBorders>
            <w:vAlign w:val="center"/>
          </w:tcPr>
          <w:p w14:paraId="2BDACEE8">
            <w:pPr>
              <w:adjustRightInd w:val="0"/>
              <w:snapToGrid w:val="0"/>
              <w:jc w:val="center"/>
              <w:rPr>
                <w:rFonts w:eastAsia="等线"/>
                <w:color w:val="auto"/>
                <w:kern w:val="0"/>
                <w:szCs w:val="21"/>
              </w:rPr>
            </w:pPr>
            <w:r>
              <w:rPr>
                <w:rFonts w:hint="eastAsia"/>
                <w:color w:val="auto"/>
                <w:szCs w:val="21"/>
                <w:lang w:val="en-US" w:eastAsia="zh-CN"/>
              </w:rPr>
              <w:t>DA002</w:t>
            </w:r>
            <w:r>
              <w:rPr>
                <w:color w:val="auto"/>
                <w:szCs w:val="21"/>
              </w:rPr>
              <w:t>排气筒</w:t>
            </w:r>
          </w:p>
        </w:tc>
        <w:tc>
          <w:tcPr>
            <w:tcW w:w="954" w:type="pct"/>
            <w:tcBorders>
              <w:tl2br w:val="nil"/>
              <w:tr2bl w:val="nil"/>
            </w:tcBorders>
            <w:shd w:val="clear" w:color="auto" w:fill="auto"/>
            <w:vAlign w:val="center"/>
          </w:tcPr>
          <w:p w14:paraId="4AE7CBCD">
            <w:pPr>
              <w:pStyle w:val="105"/>
              <w:spacing w:line="240" w:lineRule="exact"/>
              <w:rPr>
                <w:color w:val="auto"/>
                <w:sz w:val="21"/>
                <w:szCs w:val="21"/>
              </w:rPr>
            </w:pPr>
            <w:r>
              <w:rPr>
                <w:color w:val="auto"/>
                <w:sz w:val="21"/>
                <w:szCs w:val="21"/>
              </w:rPr>
              <w:t>颗粒物</w:t>
            </w:r>
          </w:p>
        </w:tc>
        <w:tc>
          <w:tcPr>
            <w:tcW w:w="954" w:type="pct"/>
            <w:tcBorders>
              <w:tl2br w:val="nil"/>
              <w:tr2bl w:val="nil"/>
            </w:tcBorders>
            <w:shd w:val="clear" w:color="auto" w:fill="auto"/>
            <w:noWrap/>
            <w:vAlign w:val="center"/>
          </w:tcPr>
          <w:p w14:paraId="03FA32CA">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0.143</w:t>
            </w:r>
          </w:p>
        </w:tc>
        <w:tc>
          <w:tcPr>
            <w:tcW w:w="880" w:type="pct"/>
            <w:tcBorders>
              <w:tl2br w:val="nil"/>
              <w:tr2bl w:val="nil"/>
            </w:tcBorders>
            <w:shd w:val="clear" w:color="auto" w:fill="auto"/>
            <w:noWrap/>
            <w:vAlign w:val="center"/>
          </w:tcPr>
          <w:p w14:paraId="01D67492">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c>
          <w:tcPr>
            <w:tcW w:w="899" w:type="pct"/>
            <w:tcBorders>
              <w:tl2br w:val="nil"/>
              <w:tr2bl w:val="nil"/>
            </w:tcBorders>
            <w:shd w:val="clear" w:color="auto" w:fill="auto"/>
            <w:noWrap/>
            <w:vAlign w:val="center"/>
          </w:tcPr>
          <w:p w14:paraId="45F33C1F">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r>
      <w:tr w14:paraId="675743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continue"/>
            <w:tcBorders>
              <w:tl2br w:val="nil"/>
              <w:tr2bl w:val="nil"/>
            </w:tcBorders>
            <w:vAlign w:val="center"/>
          </w:tcPr>
          <w:p w14:paraId="37FD7536">
            <w:pPr>
              <w:widowControl/>
              <w:jc w:val="left"/>
              <w:rPr>
                <w:color w:val="auto"/>
                <w:kern w:val="0"/>
                <w:szCs w:val="21"/>
              </w:rPr>
            </w:pPr>
          </w:p>
        </w:tc>
        <w:tc>
          <w:tcPr>
            <w:tcW w:w="953" w:type="pct"/>
            <w:vMerge w:val="continue"/>
            <w:tcBorders>
              <w:tl2br w:val="nil"/>
              <w:tr2bl w:val="nil"/>
            </w:tcBorders>
            <w:vAlign w:val="center"/>
          </w:tcPr>
          <w:p w14:paraId="3DCD3204">
            <w:pPr>
              <w:widowControl/>
              <w:jc w:val="left"/>
              <w:rPr>
                <w:rFonts w:eastAsia="等线"/>
                <w:color w:val="auto"/>
                <w:kern w:val="0"/>
                <w:szCs w:val="21"/>
              </w:rPr>
            </w:pPr>
          </w:p>
        </w:tc>
        <w:tc>
          <w:tcPr>
            <w:tcW w:w="954" w:type="pct"/>
            <w:tcBorders>
              <w:bottom w:val="single" w:color="000000" w:sz="8" w:space="0"/>
              <w:tl2br w:val="nil"/>
              <w:tr2bl w:val="nil"/>
            </w:tcBorders>
            <w:shd w:val="clear" w:color="auto" w:fill="auto"/>
            <w:vAlign w:val="center"/>
          </w:tcPr>
          <w:p w14:paraId="1EA52AF8">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954" w:type="pct"/>
            <w:tcBorders>
              <w:tl2br w:val="nil"/>
              <w:tr2bl w:val="nil"/>
            </w:tcBorders>
            <w:shd w:val="clear" w:color="auto" w:fill="auto"/>
            <w:noWrap/>
            <w:vAlign w:val="center"/>
          </w:tcPr>
          <w:p w14:paraId="66BC23EA">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14.14</w:t>
            </w:r>
          </w:p>
        </w:tc>
        <w:tc>
          <w:tcPr>
            <w:tcW w:w="880" w:type="pct"/>
            <w:tcBorders>
              <w:tl2br w:val="nil"/>
              <w:tr2bl w:val="nil"/>
            </w:tcBorders>
            <w:shd w:val="clear" w:color="auto" w:fill="auto"/>
            <w:noWrap/>
            <w:vAlign w:val="center"/>
          </w:tcPr>
          <w:p w14:paraId="3A2410AD">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0.099</w:t>
            </w:r>
          </w:p>
        </w:tc>
        <w:tc>
          <w:tcPr>
            <w:tcW w:w="899" w:type="pct"/>
            <w:tcBorders>
              <w:tl2br w:val="nil"/>
              <w:tr2bl w:val="nil"/>
            </w:tcBorders>
            <w:shd w:val="clear" w:color="auto" w:fill="auto"/>
            <w:noWrap/>
            <w:vAlign w:val="center"/>
          </w:tcPr>
          <w:p w14:paraId="20AF2D73">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0.714</w:t>
            </w:r>
          </w:p>
        </w:tc>
      </w:tr>
      <w:tr w14:paraId="72F595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continue"/>
            <w:tcBorders>
              <w:tl2br w:val="nil"/>
              <w:tr2bl w:val="nil"/>
            </w:tcBorders>
            <w:vAlign w:val="center"/>
          </w:tcPr>
          <w:p w14:paraId="04C7CCD5">
            <w:pPr>
              <w:widowControl/>
              <w:jc w:val="left"/>
              <w:rPr>
                <w:color w:val="auto"/>
                <w:kern w:val="0"/>
                <w:szCs w:val="21"/>
              </w:rPr>
            </w:pPr>
          </w:p>
        </w:tc>
        <w:tc>
          <w:tcPr>
            <w:tcW w:w="953" w:type="pct"/>
            <w:vMerge w:val="continue"/>
            <w:tcBorders>
              <w:tl2br w:val="nil"/>
              <w:tr2bl w:val="nil"/>
            </w:tcBorders>
            <w:vAlign w:val="center"/>
          </w:tcPr>
          <w:p w14:paraId="24AFC21A">
            <w:pPr>
              <w:widowControl/>
              <w:jc w:val="left"/>
              <w:rPr>
                <w:rFonts w:eastAsia="等线"/>
                <w:color w:val="auto"/>
                <w:kern w:val="0"/>
                <w:szCs w:val="21"/>
              </w:rPr>
            </w:pPr>
          </w:p>
        </w:tc>
        <w:tc>
          <w:tcPr>
            <w:tcW w:w="954" w:type="pct"/>
            <w:tcBorders>
              <w:bottom w:val="single" w:color="000000" w:sz="8" w:space="0"/>
              <w:tl2br w:val="nil"/>
              <w:tr2bl w:val="nil"/>
            </w:tcBorders>
            <w:shd w:val="clear" w:color="auto" w:fill="auto"/>
            <w:vAlign w:val="center"/>
          </w:tcPr>
          <w:p w14:paraId="0032CBA1">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NO</w:t>
            </w:r>
            <w:r>
              <w:rPr>
                <w:rFonts w:hint="eastAsia"/>
                <w:color w:val="auto"/>
                <w:sz w:val="21"/>
                <w:szCs w:val="21"/>
                <w:vertAlign w:val="subscript"/>
                <w:lang w:val="en-US" w:eastAsia="zh-CN"/>
              </w:rPr>
              <w:t>x</w:t>
            </w:r>
          </w:p>
        </w:tc>
        <w:tc>
          <w:tcPr>
            <w:tcW w:w="1626" w:type="dxa"/>
            <w:tcBorders>
              <w:tl2br w:val="nil"/>
              <w:tr2bl w:val="nil"/>
            </w:tcBorders>
            <w:shd w:val="clear" w:color="auto" w:fill="auto"/>
            <w:noWrap/>
            <w:vAlign w:val="center"/>
          </w:tcPr>
          <w:p w14:paraId="54B4733B">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19.72</w:t>
            </w:r>
          </w:p>
        </w:tc>
        <w:tc>
          <w:tcPr>
            <w:tcW w:w="1500" w:type="dxa"/>
            <w:tcBorders>
              <w:tl2br w:val="nil"/>
              <w:tr2bl w:val="nil"/>
            </w:tcBorders>
            <w:shd w:val="clear" w:color="auto" w:fill="auto"/>
            <w:noWrap/>
            <w:vAlign w:val="center"/>
          </w:tcPr>
          <w:p w14:paraId="244F7CE9">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0.138</w:t>
            </w:r>
          </w:p>
        </w:tc>
        <w:tc>
          <w:tcPr>
            <w:tcW w:w="1535" w:type="dxa"/>
            <w:tcBorders>
              <w:tl2br w:val="nil"/>
              <w:tr2bl w:val="nil"/>
            </w:tcBorders>
            <w:shd w:val="clear" w:color="auto" w:fill="auto"/>
            <w:noWrap/>
            <w:vAlign w:val="center"/>
          </w:tcPr>
          <w:p w14:paraId="4268EE36">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0.994</w:t>
            </w:r>
          </w:p>
        </w:tc>
      </w:tr>
      <w:tr w14:paraId="741D14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continue"/>
            <w:tcBorders>
              <w:tl2br w:val="nil"/>
              <w:tr2bl w:val="nil"/>
            </w:tcBorders>
            <w:vAlign w:val="center"/>
          </w:tcPr>
          <w:p w14:paraId="162258B9">
            <w:pPr>
              <w:widowControl/>
              <w:jc w:val="left"/>
              <w:rPr>
                <w:color w:val="auto"/>
                <w:kern w:val="0"/>
                <w:szCs w:val="21"/>
              </w:rPr>
            </w:pPr>
          </w:p>
        </w:tc>
        <w:tc>
          <w:tcPr>
            <w:tcW w:w="953" w:type="pct"/>
            <w:vMerge w:val="continue"/>
            <w:tcBorders>
              <w:tl2br w:val="nil"/>
              <w:tr2bl w:val="nil"/>
            </w:tcBorders>
            <w:vAlign w:val="center"/>
          </w:tcPr>
          <w:p w14:paraId="3ACAAD36">
            <w:pPr>
              <w:widowControl/>
              <w:jc w:val="left"/>
              <w:rPr>
                <w:rFonts w:eastAsia="等线"/>
                <w:color w:val="auto"/>
                <w:kern w:val="0"/>
                <w:szCs w:val="21"/>
              </w:rPr>
            </w:pPr>
          </w:p>
        </w:tc>
        <w:tc>
          <w:tcPr>
            <w:tcW w:w="954" w:type="pct"/>
            <w:tcBorders>
              <w:bottom w:val="single" w:color="000000" w:sz="8" w:space="0"/>
              <w:tl2br w:val="nil"/>
              <w:tr2bl w:val="nil"/>
            </w:tcBorders>
            <w:shd w:val="clear" w:color="auto" w:fill="auto"/>
            <w:vAlign w:val="center"/>
          </w:tcPr>
          <w:p w14:paraId="6A2CE1C8">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汞及其化合物</w:t>
            </w:r>
          </w:p>
        </w:tc>
        <w:tc>
          <w:tcPr>
            <w:tcW w:w="1626" w:type="dxa"/>
            <w:tcBorders>
              <w:tl2br w:val="nil"/>
              <w:tr2bl w:val="nil"/>
            </w:tcBorders>
            <w:shd w:val="clear" w:color="auto" w:fill="auto"/>
            <w:noWrap/>
            <w:vAlign w:val="center"/>
          </w:tcPr>
          <w:p w14:paraId="22806067">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1500" w:type="dxa"/>
            <w:tcBorders>
              <w:tl2br w:val="nil"/>
              <w:tr2bl w:val="nil"/>
            </w:tcBorders>
            <w:shd w:val="clear" w:color="auto" w:fill="auto"/>
            <w:noWrap/>
            <w:vAlign w:val="center"/>
          </w:tcPr>
          <w:p w14:paraId="79F525D1">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0011</w:t>
            </w:r>
          </w:p>
        </w:tc>
        <w:tc>
          <w:tcPr>
            <w:tcW w:w="1535" w:type="dxa"/>
            <w:tcBorders>
              <w:tl2br w:val="nil"/>
              <w:tr2bl w:val="nil"/>
            </w:tcBorders>
            <w:shd w:val="clear" w:color="auto" w:fill="auto"/>
            <w:noWrap/>
            <w:vAlign w:val="center"/>
          </w:tcPr>
          <w:p w14:paraId="72C6E260">
            <w:pPr>
              <w:pStyle w:val="105"/>
              <w:spacing w:line="240" w:lineRule="exac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0.806kg</w:t>
            </w:r>
          </w:p>
        </w:tc>
      </w:tr>
      <w:tr w14:paraId="78C437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restart"/>
            <w:tcBorders>
              <w:tl2br w:val="nil"/>
              <w:tr2bl w:val="nil"/>
            </w:tcBorders>
            <w:vAlign w:val="center"/>
          </w:tcPr>
          <w:p w14:paraId="0E1E6CA4">
            <w:pPr>
              <w:widowControl/>
              <w:jc w:val="center"/>
              <w:rPr>
                <w:rFonts w:hint="eastAsia" w:eastAsia="宋体"/>
                <w:color w:val="auto"/>
                <w:kern w:val="0"/>
                <w:szCs w:val="21"/>
                <w:lang w:val="en-US" w:eastAsia="zh-CN"/>
              </w:rPr>
            </w:pPr>
            <w:r>
              <w:rPr>
                <w:rFonts w:hint="eastAsia"/>
                <w:color w:val="auto"/>
                <w:kern w:val="0"/>
                <w:szCs w:val="21"/>
                <w:lang w:val="en-US" w:eastAsia="zh-CN"/>
              </w:rPr>
              <w:t>3</w:t>
            </w:r>
          </w:p>
        </w:tc>
        <w:tc>
          <w:tcPr>
            <w:tcW w:w="953" w:type="pct"/>
            <w:vMerge w:val="restart"/>
            <w:tcBorders>
              <w:tl2br w:val="nil"/>
              <w:tr2bl w:val="nil"/>
            </w:tcBorders>
            <w:shd w:val="clear" w:color="auto" w:fill="auto"/>
            <w:vAlign w:val="center"/>
          </w:tcPr>
          <w:p w14:paraId="14E0A4CC">
            <w:pPr>
              <w:adjustRightInd w:val="0"/>
              <w:snapToGrid w:val="0"/>
              <w:jc w:val="center"/>
              <w:rPr>
                <w:rFonts w:ascii="Times New Roman" w:hAnsi="Times New Roman" w:eastAsia="等线" w:cs="Times New Roman"/>
                <w:color w:val="auto"/>
                <w:kern w:val="0"/>
                <w:sz w:val="21"/>
                <w:szCs w:val="21"/>
                <w:lang w:val="en-US" w:eastAsia="zh-CN" w:bidi="ar-SA"/>
              </w:rPr>
            </w:pPr>
            <w:r>
              <w:rPr>
                <w:rFonts w:hint="eastAsia"/>
                <w:color w:val="auto"/>
                <w:szCs w:val="21"/>
                <w:lang w:val="en-US" w:eastAsia="zh-CN"/>
              </w:rPr>
              <w:t>DA002</w:t>
            </w:r>
            <w:r>
              <w:rPr>
                <w:color w:val="auto"/>
                <w:szCs w:val="21"/>
              </w:rPr>
              <w:t>排气筒</w:t>
            </w:r>
          </w:p>
        </w:tc>
        <w:tc>
          <w:tcPr>
            <w:tcW w:w="954" w:type="pct"/>
            <w:tcBorders>
              <w:bottom w:val="single" w:color="000000" w:sz="8" w:space="0"/>
              <w:tl2br w:val="nil"/>
              <w:tr2bl w:val="nil"/>
            </w:tcBorders>
            <w:shd w:val="clear" w:color="auto" w:fill="auto"/>
            <w:vAlign w:val="center"/>
          </w:tcPr>
          <w:p w14:paraId="3C3147F0">
            <w:pPr>
              <w:pStyle w:val="105"/>
              <w:spacing w:line="240" w:lineRule="exact"/>
              <w:rPr>
                <w:rFonts w:hint="eastAsia" w:ascii="Times New Roman" w:hAnsi="Times New Roman" w:eastAsia="宋体" w:cs="Times New Roman"/>
                <w:color w:val="auto"/>
                <w:kern w:val="2"/>
                <w:sz w:val="21"/>
                <w:szCs w:val="21"/>
                <w:lang w:val="en-US" w:eastAsia="zh-CN" w:bidi="ar-SA"/>
              </w:rPr>
            </w:pPr>
            <w:r>
              <w:rPr>
                <w:color w:val="auto"/>
                <w:sz w:val="21"/>
                <w:szCs w:val="21"/>
              </w:rPr>
              <w:t>颗粒物</w:t>
            </w:r>
          </w:p>
        </w:tc>
        <w:tc>
          <w:tcPr>
            <w:tcW w:w="954" w:type="pct"/>
            <w:tcBorders>
              <w:tl2br w:val="nil"/>
              <w:tr2bl w:val="nil"/>
            </w:tcBorders>
            <w:shd w:val="clear" w:color="auto" w:fill="auto"/>
            <w:noWrap/>
            <w:vAlign w:val="center"/>
          </w:tcPr>
          <w:p w14:paraId="6A3B8B2D">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0.143</w:t>
            </w:r>
          </w:p>
        </w:tc>
        <w:tc>
          <w:tcPr>
            <w:tcW w:w="880" w:type="pct"/>
            <w:tcBorders>
              <w:tl2br w:val="nil"/>
              <w:tr2bl w:val="nil"/>
            </w:tcBorders>
            <w:shd w:val="clear" w:color="auto" w:fill="auto"/>
            <w:noWrap/>
            <w:vAlign w:val="center"/>
          </w:tcPr>
          <w:p w14:paraId="564D0E17">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c>
          <w:tcPr>
            <w:tcW w:w="899" w:type="pct"/>
            <w:tcBorders>
              <w:tl2br w:val="nil"/>
              <w:tr2bl w:val="nil"/>
            </w:tcBorders>
            <w:shd w:val="clear" w:color="auto" w:fill="auto"/>
            <w:noWrap/>
            <w:vAlign w:val="center"/>
          </w:tcPr>
          <w:p w14:paraId="3803B5C5">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0.007</w:t>
            </w:r>
          </w:p>
        </w:tc>
      </w:tr>
      <w:tr w14:paraId="6A58CF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continue"/>
            <w:tcBorders>
              <w:tl2br w:val="nil"/>
              <w:tr2bl w:val="nil"/>
            </w:tcBorders>
            <w:vAlign w:val="center"/>
          </w:tcPr>
          <w:p w14:paraId="41E6503B">
            <w:pPr>
              <w:widowControl/>
              <w:jc w:val="center"/>
              <w:rPr>
                <w:color w:val="auto"/>
                <w:kern w:val="0"/>
                <w:szCs w:val="21"/>
              </w:rPr>
            </w:pPr>
          </w:p>
        </w:tc>
        <w:tc>
          <w:tcPr>
            <w:tcW w:w="953" w:type="pct"/>
            <w:vMerge w:val="continue"/>
            <w:tcBorders>
              <w:tl2br w:val="nil"/>
              <w:tr2bl w:val="nil"/>
            </w:tcBorders>
            <w:vAlign w:val="center"/>
          </w:tcPr>
          <w:p w14:paraId="49F3E36C">
            <w:pPr>
              <w:widowControl/>
              <w:jc w:val="center"/>
              <w:rPr>
                <w:rFonts w:eastAsia="等线"/>
                <w:color w:val="auto"/>
                <w:kern w:val="0"/>
                <w:szCs w:val="21"/>
              </w:rPr>
            </w:pPr>
          </w:p>
        </w:tc>
        <w:tc>
          <w:tcPr>
            <w:tcW w:w="954" w:type="pct"/>
            <w:tcBorders>
              <w:bottom w:val="single" w:color="000000" w:sz="8" w:space="0"/>
              <w:tl2br w:val="nil"/>
              <w:tr2bl w:val="nil"/>
            </w:tcBorders>
            <w:shd w:val="clear" w:color="auto" w:fill="auto"/>
            <w:vAlign w:val="center"/>
          </w:tcPr>
          <w:p w14:paraId="29C9208F">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954" w:type="pct"/>
            <w:tcBorders>
              <w:tl2br w:val="nil"/>
              <w:tr2bl w:val="nil"/>
            </w:tcBorders>
            <w:shd w:val="clear" w:color="auto" w:fill="auto"/>
            <w:noWrap/>
            <w:vAlign w:val="center"/>
          </w:tcPr>
          <w:p w14:paraId="156AF198">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14.14</w:t>
            </w:r>
          </w:p>
        </w:tc>
        <w:tc>
          <w:tcPr>
            <w:tcW w:w="880" w:type="pct"/>
            <w:tcBorders>
              <w:tl2br w:val="nil"/>
              <w:tr2bl w:val="nil"/>
            </w:tcBorders>
            <w:shd w:val="clear" w:color="auto" w:fill="auto"/>
            <w:noWrap/>
            <w:vAlign w:val="center"/>
          </w:tcPr>
          <w:p w14:paraId="6B3F8701">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0.099</w:t>
            </w:r>
          </w:p>
        </w:tc>
        <w:tc>
          <w:tcPr>
            <w:tcW w:w="899" w:type="pct"/>
            <w:tcBorders>
              <w:tl2br w:val="nil"/>
              <w:tr2bl w:val="nil"/>
            </w:tcBorders>
            <w:shd w:val="clear" w:color="auto" w:fill="auto"/>
            <w:noWrap/>
            <w:vAlign w:val="center"/>
          </w:tcPr>
          <w:p w14:paraId="7AB2ED94">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0.714</w:t>
            </w:r>
          </w:p>
        </w:tc>
      </w:tr>
      <w:tr w14:paraId="541B9E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continue"/>
            <w:tcBorders>
              <w:tl2br w:val="nil"/>
              <w:tr2bl w:val="nil"/>
            </w:tcBorders>
            <w:vAlign w:val="center"/>
          </w:tcPr>
          <w:p w14:paraId="7AC18399">
            <w:pPr>
              <w:widowControl/>
              <w:jc w:val="center"/>
              <w:rPr>
                <w:color w:val="auto"/>
                <w:kern w:val="0"/>
                <w:szCs w:val="21"/>
              </w:rPr>
            </w:pPr>
          </w:p>
        </w:tc>
        <w:tc>
          <w:tcPr>
            <w:tcW w:w="953" w:type="pct"/>
            <w:vMerge w:val="continue"/>
            <w:tcBorders>
              <w:tl2br w:val="nil"/>
              <w:tr2bl w:val="nil"/>
            </w:tcBorders>
            <w:vAlign w:val="center"/>
          </w:tcPr>
          <w:p w14:paraId="74A3D9B2">
            <w:pPr>
              <w:widowControl/>
              <w:jc w:val="center"/>
              <w:rPr>
                <w:rFonts w:eastAsia="等线"/>
                <w:color w:val="auto"/>
                <w:kern w:val="0"/>
                <w:szCs w:val="21"/>
              </w:rPr>
            </w:pPr>
          </w:p>
        </w:tc>
        <w:tc>
          <w:tcPr>
            <w:tcW w:w="954" w:type="pct"/>
            <w:tcBorders>
              <w:bottom w:val="single" w:color="000000" w:sz="8" w:space="0"/>
              <w:tl2br w:val="nil"/>
              <w:tr2bl w:val="nil"/>
            </w:tcBorders>
            <w:shd w:val="clear" w:color="auto" w:fill="auto"/>
            <w:vAlign w:val="center"/>
          </w:tcPr>
          <w:p w14:paraId="3511D646">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NO</w:t>
            </w:r>
            <w:r>
              <w:rPr>
                <w:rFonts w:hint="eastAsia"/>
                <w:color w:val="auto"/>
                <w:sz w:val="21"/>
                <w:szCs w:val="21"/>
                <w:vertAlign w:val="subscript"/>
                <w:lang w:val="en-US" w:eastAsia="zh-CN"/>
              </w:rPr>
              <w:t>x</w:t>
            </w:r>
          </w:p>
        </w:tc>
        <w:tc>
          <w:tcPr>
            <w:tcW w:w="1626" w:type="dxa"/>
            <w:tcBorders>
              <w:tl2br w:val="nil"/>
              <w:tr2bl w:val="nil"/>
            </w:tcBorders>
            <w:shd w:val="clear" w:color="auto" w:fill="auto"/>
            <w:noWrap/>
            <w:vAlign w:val="center"/>
          </w:tcPr>
          <w:p w14:paraId="32930F44">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19.72</w:t>
            </w:r>
          </w:p>
        </w:tc>
        <w:tc>
          <w:tcPr>
            <w:tcW w:w="1500" w:type="dxa"/>
            <w:tcBorders>
              <w:tl2br w:val="nil"/>
              <w:tr2bl w:val="nil"/>
            </w:tcBorders>
            <w:shd w:val="clear" w:color="auto" w:fill="auto"/>
            <w:noWrap/>
            <w:vAlign w:val="center"/>
          </w:tcPr>
          <w:p w14:paraId="3B7629B7">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0.138</w:t>
            </w:r>
          </w:p>
        </w:tc>
        <w:tc>
          <w:tcPr>
            <w:tcW w:w="1534" w:type="dxa"/>
            <w:tcBorders>
              <w:tl2br w:val="nil"/>
              <w:tr2bl w:val="nil"/>
            </w:tcBorders>
            <w:shd w:val="clear" w:color="auto" w:fill="auto"/>
            <w:noWrap/>
            <w:vAlign w:val="center"/>
          </w:tcPr>
          <w:p w14:paraId="1C1D7433">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0.994</w:t>
            </w:r>
          </w:p>
        </w:tc>
      </w:tr>
      <w:tr w14:paraId="1D045B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9" w:type="pct"/>
            <w:vMerge w:val="continue"/>
            <w:tcBorders>
              <w:tl2br w:val="nil"/>
              <w:tr2bl w:val="nil"/>
            </w:tcBorders>
            <w:vAlign w:val="center"/>
          </w:tcPr>
          <w:p w14:paraId="4F33FC21">
            <w:pPr>
              <w:widowControl/>
              <w:jc w:val="center"/>
              <w:rPr>
                <w:color w:val="auto"/>
                <w:kern w:val="0"/>
                <w:szCs w:val="21"/>
              </w:rPr>
            </w:pPr>
          </w:p>
        </w:tc>
        <w:tc>
          <w:tcPr>
            <w:tcW w:w="953" w:type="pct"/>
            <w:vMerge w:val="continue"/>
            <w:tcBorders>
              <w:tl2br w:val="nil"/>
              <w:tr2bl w:val="nil"/>
            </w:tcBorders>
            <w:vAlign w:val="center"/>
          </w:tcPr>
          <w:p w14:paraId="44FC6492">
            <w:pPr>
              <w:widowControl/>
              <w:jc w:val="center"/>
              <w:rPr>
                <w:rFonts w:eastAsia="等线"/>
                <w:color w:val="auto"/>
                <w:kern w:val="0"/>
                <w:szCs w:val="21"/>
              </w:rPr>
            </w:pPr>
          </w:p>
        </w:tc>
        <w:tc>
          <w:tcPr>
            <w:tcW w:w="954" w:type="pct"/>
            <w:tcBorders>
              <w:bottom w:val="single" w:color="000000" w:sz="8" w:space="0"/>
              <w:tl2br w:val="nil"/>
              <w:tr2bl w:val="nil"/>
            </w:tcBorders>
            <w:shd w:val="clear" w:color="auto" w:fill="auto"/>
            <w:vAlign w:val="center"/>
          </w:tcPr>
          <w:p w14:paraId="1F6C97EC">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汞及其化合物</w:t>
            </w:r>
          </w:p>
        </w:tc>
        <w:tc>
          <w:tcPr>
            <w:tcW w:w="1626" w:type="dxa"/>
            <w:tcBorders>
              <w:tl2br w:val="nil"/>
              <w:tr2bl w:val="nil"/>
            </w:tcBorders>
            <w:shd w:val="clear" w:color="auto" w:fill="auto"/>
            <w:noWrap/>
            <w:vAlign w:val="center"/>
          </w:tcPr>
          <w:p w14:paraId="71E9F183">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w:t>
            </w:r>
          </w:p>
        </w:tc>
        <w:tc>
          <w:tcPr>
            <w:tcW w:w="1500" w:type="dxa"/>
            <w:tcBorders>
              <w:tl2br w:val="nil"/>
              <w:tr2bl w:val="nil"/>
            </w:tcBorders>
            <w:shd w:val="clear" w:color="auto" w:fill="auto"/>
            <w:noWrap/>
            <w:vAlign w:val="center"/>
          </w:tcPr>
          <w:p w14:paraId="17ACD43B">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0011</w:t>
            </w:r>
          </w:p>
        </w:tc>
        <w:tc>
          <w:tcPr>
            <w:tcW w:w="1535" w:type="dxa"/>
            <w:tcBorders>
              <w:tl2br w:val="nil"/>
              <w:tr2bl w:val="nil"/>
            </w:tcBorders>
            <w:shd w:val="clear" w:color="auto" w:fill="auto"/>
            <w:noWrap/>
            <w:vAlign w:val="center"/>
          </w:tcPr>
          <w:p w14:paraId="2106331B">
            <w:pPr>
              <w:pStyle w:val="105"/>
              <w:spacing w:line="240" w:lineRule="exac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0.806kg</w:t>
            </w:r>
          </w:p>
        </w:tc>
      </w:tr>
      <w:tr w14:paraId="724630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2" w:type="pct"/>
            <w:gridSpan w:val="2"/>
            <w:vMerge w:val="restart"/>
            <w:tcBorders>
              <w:tl2br w:val="nil"/>
              <w:tr2bl w:val="nil"/>
            </w:tcBorders>
            <w:shd w:val="clear" w:color="auto" w:fill="auto"/>
            <w:noWrap/>
            <w:vAlign w:val="center"/>
          </w:tcPr>
          <w:p w14:paraId="40043900">
            <w:pPr>
              <w:widowControl/>
              <w:jc w:val="center"/>
              <w:rPr>
                <w:color w:val="auto"/>
                <w:kern w:val="0"/>
                <w:szCs w:val="21"/>
              </w:rPr>
            </w:pPr>
            <w:r>
              <w:rPr>
                <w:color w:val="auto"/>
                <w:kern w:val="0"/>
                <w:szCs w:val="21"/>
              </w:rPr>
              <w:t>有组织排放总计</w:t>
            </w:r>
          </w:p>
        </w:tc>
        <w:tc>
          <w:tcPr>
            <w:tcW w:w="2788" w:type="pct"/>
            <w:gridSpan w:val="3"/>
            <w:tcBorders>
              <w:tl2br w:val="nil"/>
              <w:tr2bl w:val="nil"/>
            </w:tcBorders>
            <w:shd w:val="clear" w:color="auto" w:fill="auto"/>
            <w:vAlign w:val="center"/>
          </w:tcPr>
          <w:p w14:paraId="5FE97F40">
            <w:pPr>
              <w:pStyle w:val="105"/>
              <w:spacing w:line="240" w:lineRule="exact"/>
              <w:rPr>
                <w:bCs/>
                <w:color w:val="auto"/>
                <w:kern w:val="0"/>
                <w:szCs w:val="21"/>
              </w:rPr>
            </w:pPr>
            <w:r>
              <w:rPr>
                <w:color w:val="auto"/>
                <w:sz w:val="21"/>
                <w:szCs w:val="21"/>
              </w:rPr>
              <w:t>非甲烷总烃</w:t>
            </w:r>
          </w:p>
        </w:tc>
        <w:tc>
          <w:tcPr>
            <w:tcW w:w="899" w:type="pct"/>
            <w:tcBorders>
              <w:tl2br w:val="nil"/>
              <w:tr2bl w:val="nil"/>
            </w:tcBorders>
            <w:shd w:val="clear" w:color="auto" w:fill="auto"/>
            <w:vAlign w:val="center"/>
          </w:tcPr>
          <w:p w14:paraId="5E5A20DE">
            <w:pPr>
              <w:adjustRightInd w:val="0"/>
              <w:snapToGrid w:val="0"/>
              <w:jc w:val="center"/>
              <w:rPr>
                <w:rFonts w:hint="default" w:eastAsia="宋体"/>
                <w:bCs/>
                <w:color w:val="auto"/>
                <w:szCs w:val="21"/>
                <w:lang w:val="en-US" w:eastAsia="zh-CN"/>
              </w:rPr>
            </w:pPr>
            <w:r>
              <w:rPr>
                <w:rFonts w:hint="eastAsia"/>
                <w:bCs/>
                <w:color w:val="auto"/>
                <w:szCs w:val="21"/>
                <w:lang w:val="en-US" w:eastAsia="zh-CN"/>
              </w:rPr>
              <w:t>0.308</w:t>
            </w:r>
          </w:p>
        </w:tc>
      </w:tr>
      <w:tr w14:paraId="141FFF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2" w:type="pct"/>
            <w:gridSpan w:val="2"/>
            <w:vMerge w:val="continue"/>
            <w:tcBorders>
              <w:tl2br w:val="nil"/>
              <w:tr2bl w:val="nil"/>
            </w:tcBorders>
            <w:vAlign w:val="center"/>
          </w:tcPr>
          <w:p w14:paraId="0A81D072">
            <w:pPr>
              <w:widowControl/>
              <w:jc w:val="left"/>
              <w:rPr>
                <w:color w:val="auto"/>
                <w:kern w:val="0"/>
                <w:szCs w:val="21"/>
              </w:rPr>
            </w:pPr>
          </w:p>
        </w:tc>
        <w:tc>
          <w:tcPr>
            <w:tcW w:w="2788" w:type="pct"/>
            <w:gridSpan w:val="3"/>
            <w:tcBorders>
              <w:tl2br w:val="nil"/>
              <w:tr2bl w:val="nil"/>
            </w:tcBorders>
            <w:shd w:val="clear" w:color="auto" w:fill="auto"/>
            <w:vAlign w:val="center"/>
          </w:tcPr>
          <w:p w14:paraId="6B1AF8DB">
            <w:pPr>
              <w:pStyle w:val="105"/>
              <w:spacing w:line="240" w:lineRule="exact"/>
              <w:rPr>
                <w:bCs/>
                <w:color w:val="auto"/>
                <w:kern w:val="0"/>
                <w:szCs w:val="21"/>
              </w:rPr>
            </w:pPr>
            <w:r>
              <w:rPr>
                <w:color w:val="auto"/>
                <w:sz w:val="21"/>
                <w:szCs w:val="21"/>
              </w:rPr>
              <w:t>颗粒物</w:t>
            </w:r>
          </w:p>
        </w:tc>
        <w:tc>
          <w:tcPr>
            <w:tcW w:w="899" w:type="pct"/>
            <w:tcBorders>
              <w:tl2br w:val="nil"/>
              <w:tr2bl w:val="nil"/>
            </w:tcBorders>
            <w:shd w:val="clear" w:color="auto" w:fill="auto"/>
            <w:vAlign w:val="center"/>
          </w:tcPr>
          <w:p w14:paraId="700EE6B8">
            <w:pPr>
              <w:adjustRightInd w:val="0"/>
              <w:snapToGrid w:val="0"/>
              <w:jc w:val="center"/>
              <w:rPr>
                <w:rFonts w:hint="default" w:eastAsia="宋体"/>
                <w:bCs/>
                <w:color w:val="auto"/>
                <w:szCs w:val="21"/>
                <w:lang w:val="en-US" w:eastAsia="zh-CN"/>
              </w:rPr>
            </w:pPr>
            <w:r>
              <w:rPr>
                <w:rFonts w:hint="eastAsia"/>
                <w:bCs/>
                <w:color w:val="auto"/>
                <w:szCs w:val="21"/>
                <w:lang w:val="en-US" w:eastAsia="zh-CN"/>
              </w:rPr>
              <w:t>0.137</w:t>
            </w:r>
          </w:p>
        </w:tc>
      </w:tr>
      <w:tr w14:paraId="305B59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2" w:type="pct"/>
            <w:gridSpan w:val="2"/>
            <w:vMerge w:val="continue"/>
            <w:tcBorders>
              <w:tl2br w:val="nil"/>
              <w:tr2bl w:val="nil"/>
            </w:tcBorders>
            <w:vAlign w:val="center"/>
          </w:tcPr>
          <w:p w14:paraId="0873221B">
            <w:pPr>
              <w:widowControl/>
              <w:jc w:val="left"/>
              <w:rPr>
                <w:color w:val="auto"/>
                <w:kern w:val="0"/>
                <w:szCs w:val="21"/>
              </w:rPr>
            </w:pPr>
          </w:p>
        </w:tc>
        <w:tc>
          <w:tcPr>
            <w:tcW w:w="2788" w:type="pct"/>
            <w:gridSpan w:val="3"/>
            <w:tcBorders>
              <w:tl2br w:val="nil"/>
              <w:tr2bl w:val="nil"/>
            </w:tcBorders>
            <w:shd w:val="clear" w:color="auto" w:fill="auto"/>
            <w:vAlign w:val="center"/>
          </w:tcPr>
          <w:p w14:paraId="1D52A452">
            <w:pPr>
              <w:pStyle w:val="105"/>
              <w:spacing w:line="240" w:lineRule="exact"/>
              <w:rPr>
                <w:bCs/>
                <w:color w:val="auto"/>
                <w:kern w:val="0"/>
                <w:szCs w:val="21"/>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899" w:type="pct"/>
            <w:tcBorders>
              <w:tl2br w:val="nil"/>
              <w:tr2bl w:val="nil"/>
            </w:tcBorders>
            <w:shd w:val="clear" w:color="auto" w:fill="auto"/>
            <w:vAlign w:val="center"/>
          </w:tcPr>
          <w:p w14:paraId="29B839FB">
            <w:pPr>
              <w:pStyle w:val="105"/>
              <w:spacing w:line="240" w:lineRule="exact"/>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1.428</w:t>
            </w:r>
          </w:p>
        </w:tc>
      </w:tr>
      <w:tr w14:paraId="7A7E7D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2" w:type="pct"/>
            <w:gridSpan w:val="2"/>
            <w:vMerge w:val="continue"/>
            <w:tcBorders>
              <w:tl2br w:val="nil"/>
              <w:tr2bl w:val="nil"/>
            </w:tcBorders>
            <w:vAlign w:val="center"/>
          </w:tcPr>
          <w:p w14:paraId="3D7F18C9">
            <w:pPr>
              <w:widowControl/>
              <w:jc w:val="left"/>
              <w:rPr>
                <w:color w:val="auto"/>
                <w:kern w:val="0"/>
                <w:szCs w:val="21"/>
              </w:rPr>
            </w:pPr>
          </w:p>
        </w:tc>
        <w:tc>
          <w:tcPr>
            <w:tcW w:w="2788" w:type="pct"/>
            <w:gridSpan w:val="3"/>
            <w:tcBorders>
              <w:tl2br w:val="nil"/>
              <w:tr2bl w:val="nil"/>
            </w:tcBorders>
            <w:shd w:val="clear" w:color="auto" w:fill="auto"/>
            <w:vAlign w:val="center"/>
          </w:tcPr>
          <w:p w14:paraId="0316B316">
            <w:pPr>
              <w:pStyle w:val="105"/>
              <w:spacing w:line="240" w:lineRule="exact"/>
              <w:rPr>
                <w:bCs/>
                <w:color w:val="auto"/>
                <w:kern w:val="0"/>
                <w:szCs w:val="21"/>
              </w:rPr>
            </w:pPr>
            <w:r>
              <w:rPr>
                <w:rFonts w:hint="eastAsia"/>
                <w:color w:val="auto"/>
                <w:sz w:val="21"/>
                <w:szCs w:val="21"/>
                <w:lang w:val="en-US" w:eastAsia="zh-CN"/>
              </w:rPr>
              <w:t>NO</w:t>
            </w:r>
            <w:r>
              <w:rPr>
                <w:rFonts w:hint="eastAsia"/>
                <w:color w:val="auto"/>
                <w:sz w:val="21"/>
                <w:szCs w:val="21"/>
                <w:vertAlign w:val="subscript"/>
                <w:lang w:val="en-US" w:eastAsia="zh-CN"/>
              </w:rPr>
              <w:t>x</w:t>
            </w:r>
          </w:p>
        </w:tc>
        <w:tc>
          <w:tcPr>
            <w:tcW w:w="899" w:type="pct"/>
            <w:tcBorders>
              <w:tl2br w:val="nil"/>
              <w:tr2bl w:val="nil"/>
            </w:tcBorders>
            <w:shd w:val="clear" w:color="auto" w:fill="auto"/>
            <w:vAlign w:val="center"/>
          </w:tcPr>
          <w:p w14:paraId="00151C95">
            <w:pPr>
              <w:pStyle w:val="105"/>
              <w:spacing w:line="240" w:lineRule="exact"/>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1.988</w:t>
            </w:r>
          </w:p>
        </w:tc>
      </w:tr>
      <w:tr w14:paraId="4C6DF8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312" w:type="pct"/>
            <w:gridSpan w:val="2"/>
            <w:vMerge w:val="continue"/>
            <w:tcBorders>
              <w:tl2br w:val="nil"/>
              <w:tr2bl w:val="nil"/>
            </w:tcBorders>
            <w:vAlign w:val="center"/>
          </w:tcPr>
          <w:p w14:paraId="211334C7">
            <w:pPr>
              <w:widowControl/>
              <w:jc w:val="left"/>
              <w:rPr>
                <w:color w:val="auto"/>
                <w:kern w:val="0"/>
                <w:szCs w:val="21"/>
              </w:rPr>
            </w:pPr>
          </w:p>
        </w:tc>
        <w:tc>
          <w:tcPr>
            <w:tcW w:w="2788" w:type="pct"/>
            <w:gridSpan w:val="3"/>
            <w:tcBorders>
              <w:tl2br w:val="nil"/>
              <w:tr2bl w:val="nil"/>
            </w:tcBorders>
            <w:shd w:val="clear" w:color="auto" w:fill="auto"/>
            <w:vAlign w:val="center"/>
          </w:tcPr>
          <w:p w14:paraId="1C50DF8B">
            <w:pPr>
              <w:pStyle w:val="105"/>
              <w:spacing w:line="240" w:lineRule="exact"/>
              <w:rPr>
                <w:bCs/>
                <w:color w:val="auto"/>
                <w:kern w:val="0"/>
                <w:szCs w:val="21"/>
              </w:rPr>
            </w:pPr>
            <w:r>
              <w:rPr>
                <w:rFonts w:hint="eastAsia"/>
                <w:color w:val="auto"/>
                <w:sz w:val="21"/>
                <w:szCs w:val="21"/>
                <w:lang w:val="en-US" w:eastAsia="zh-CN"/>
              </w:rPr>
              <w:t>汞及其化合物</w:t>
            </w:r>
          </w:p>
        </w:tc>
        <w:tc>
          <w:tcPr>
            <w:tcW w:w="899" w:type="pct"/>
            <w:tcBorders>
              <w:tl2br w:val="nil"/>
              <w:tr2bl w:val="nil"/>
            </w:tcBorders>
            <w:shd w:val="clear" w:color="auto" w:fill="auto"/>
            <w:vAlign w:val="center"/>
          </w:tcPr>
          <w:p w14:paraId="59DE33BC">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1.612</w:t>
            </w:r>
            <w:r>
              <w:rPr>
                <w:rFonts w:hint="eastAsia" w:ascii="Times New Roman" w:hAnsi="Times New Roman" w:eastAsia="宋体" w:cs="Times New Roman"/>
                <w:color w:val="auto"/>
                <w:sz w:val="21"/>
                <w:szCs w:val="21"/>
                <w:lang w:val="en-US" w:eastAsia="zh-CN"/>
              </w:rPr>
              <w:t>kg</w:t>
            </w:r>
          </w:p>
        </w:tc>
      </w:tr>
    </w:tbl>
    <w:p w14:paraId="46E02813">
      <w:pPr>
        <w:pStyle w:val="156"/>
        <w:spacing w:before="120" w:beforeLines="50"/>
        <w:ind w:firstLine="0"/>
        <w:rPr>
          <w:rFonts w:ascii="Times New Roman" w:eastAsia="宋体"/>
          <w:bCs/>
          <w:color w:val="auto"/>
          <w:kern w:val="2"/>
          <w:sz w:val="24"/>
          <w:szCs w:val="24"/>
        </w:rPr>
      </w:pPr>
      <w:r>
        <w:rPr>
          <w:rFonts w:hint="eastAsia" w:ascii="Times New Roman" w:eastAsia="宋体"/>
          <w:bCs/>
          <w:color w:val="auto"/>
          <w:kern w:val="2"/>
          <w:sz w:val="24"/>
          <w:szCs w:val="24"/>
        </w:rPr>
        <w:t>表2-</w:t>
      </w:r>
      <w:r>
        <w:rPr>
          <w:rFonts w:hint="eastAsia" w:ascii="Times New Roman" w:eastAsia="宋体"/>
          <w:bCs/>
          <w:color w:val="auto"/>
          <w:kern w:val="2"/>
          <w:sz w:val="24"/>
          <w:szCs w:val="24"/>
          <w:lang w:val="en-US" w:eastAsia="zh-CN"/>
        </w:rPr>
        <w:t>8</w:t>
      </w:r>
      <w:r>
        <w:rPr>
          <w:rFonts w:hint="eastAsia" w:ascii="Times New Roman" w:eastAsia="宋体"/>
          <w:bCs/>
          <w:color w:val="auto"/>
          <w:kern w:val="2"/>
          <w:sz w:val="24"/>
          <w:szCs w:val="24"/>
        </w:rPr>
        <w:t xml:space="preserve">  本项目大气污染物无组织排放量核算表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672"/>
        <w:gridCol w:w="726"/>
        <w:gridCol w:w="1192"/>
        <w:gridCol w:w="869"/>
        <w:gridCol w:w="2516"/>
        <w:gridCol w:w="1036"/>
        <w:gridCol w:w="877"/>
      </w:tblGrid>
      <w:tr w14:paraId="2B1AB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tcBorders>
              <w:tl2br w:val="nil"/>
              <w:tr2bl w:val="nil"/>
            </w:tcBorders>
            <w:shd w:val="clear" w:color="auto" w:fill="auto"/>
            <w:vAlign w:val="center"/>
          </w:tcPr>
          <w:p w14:paraId="27EE07B2">
            <w:pPr>
              <w:widowControl/>
              <w:jc w:val="center"/>
              <w:rPr>
                <w:b/>
                <w:bCs/>
                <w:color w:val="auto"/>
                <w:kern w:val="0"/>
                <w:szCs w:val="21"/>
              </w:rPr>
            </w:pPr>
            <w:r>
              <w:rPr>
                <w:b/>
                <w:bCs/>
                <w:color w:val="auto"/>
                <w:kern w:val="0"/>
                <w:szCs w:val="21"/>
              </w:rPr>
              <w:t>序号</w:t>
            </w:r>
          </w:p>
        </w:tc>
        <w:tc>
          <w:tcPr>
            <w:tcW w:w="404" w:type="pct"/>
            <w:vMerge w:val="restart"/>
            <w:tcBorders>
              <w:tl2br w:val="nil"/>
              <w:tr2bl w:val="nil"/>
            </w:tcBorders>
            <w:shd w:val="clear" w:color="auto" w:fill="auto"/>
            <w:vAlign w:val="center"/>
          </w:tcPr>
          <w:p w14:paraId="6141222F">
            <w:pPr>
              <w:widowControl/>
              <w:jc w:val="center"/>
              <w:rPr>
                <w:b/>
                <w:bCs/>
                <w:color w:val="auto"/>
                <w:kern w:val="0"/>
                <w:szCs w:val="21"/>
              </w:rPr>
            </w:pPr>
            <w:r>
              <w:rPr>
                <w:b/>
                <w:bCs/>
                <w:color w:val="auto"/>
                <w:kern w:val="0"/>
                <w:szCs w:val="21"/>
              </w:rPr>
              <w:t>污染源</w:t>
            </w:r>
          </w:p>
        </w:tc>
        <w:tc>
          <w:tcPr>
            <w:tcW w:w="437" w:type="pct"/>
            <w:vMerge w:val="restart"/>
            <w:tcBorders>
              <w:tl2br w:val="nil"/>
              <w:tr2bl w:val="nil"/>
            </w:tcBorders>
            <w:shd w:val="clear" w:color="auto" w:fill="auto"/>
            <w:vAlign w:val="center"/>
          </w:tcPr>
          <w:p w14:paraId="571FA8C8">
            <w:pPr>
              <w:widowControl/>
              <w:jc w:val="center"/>
              <w:rPr>
                <w:b/>
                <w:bCs/>
                <w:color w:val="auto"/>
                <w:kern w:val="0"/>
                <w:szCs w:val="21"/>
              </w:rPr>
            </w:pPr>
            <w:r>
              <w:rPr>
                <w:b/>
                <w:bCs/>
                <w:color w:val="auto"/>
                <w:kern w:val="0"/>
                <w:szCs w:val="21"/>
              </w:rPr>
              <w:t>产污环节</w:t>
            </w:r>
          </w:p>
        </w:tc>
        <w:tc>
          <w:tcPr>
            <w:tcW w:w="717" w:type="pct"/>
            <w:vMerge w:val="restart"/>
            <w:tcBorders>
              <w:tl2br w:val="nil"/>
              <w:tr2bl w:val="nil"/>
            </w:tcBorders>
            <w:shd w:val="clear" w:color="auto" w:fill="auto"/>
            <w:vAlign w:val="center"/>
          </w:tcPr>
          <w:p w14:paraId="1B6DC171">
            <w:pPr>
              <w:widowControl/>
              <w:jc w:val="center"/>
              <w:rPr>
                <w:b/>
                <w:bCs/>
                <w:color w:val="auto"/>
                <w:kern w:val="0"/>
                <w:szCs w:val="21"/>
              </w:rPr>
            </w:pPr>
            <w:r>
              <w:rPr>
                <w:b/>
                <w:bCs/>
                <w:color w:val="auto"/>
                <w:kern w:val="0"/>
                <w:szCs w:val="21"/>
              </w:rPr>
              <w:t>污染物</w:t>
            </w:r>
          </w:p>
        </w:tc>
        <w:tc>
          <w:tcPr>
            <w:tcW w:w="523" w:type="pct"/>
            <w:vMerge w:val="restart"/>
            <w:tcBorders>
              <w:tl2br w:val="nil"/>
              <w:tr2bl w:val="nil"/>
            </w:tcBorders>
            <w:shd w:val="clear" w:color="auto" w:fill="auto"/>
            <w:vAlign w:val="center"/>
          </w:tcPr>
          <w:p w14:paraId="555A52F9">
            <w:pPr>
              <w:widowControl/>
              <w:jc w:val="center"/>
              <w:rPr>
                <w:b/>
                <w:bCs/>
                <w:color w:val="auto"/>
                <w:kern w:val="0"/>
                <w:szCs w:val="21"/>
              </w:rPr>
            </w:pPr>
            <w:r>
              <w:rPr>
                <w:b/>
                <w:bCs/>
                <w:color w:val="auto"/>
                <w:kern w:val="0"/>
                <w:szCs w:val="21"/>
              </w:rPr>
              <w:t>主要污染防治措施</w:t>
            </w:r>
          </w:p>
        </w:tc>
        <w:tc>
          <w:tcPr>
            <w:tcW w:w="2138" w:type="pct"/>
            <w:gridSpan w:val="2"/>
            <w:tcBorders>
              <w:tl2br w:val="nil"/>
              <w:tr2bl w:val="nil"/>
            </w:tcBorders>
            <w:shd w:val="clear" w:color="auto" w:fill="auto"/>
            <w:vAlign w:val="center"/>
          </w:tcPr>
          <w:p w14:paraId="6E26FCC9">
            <w:pPr>
              <w:widowControl/>
              <w:jc w:val="center"/>
              <w:rPr>
                <w:b/>
                <w:bCs/>
                <w:color w:val="auto"/>
                <w:kern w:val="0"/>
                <w:szCs w:val="21"/>
              </w:rPr>
            </w:pPr>
            <w:r>
              <w:rPr>
                <w:b/>
                <w:bCs/>
                <w:color w:val="auto"/>
                <w:kern w:val="0"/>
                <w:szCs w:val="21"/>
              </w:rPr>
              <w:t>国家或地方污染物排放标准</w:t>
            </w:r>
          </w:p>
        </w:tc>
        <w:tc>
          <w:tcPr>
            <w:tcW w:w="528" w:type="pct"/>
            <w:tcBorders>
              <w:tl2br w:val="nil"/>
              <w:tr2bl w:val="nil"/>
            </w:tcBorders>
            <w:shd w:val="clear" w:color="auto" w:fill="auto"/>
            <w:vAlign w:val="center"/>
          </w:tcPr>
          <w:p w14:paraId="30684724">
            <w:pPr>
              <w:widowControl/>
              <w:jc w:val="center"/>
              <w:rPr>
                <w:b/>
                <w:bCs/>
                <w:color w:val="auto"/>
                <w:kern w:val="0"/>
                <w:szCs w:val="21"/>
              </w:rPr>
            </w:pPr>
            <w:r>
              <w:rPr>
                <w:b/>
                <w:bCs/>
                <w:color w:val="auto"/>
                <w:kern w:val="0"/>
                <w:szCs w:val="21"/>
              </w:rPr>
              <w:t>排放量</w:t>
            </w:r>
          </w:p>
        </w:tc>
      </w:tr>
      <w:tr w14:paraId="4A255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487069D1">
            <w:pPr>
              <w:widowControl/>
              <w:jc w:val="center"/>
              <w:rPr>
                <w:b/>
                <w:bCs/>
                <w:color w:val="auto"/>
                <w:kern w:val="0"/>
                <w:szCs w:val="21"/>
              </w:rPr>
            </w:pPr>
          </w:p>
        </w:tc>
        <w:tc>
          <w:tcPr>
            <w:tcW w:w="404" w:type="pct"/>
            <w:vMerge w:val="continue"/>
            <w:tcBorders>
              <w:tl2br w:val="nil"/>
              <w:tr2bl w:val="nil"/>
            </w:tcBorders>
            <w:vAlign w:val="center"/>
          </w:tcPr>
          <w:p w14:paraId="1273A626">
            <w:pPr>
              <w:widowControl/>
              <w:jc w:val="center"/>
              <w:rPr>
                <w:b/>
                <w:bCs/>
                <w:color w:val="auto"/>
                <w:kern w:val="0"/>
                <w:szCs w:val="21"/>
              </w:rPr>
            </w:pPr>
          </w:p>
        </w:tc>
        <w:tc>
          <w:tcPr>
            <w:tcW w:w="437" w:type="pct"/>
            <w:vMerge w:val="continue"/>
            <w:tcBorders>
              <w:tl2br w:val="nil"/>
              <w:tr2bl w:val="nil"/>
            </w:tcBorders>
            <w:vAlign w:val="center"/>
          </w:tcPr>
          <w:p w14:paraId="29A1045C">
            <w:pPr>
              <w:widowControl/>
              <w:jc w:val="center"/>
              <w:rPr>
                <w:b/>
                <w:bCs/>
                <w:color w:val="auto"/>
                <w:kern w:val="0"/>
                <w:szCs w:val="21"/>
              </w:rPr>
            </w:pPr>
          </w:p>
        </w:tc>
        <w:tc>
          <w:tcPr>
            <w:tcW w:w="717" w:type="pct"/>
            <w:vMerge w:val="continue"/>
            <w:tcBorders>
              <w:tl2br w:val="nil"/>
              <w:tr2bl w:val="nil"/>
            </w:tcBorders>
            <w:vAlign w:val="center"/>
          </w:tcPr>
          <w:p w14:paraId="0DFF4757">
            <w:pPr>
              <w:widowControl/>
              <w:jc w:val="center"/>
              <w:rPr>
                <w:b/>
                <w:bCs/>
                <w:color w:val="auto"/>
                <w:kern w:val="0"/>
                <w:szCs w:val="21"/>
              </w:rPr>
            </w:pPr>
          </w:p>
        </w:tc>
        <w:tc>
          <w:tcPr>
            <w:tcW w:w="523" w:type="pct"/>
            <w:vMerge w:val="continue"/>
            <w:tcBorders>
              <w:tl2br w:val="nil"/>
              <w:tr2bl w:val="nil"/>
            </w:tcBorders>
            <w:vAlign w:val="center"/>
          </w:tcPr>
          <w:p w14:paraId="5929C5D8">
            <w:pPr>
              <w:widowControl/>
              <w:jc w:val="center"/>
              <w:rPr>
                <w:b/>
                <w:bCs/>
                <w:color w:val="auto"/>
                <w:kern w:val="0"/>
                <w:szCs w:val="21"/>
              </w:rPr>
            </w:pPr>
          </w:p>
        </w:tc>
        <w:tc>
          <w:tcPr>
            <w:tcW w:w="1514" w:type="pct"/>
            <w:tcBorders>
              <w:tl2br w:val="nil"/>
              <w:tr2bl w:val="nil"/>
            </w:tcBorders>
            <w:shd w:val="clear" w:color="auto" w:fill="auto"/>
            <w:vAlign w:val="center"/>
          </w:tcPr>
          <w:p w14:paraId="706A38EE">
            <w:pPr>
              <w:widowControl/>
              <w:jc w:val="center"/>
              <w:rPr>
                <w:b/>
                <w:bCs/>
                <w:color w:val="auto"/>
                <w:kern w:val="0"/>
                <w:szCs w:val="21"/>
              </w:rPr>
            </w:pPr>
            <w:r>
              <w:rPr>
                <w:b/>
                <w:bCs/>
                <w:color w:val="auto"/>
                <w:kern w:val="0"/>
                <w:szCs w:val="21"/>
              </w:rPr>
              <w:t>标准名称</w:t>
            </w:r>
          </w:p>
        </w:tc>
        <w:tc>
          <w:tcPr>
            <w:tcW w:w="623" w:type="pct"/>
            <w:tcBorders>
              <w:tl2br w:val="nil"/>
              <w:tr2bl w:val="nil"/>
            </w:tcBorders>
            <w:shd w:val="clear" w:color="auto" w:fill="auto"/>
            <w:vAlign w:val="center"/>
          </w:tcPr>
          <w:p w14:paraId="67E8A901">
            <w:pPr>
              <w:widowControl/>
              <w:jc w:val="center"/>
              <w:rPr>
                <w:b/>
                <w:bCs/>
                <w:color w:val="auto"/>
                <w:kern w:val="0"/>
                <w:szCs w:val="21"/>
              </w:rPr>
            </w:pPr>
            <w:r>
              <w:rPr>
                <w:b/>
                <w:bCs/>
                <w:color w:val="auto"/>
                <w:kern w:val="0"/>
                <w:szCs w:val="21"/>
              </w:rPr>
              <w:t>浓度限值（</w:t>
            </w:r>
            <w:r>
              <w:rPr>
                <w:rFonts w:hint="eastAsia"/>
                <w:b/>
                <w:bCs/>
                <w:color w:val="auto"/>
                <w:kern w:val="0"/>
                <w:szCs w:val="21"/>
                <w:lang w:val="en-US" w:eastAsia="zh-CN"/>
              </w:rPr>
              <w:t>m</w:t>
            </w:r>
            <w:r>
              <w:rPr>
                <w:b/>
                <w:bCs/>
                <w:color w:val="auto"/>
                <w:kern w:val="0"/>
                <w:szCs w:val="21"/>
              </w:rPr>
              <w:t>g/m</w:t>
            </w:r>
            <w:r>
              <w:rPr>
                <w:b/>
                <w:bCs/>
                <w:color w:val="auto"/>
                <w:kern w:val="0"/>
                <w:szCs w:val="21"/>
                <w:vertAlign w:val="superscript"/>
              </w:rPr>
              <w:t>3</w:t>
            </w:r>
            <w:r>
              <w:rPr>
                <w:b/>
                <w:bCs/>
                <w:color w:val="auto"/>
                <w:kern w:val="0"/>
                <w:szCs w:val="21"/>
              </w:rPr>
              <w:t>）</w:t>
            </w:r>
          </w:p>
        </w:tc>
        <w:tc>
          <w:tcPr>
            <w:tcW w:w="528" w:type="pct"/>
            <w:tcBorders>
              <w:tl2br w:val="nil"/>
              <w:tr2bl w:val="nil"/>
            </w:tcBorders>
            <w:shd w:val="clear" w:color="auto" w:fill="auto"/>
            <w:vAlign w:val="center"/>
          </w:tcPr>
          <w:p w14:paraId="39F4CE3E">
            <w:pPr>
              <w:widowControl/>
              <w:jc w:val="center"/>
              <w:rPr>
                <w:rFonts w:eastAsia="等线"/>
                <w:b/>
                <w:bCs/>
                <w:color w:val="auto"/>
                <w:kern w:val="0"/>
                <w:szCs w:val="21"/>
              </w:rPr>
            </w:pPr>
            <w:r>
              <w:rPr>
                <w:rFonts w:eastAsia="等线"/>
                <w:b/>
                <w:bCs/>
                <w:color w:val="auto"/>
                <w:kern w:val="0"/>
                <w:szCs w:val="21"/>
              </w:rPr>
              <w:t>t/a</w:t>
            </w:r>
          </w:p>
        </w:tc>
      </w:tr>
      <w:tr w14:paraId="270F3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tcBorders>
              <w:tl2br w:val="nil"/>
              <w:tr2bl w:val="nil"/>
            </w:tcBorders>
            <w:shd w:val="clear" w:color="auto" w:fill="auto"/>
            <w:vAlign w:val="center"/>
          </w:tcPr>
          <w:p w14:paraId="1FD73131">
            <w:pPr>
              <w:widowControl/>
              <w:jc w:val="center"/>
              <w:rPr>
                <w:color w:val="auto"/>
                <w:kern w:val="0"/>
                <w:szCs w:val="21"/>
              </w:rPr>
            </w:pPr>
            <w:r>
              <w:rPr>
                <w:color w:val="auto"/>
                <w:kern w:val="0"/>
                <w:szCs w:val="21"/>
              </w:rPr>
              <w:t>1</w:t>
            </w:r>
          </w:p>
        </w:tc>
        <w:tc>
          <w:tcPr>
            <w:tcW w:w="404" w:type="pct"/>
            <w:vMerge w:val="restart"/>
            <w:tcBorders>
              <w:tl2br w:val="nil"/>
              <w:tr2bl w:val="nil"/>
            </w:tcBorders>
            <w:shd w:val="clear" w:color="auto" w:fill="auto"/>
            <w:vAlign w:val="center"/>
          </w:tcPr>
          <w:p w14:paraId="0AC957DB">
            <w:pPr>
              <w:widowControl/>
              <w:jc w:val="center"/>
              <w:rPr>
                <w:rFonts w:hint="default"/>
                <w:color w:val="auto"/>
                <w:kern w:val="0"/>
                <w:szCs w:val="21"/>
                <w:lang w:val="en-US" w:eastAsia="zh-CN"/>
              </w:rPr>
            </w:pPr>
            <w:r>
              <w:rPr>
                <w:rFonts w:hint="eastAsia"/>
                <w:color w:val="auto"/>
                <w:kern w:val="0"/>
                <w:szCs w:val="21"/>
                <w:lang w:val="en-US" w:eastAsia="zh-CN"/>
              </w:rPr>
              <w:t>生产车间</w:t>
            </w:r>
          </w:p>
        </w:tc>
        <w:tc>
          <w:tcPr>
            <w:tcW w:w="437" w:type="pct"/>
            <w:vMerge w:val="restart"/>
            <w:tcBorders>
              <w:tl2br w:val="nil"/>
              <w:tr2bl w:val="nil"/>
            </w:tcBorders>
            <w:shd w:val="clear" w:color="auto" w:fill="auto"/>
            <w:vAlign w:val="center"/>
          </w:tcPr>
          <w:p w14:paraId="2C8BEA5F">
            <w:pPr>
              <w:widowControl/>
              <w:jc w:val="center"/>
              <w:rPr>
                <w:color w:val="auto"/>
                <w:kern w:val="0"/>
                <w:szCs w:val="21"/>
              </w:rPr>
            </w:pPr>
            <w:r>
              <w:rPr>
                <w:color w:val="auto"/>
                <w:kern w:val="0"/>
                <w:szCs w:val="21"/>
              </w:rPr>
              <w:t>生产</w:t>
            </w:r>
          </w:p>
        </w:tc>
        <w:tc>
          <w:tcPr>
            <w:tcW w:w="717" w:type="pct"/>
            <w:tcBorders>
              <w:tl2br w:val="nil"/>
              <w:tr2bl w:val="nil"/>
            </w:tcBorders>
            <w:shd w:val="clear" w:color="auto" w:fill="auto"/>
            <w:vAlign w:val="center"/>
          </w:tcPr>
          <w:p w14:paraId="7154EBB3">
            <w:pPr>
              <w:pStyle w:val="105"/>
              <w:spacing w:line="240" w:lineRule="exact"/>
              <w:rPr>
                <w:bCs/>
                <w:color w:val="auto"/>
                <w:sz w:val="21"/>
                <w:szCs w:val="21"/>
              </w:rPr>
            </w:pPr>
            <w:r>
              <w:rPr>
                <w:bCs/>
                <w:color w:val="auto"/>
                <w:sz w:val="21"/>
                <w:szCs w:val="21"/>
              </w:rPr>
              <w:t>非甲烷总烃</w:t>
            </w:r>
          </w:p>
        </w:tc>
        <w:tc>
          <w:tcPr>
            <w:tcW w:w="523" w:type="pct"/>
            <w:vMerge w:val="restart"/>
            <w:tcBorders>
              <w:tl2br w:val="nil"/>
              <w:tr2bl w:val="nil"/>
            </w:tcBorders>
            <w:shd w:val="clear" w:color="auto" w:fill="auto"/>
            <w:vAlign w:val="center"/>
          </w:tcPr>
          <w:p w14:paraId="4A277253">
            <w:pPr>
              <w:widowControl/>
              <w:jc w:val="center"/>
              <w:rPr>
                <w:color w:val="auto"/>
                <w:kern w:val="0"/>
                <w:szCs w:val="21"/>
              </w:rPr>
            </w:pPr>
            <w:r>
              <w:rPr>
                <w:color w:val="auto"/>
                <w:kern w:val="0"/>
                <w:szCs w:val="21"/>
              </w:rPr>
              <w:t>-</w:t>
            </w:r>
          </w:p>
        </w:tc>
        <w:tc>
          <w:tcPr>
            <w:tcW w:w="1514" w:type="pct"/>
            <w:vMerge w:val="restart"/>
            <w:tcBorders>
              <w:tl2br w:val="nil"/>
              <w:tr2bl w:val="nil"/>
            </w:tcBorders>
            <w:shd w:val="clear" w:color="auto" w:fill="auto"/>
            <w:vAlign w:val="center"/>
          </w:tcPr>
          <w:p w14:paraId="120D2440">
            <w:pPr>
              <w:widowControl/>
              <w:jc w:val="center"/>
              <w:rPr>
                <w:color w:val="auto"/>
                <w:szCs w:val="21"/>
              </w:rPr>
            </w:pPr>
            <w:r>
              <w:rPr>
                <w:color w:val="auto"/>
                <w:szCs w:val="21"/>
              </w:rPr>
              <w:t>《大气污染物综合排放标准》（</w:t>
            </w:r>
            <w:r>
              <w:rPr>
                <w:rFonts w:hint="eastAsia"/>
                <w:color w:val="auto"/>
                <w:szCs w:val="21"/>
              </w:rPr>
              <w:t>D</w:t>
            </w:r>
            <w:r>
              <w:rPr>
                <w:color w:val="auto"/>
                <w:szCs w:val="21"/>
              </w:rPr>
              <w:t>B</w:t>
            </w:r>
            <w:r>
              <w:rPr>
                <w:rFonts w:hint="eastAsia"/>
                <w:color w:val="auto"/>
                <w:szCs w:val="21"/>
              </w:rPr>
              <w:t>32/4041</w:t>
            </w:r>
            <w:r>
              <w:rPr>
                <w:color w:val="auto"/>
                <w:szCs w:val="21"/>
              </w:rPr>
              <w:t>-</w:t>
            </w:r>
            <w:r>
              <w:rPr>
                <w:rFonts w:hint="eastAsia"/>
                <w:color w:val="auto"/>
                <w:szCs w:val="21"/>
              </w:rPr>
              <w:t>2021</w:t>
            </w:r>
            <w:r>
              <w:rPr>
                <w:color w:val="auto"/>
                <w:szCs w:val="21"/>
              </w:rPr>
              <w:t>）</w:t>
            </w:r>
          </w:p>
        </w:tc>
        <w:tc>
          <w:tcPr>
            <w:tcW w:w="623" w:type="pct"/>
            <w:tcBorders>
              <w:tl2br w:val="nil"/>
              <w:tr2bl w:val="nil"/>
            </w:tcBorders>
            <w:shd w:val="clear" w:color="auto" w:fill="auto"/>
            <w:vAlign w:val="center"/>
          </w:tcPr>
          <w:p w14:paraId="5C0A8BA5">
            <w:pPr>
              <w:widowControl/>
              <w:jc w:val="center"/>
              <w:rPr>
                <w:rFonts w:eastAsia="等线"/>
                <w:color w:val="auto"/>
                <w:kern w:val="0"/>
                <w:szCs w:val="21"/>
              </w:rPr>
            </w:pPr>
            <w:r>
              <w:rPr>
                <w:rFonts w:hint="eastAsia" w:eastAsia="等线"/>
                <w:color w:val="auto"/>
                <w:kern w:val="0"/>
                <w:szCs w:val="21"/>
              </w:rPr>
              <w:t>4</w:t>
            </w:r>
          </w:p>
        </w:tc>
        <w:tc>
          <w:tcPr>
            <w:tcW w:w="528" w:type="pct"/>
            <w:tcBorders>
              <w:tl2br w:val="nil"/>
              <w:tr2bl w:val="nil"/>
            </w:tcBorders>
            <w:shd w:val="clear" w:color="auto" w:fill="auto"/>
            <w:vAlign w:val="center"/>
          </w:tcPr>
          <w:p w14:paraId="210ED838">
            <w:pPr>
              <w:pStyle w:val="105"/>
              <w:kinsoku w:val="0"/>
              <w:overflowPunct w:val="0"/>
              <w:adjustRightInd w:val="0"/>
              <w:snapToGrid w:val="0"/>
              <w:spacing w:before="24" w:after="24"/>
              <w:rPr>
                <w:rFonts w:hint="default" w:eastAsia="宋体"/>
                <w:color w:val="auto"/>
                <w:kern w:val="0"/>
                <w:szCs w:val="21"/>
                <w:lang w:val="en-US" w:eastAsia="zh-CN"/>
              </w:rPr>
            </w:pPr>
            <w:r>
              <w:rPr>
                <w:rFonts w:hint="eastAsia"/>
                <w:color w:val="auto"/>
                <w:sz w:val="21"/>
                <w:szCs w:val="21"/>
              </w:rPr>
              <w:t>0.</w:t>
            </w:r>
            <w:r>
              <w:rPr>
                <w:rFonts w:hint="eastAsia"/>
                <w:color w:val="auto"/>
                <w:sz w:val="21"/>
                <w:szCs w:val="21"/>
                <w:lang w:val="en-US" w:eastAsia="zh-CN"/>
              </w:rPr>
              <w:t>081</w:t>
            </w:r>
          </w:p>
        </w:tc>
      </w:tr>
      <w:tr w14:paraId="708EF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50" w:type="pct"/>
            <w:vMerge w:val="continue"/>
            <w:tcBorders>
              <w:tl2br w:val="nil"/>
              <w:tr2bl w:val="nil"/>
            </w:tcBorders>
            <w:vAlign w:val="center"/>
          </w:tcPr>
          <w:p w14:paraId="4711EE21">
            <w:pPr>
              <w:widowControl/>
              <w:jc w:val="center"/>
              <w:rPr>
                <w:rFonts w:eastAsia="等线"/>
                <w:color w:val="auto"/>
                <w:kern w:val="0"/>
                <w:szCs w:val="21"/>
              </w:rPr>
            </w:pPr>
          </w:p>
        </w:tc>
        <w:tc>
          <w:tcPr>
            <w:tcW w:w="404" w:type="pct"/>
            <w:vMerge w:val="continue"/>
            <w:tcBorders>
              <w:tl2br w:val="nil"/>
              <w:tr2bl w:val="nil"/>
            </w:tcBorders>
            <w:vAlign w:val="center"/>
          </w:tcPr>
          <w:p w14:paraId="6078C2C6">
            <w:pPr>
              <w:widowControl/>
              <w:jc w:val="center"/>
              <w:rPr>
                <w:color w:val="auto"/>
                <w:kern w:val="0"/>
                <w:szCs w:val="21"/>
              </w:rPr>
            </w:pPr>
          </w:p>
        </w:tc>
        <w:tc>
          <w:tcPr>
            <w:tcW w:w="437" w:type="pct"/>
            <w:vMerge w:val="continue"/>
            <w:tcBorders>
              <w:tl2br w:val="nil"/>
              <w:tr2bl w:val="nil"/>
            </w:tcBorders>
            <w:vAlign w:val="center"/>
          </w:tcPr>
          <w:p w14:paraId="55E7E343">
            <w:pPr>
              <w:widowControl/>
              <w:jc w:val="center"/>
              <w:rPr>
                <w:color w:val="auto"/>
                <w:kern w:val="0"/>
                <w:szCs w:val="21"/>
              </w:rPr>
            </w:pPr>
          </w:p>
        </w:tc>
        <w:tc>
          <w:tcPr>
            <w:tcW w:w="717" w:type="pct"/>
            <w:tcBorders>
              <w:tl2br w:val="nil"/>
              <w:tr2bl w:val="nil"/>
            </w:tcBorders>
            <w:shd w:val="clear" w:color="auto" w:fill="auto"/>
            <w:vAlign w:val="center"/>
          </w:tcPr>
          <w:p w14:paraId="3303836A">
            <w:pPr>
              <w:pStyle w:val="105"/>
              <w:spacing w:line="240" w:lineRule="exact"/>
              <w:rPr>
                <w:bCs/>
                <w:color w:val="auto"/>
                <w:sz w:val="21"/>
                <w:szCs w:val="21"/>
              </w:rPr>
            </w:pPr>
            <w:r>
              <w:rPr>
                <w:bCs/>
                <w:color w:val="auto"/>
                <w:sz w:val="21"/>
                <w:szCs w:val="21"/>
              </w:rPr>
              <w:t>颗粒物</w:t>
            </w:r>
          </w:p>
        </w:tc>
        <w:tc>
          <w:tcPr>
            <w:tcW w:w="523" w:type="pct"/>
            <w:vMerge w:val="continue"/>
            <w:tcBorders>
              <w:tl2br w:val="nil"/>
              <w:tr2bl w:val="nil"/>
            </w:tcBorders>
            <w:vAlign w:val="center"/>
          </w:tcPr>
          <w:p w14:paraId="61F8FFA1">
            <w:pPr>
              <w:widowControl/>
              <w:jc w:val="center"/>
              <w:rPr>
                <w:color w:val="auto"/>
                <w:kern w:val="0"/>
                <w:szCs w:val="21"/>
              </w:rPr>
            </w:pPr>
          </w:p>
        </w:tc>
        <w:tc>
          <w:tcPr>
            <w:tcW w:w="1514" w:type="pct"/>
            <w:vMerge w:val="continue"/>
            <w:tcBorders>
              <w:tl2br w:val="nil"/>
              <w:tr2bl w:val="nil"/>
            </w:tcBorders>
            <w:shd w:val="clear" w:color="auto" w:fill="auto"/>
            <w:vAlign w:val="center"/>
          </w:tcPr>
          <w:p w14:paraId="3CACCE82">
            <w:pPr>
              <w:widowControl/>
              <w:jc w:val="center"/>
              <w:rPr>
                <w:color w:val="auto"/>
                <w:kern w:val="0"/>
                <w:szCs w:val="21"/>
              </w:rPr>
            </w:pPr>
          </w:p>
        </w:tc>
        <w:tc>
          <w:tcPr>
            <w:tcW w:w="623" w:type="pct"/>
            <w:tcBorders>
              <w:tl2br w:val="nil"/>
              <w:tr2bl w:val="nil"/>
            </w:tcBorders>
            <w:shd w:val="clear" w:color="auto" w:fill="auto"/>
            <w:vAlign w:val="center"/>
          </w:tcPr>
          <w:p w14:paraId="54E0A7E6">
            <w:pPr>
              <w:widowControl/>
              <w:jc w:val="center"/>
              <w:rPr>
                <w:rFonts w:hint="default" w:eastAsia="等线"/>
                <w:color w:val="auto"/>
                <w:kern w:val="0"/>
                <w:szCs w:val="21"/>
                <w:lang w:val="en-US" w:eastAsia="zh-CN"/>
              </w:rPr>
            </w:pPr>
            <w:r>
              <w:rPr>
                <w:rFonts w:hint="eastAsia" w:eastAsia="等线"/>
                <w:color w:val="auto"/>
                <w:kern w:val="0"/>
                <w:szCs w:val="21"/>
                <w:lang w:val="en-US" w:eastAsia="zh-CN"/>
              </w:rPr>
              <w:t>0.5</w:t>
            </w:r>
          </w:p>
        </w:tc>
        <w:tc>
          <w:tcPr>
            <w:tcW w:w="528" w:type="pct"/>
            <w:tcBorders>
              <w:tl2br w:val="nil"/>
              <w:tr2bl w:val="nil"/>
            </w:tcBorders>
            <w:shd w:val="clear" w:color="auto" w:fill="auto"/>
            <w:vAlign w:val="center"/>
          </w:tcPr>
          <w:p w14:paraId="7E0E9A20">
            <w:pPr>
              <w:pStyle w:val="105"/>
              <w:kinsoku w:val="0"/>
              <w:overflowPunct w:val="0"/>
              <w:adjustRightInd w:val="0"/>
              <w:snapToGrid w:val="0"/>
              <w:spacing w:before="24" w:after="24"/>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795</w:t>
            </w:r>
          </w:p>
        </w:tc>
      </w:tr>
      <w:tr w14:paraId="74AE2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2" w:type="pct"/>
            <w:gridSpan w:val="3"/>
            <w:vMerge w:val="restart"/>
            <w:tcBorders>
              <w:tl2br w:val="nil"/>
              <w:tr2bl w:val="nil"/>
            </w:tcBorders>
            <w:vAlign w:val="center"/>
          </w:tcPr>
          <w:p w14:paraId="040BDE58">
            <w:pPr>
              <w:jc w:val="center"/>
              <w:rPr>
                <w:color w:val="auto"/>
                <w:kern w:val="0"/>
                <w:szCs w:val="21"/>
              </w:rPr>
            </w:pPr>
            <w:r>
              <w:rPr>
                <w:color w:val="auto"/>
                <w:szCs w:val="21"/>
              </w:rPr>
              <w:t>无组织排放总计</w:t>
            </w:r>
          </w:p>
        </w:tc>
        <w:tc>
          <w:tcPr>
            <w:tcW w:w="1241" w:type="pct"/>
            <w:gridSpan w:val="2"/>
            <w:tcBorders>
              <w:tl2br w:val="nil"/>
              <w:tr2bl w:val="nil"/>
            </w:tcBorders>
            <w:shd w:val="clear" w:color="auto" w:fill="auto"/>
            <w:vAlign w:val="center"/>
          </w:tcPr>
          <w:p w14:paraId="59DE3E82">
            <w:pPr>
              <w:pStyle w:val="105"/>
              <w:spacing w:line="240" w:lineRule="exact"/>
              <w:rPr>
                <w:bCs/>
                <w:color w:val="auto"/>
                <w:sz w:val="21"/>
                <w:szCs w:val="21"/>
              </w:rPr>
            </w:pPr>
            <w:r>
              <w:rPr>
                <w:bCs/>
                <w:color w:val="auto"/>
                <w:sz w:val="21"/>
                <w:szCs w:val="21"/>
              </w:rPr>
              <w:t>非甲烷总烃</w:t>
            </w:r>
          </w:p>
        </w:tc>
        <w:tc>
          <w:tcPr>
            <w:tcW w:w="1514" w:type="pct"/>
            <w:vMerge w:val="restart"/>
            <w:tcBorders>
              <w:tl2br w:val="nil"/>
              <w:tr2bl w:val="nil"/>
            </w:tcBorders>
            <w:shd w:val="clear" w:color="auto" w:fill="auto"/>
            <w:vAlign w:val="center"/>
          </w:tcPr>
          <w:p w14:paraId="4D0AEAB3">
            <w:pPr>
              <w:widowControl/>
              <w:jc w:val="center"/>
              <w:rPr>
                <w:color w:val="auto"/>
                <w:szCs w:val="21"/>
              </w:rPr>
            </w:pPr>
            <w:r>
              <w:rPr>
                <w:color w:val="auto"/>
                <w:szCs w:val="21"/>
              </w:rPr>
              <w:t>《大气污染物综合排放标准》（</w:t>
            </w:r>
            <w:r>
              <w:rPr>
                <w:rFonts w:hint="eastAsia"/>
                <w:color w:val="auto"/>
                <w:szCs w:val="21"/>
              </w:rPr>
              <w:t>D</w:t>
            </w:r>
            <w:r>
              <w:rPr>
                <w:color w:val="auto"/>
                <w:szCs w:val="21"/>
              </w:rPr>
              <w:t>B</w:t>
            </w:r>
            <w:r>
              <w:rPr>
                <w:rFonts w:hint="eastAsia"/>
                <w:color w:val="auto"/>
                <w:szCs w:val="21"/>
              </w:rPr>
              <w:t>32/4041</w:t>
            </w:r>
            <w:r>
              <w:rPr>
                <w:color w:val="auto"/>
                <w:szCs w:val="21"/>
              </w:rPr>
              <w:t>-</w:t>
            </w:r>
            <w:r>
              <w:rPr>
                <w:rFonts w:hint="eastAsia"/>
                <w:color w:val="auto"/>
                <w:szCs w:val="21"/>
              </w:rPr>
              <w:t>2021</w:t>
            </w:r>
            <w:r>
              <w:rPr>
                <w:color w:val="auto"/>
                <w:szCs w:val="21"/>
              </w:rPr>
              <w:t>）</w:t>
            </w:r>
          </w:p>
        </w:tc>
        <w:tc>
          <w:tcPr>
            <w:tcW w:w="1063" w:type="dxa"/>
            <w:tcBorders>
              <w:tl2br w:val="nil"/>
              <w:tr2bl w:val="nil"/>
            </w:tcBorders>
            <w:shd w:val="clear" w:color="auto" w:fill="auto"/>
            <w:vAlign w:val="center"/>
          </w:tcPr>
          <w:p w14:paraId="560E7EE6">
            <w:pPr>
              <w:widowControl/>
              <w:jc w:val="center"/>
              <w:rPr>
                <w:rFonts w:eastAsia="等线"/>
                <w:color w:val="auto"/>
                <w:kern w:val="0"/>
                <w:szCs w:val="21"/>
              </w:rPr>
            </w:pPr>
            <w:r>
              <w:rPr>
                <w:rFonts w:hint="eastAsia" w:eastAsia="等线"/>
                <w:color w:val="auto"/>
                <w:kern w:val="0"/>
                <w:szCs w:val="21"/>
              </w:rPr>
              <w:t>4</w:t>
            </w:r>
          </w:p>
        </w:tc>
        <w:tc>
          <w:tcPr>
            <w:tcW w:w="528" w:type="pct"/>
            <w:tcBorders>
              <w:tl2br w:val="nil"/>
              <w:tr2bl w:val="nil"/>
            </w:tcBorders>
            <w:shd w:val="clear" w:color="auto" w:fill="auto"/>
            <w:vAlign w:val="center"/>
          </w:tcPr>
          <w:p w14:paraId="2D4F183E">
            <w:pPr>
              <w:pStyle w:val="105"/>
              <w:kinsoku w:val="0"/>
              <w:overflowPunct w:val="0"/>
              <w:adjustRightInd w:val="0"/>
              <w:snapToGrid w:val="0"/>
              <w:spacing w:before="24" w:after="24"/>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081</w:t>
            </w:r>
          </w:p>
        </w:tc>
      </w:tr>
      <w:tr w14:paraId="181BE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2" w:type="pct"/>
            <w:gridSpan w:val="3"/>
            <w:vMerge w:val="continue"/>
            <w:tcBorders>
              <w:tl2br w:val="nil"/>
              <w:tr2bl w:val="nil"/>
            </w:tcBorders>
            <w:vAlign w:val="center"/>
          </w:tcPr>
          <w:p w14:paraId="313B80BE">
            <w:pPr>
              <w:widowControl/>
              <w:jc w:val="center"/>
              <w:rPr>
                <w:color w:val="auto"/>
                <w:kern w:val="0"/>
                <w:szCs w:val="21"/>
              </w:rPr>
            </w:pPr>
          </w:p>
        </w:tc>
        <w:tc>
          <w:tcPr>
            <w:tcW w:w="1241" w:type="pct"/>
            <w:gridSpan w:val="2"/>
            <w:tcBorders>
              <w:tl2br w:val="nil"/>
              <w:tr2bl w:val="nil"/>
            </w:tcBorders>
            <w:shd w:val="clear" w:color="auto" w:fill="auto"/>
            <w:vAlign w:val="center"/>
          </w:tcPr>
          <w:p w14:paraId="253A9968">
            <w:pPr>
              <w:pStyle w:val="105"/>
              <w:spacing w:line="240" w:lineRule="exact"/>
              <w:rPr>
                <w:bCs/>
                <w:color w:val="auto"/>
                <w:sz w:val="21"/>
                <w:szCs w:val="21"/>
              </w:rPr>
            </w:pPr>
            <w:r>
              <w:rPr>
                <w:bCs/>
                <w:color w:val="auto"/>
                <w:sz w:val="21"/>
                <w:szCs w:val="21"/>
              </w:rPr>
              <w:t>颗粒物</w:t>
            </w:r>
          </w:p>
        </w:tc>
        <w:tc>
          <w:tcPr>
            <w:tcW w:w="1514" w:type="pct"/>
            <w:vMerge w:val="continue"/>
            <w:tcBorders>
              <w:tl2br w:val="nil"/>
              <w:tr2bl w:val="nil"/>
            </w:tcBorders>
            <w:shd w:val="clear" w:color="auto" w:fill="auto"/>
            <w:vAlign w:val="center"/>
          </w:tcPr>
          <w:p w14:paraId="6AEA1752">
            <w:pPr>
              <w:widowControl/>
              <w:jc w:val="center"/>
              <w:rPr>
                <w:color w:val="auto"/>
                <w:kern w:val="0"/>
                <w:szCs w:val="21"/>
              </w:rPr>
            </w:pPr>
          </w:p>
        </w:tc>
        <w:tc>
          <w:tcPr>
            <w:tcW w:w="1063" w:type="dxa"/>
            <w:tcBorders>
              <w:tl2br w:val="nil"/>
              <w:tr2bl w:val="nil"/>
            </w:tcBorders>
            <w:shd w:val="clear" w:color="auto" w:fill="auto"/>
            <w:vAlign w:val="center"/>
          </w:tcPr>
          <w:p w14:paraId="2025CCE2">
            <w:pPr>
              <w:widowControl/>
              <w:jc w:val="center"/>
              <w:rPr>
                <w:rFonts w:eastAsia="等线"/>
                <w:color w:val="auto"/>
                <w:kern w:val="0"/>
                <w:szCs w:val="21"/>
              </w:rPr>
            </w:pPr>
            <w:r>
              <w:rPr>
                <w:rFonts w:hint="eastAsia" w:eastAsia="等线"/>
                <w:color w:val="auto"/>
                <w:kern w:val="0"/>
                <w:szCs w:val="21"/>
                <w:lang w:val="en-US" w:eastAsia="zh-CN"/>
              </w:rPr>
              <w:t>0.5</w:t>
            </w:r>
          </w:p>
        </w:tc>
        <w:tc>
          <w:tcPr>
            <w:tcW w:w="528" w:type="pct"/>
            <w:tcBorders>
              <w:tl2br w:val="nil"/>
              <w:tr2bl w:val="nil"/>
            </w:tcBorders>
            <w:shd w:val="clear" w:color="auto" w:fill="auto"/>
            <w:vAlign w:val="center"/>
          </w:tcPr>
          <w:p w14:paraId="04B47D4D">
            <w:pPr>
              <w:pStyle w:val="105"/>
              <w:kinsoku w:val="0"/>
              <w:overflowPunct w:val="0"/>
              <w:adjustRightInd w:val="0"/>
              <w:snapToGrid w:val="0"/>
              <w:spacing w:before="24" w:after="24"/>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795</w:t>
            </w:r>
          </w:p>
        </w:tc>
      </w:tr>
    </w:tbl>
    <w:p w14:paraId="116E5A64">
      <w:pPr>
        <w:pStyle w:val="156"/>
        <w:spacing w:before="120" w:beforeLines="50"/>
        <w:ind w:firstLine="0"/>
        <w:rPr>
          <w:rFonts w:ascii="Times New Roman" w:eastAsia="宋体"/>
          <w:bCs/>
          <w:color w:val="auto"/>
          <w:kern w:val="2"/>
          <w:sz w:val="24"/>
          <w:szCs w:val="24"/>
        </w:rPr>
      </w:pPr>
      <w:r>
        <w:rPr>
          <w:rFonts w:hint="eastAsia" w:ascii="Times New Roman" w:eastAsia="宋体"/>
          <w:bCs/>
          <w:color w:val="auto"/>
          <w:kern w:val="2"/>
          <w:sz w:val="24"/>
          <w:szCs w:val="24"/>
        </w:rPr>
        <w:t>表2-</w:t>
      </w:r>
      <w:r>
        <w:rPr>
          <w:rFonts w:hint="eastAsia" w:ascii="Times New Roman" w:eastAsia="宋体"/>
          <w:bCs/>
          <w:color w:val="auto"/>
          <w:kern w:val="2"/>
          <w:sz w:val="24"/>
          <w:szCs w:val="24"/>
          <w:lang w:val="en-US" w:eastAsia="zh-CN"/>
        </w:rPr>
        <w:t>9</w:t>
      </w:r>
      <w:r>
        <w:rPr>
          <w:rFonts w:hint="eastAsia" w:ascii="Times New Roman" w:eastAsia="宋体"/>
          <w:bCs/>
          <w:color w:val="auto"/>
          <w:kern w:val="2"/>
          <w:sz w:val="24"/>
          <w:szCs w:val="24"/>
        </w:rPr>
        <w:t xml:space="preserve">  本项目大气污染物年排放量核算表</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87"/>
        <w:gridCol w:w="3017"/>
        <w:gridCol w:w="3400"/>
      </w:tblGrid>
      <w:tr w14:paraId="15F3D5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36" w:type="pct"/>
            <w:tcBorders>
              <w:bottom w:val="single" w:color="auto" w:sz="12" w:space="0"/>
            </w:tcBorders>
            <w:shd w:val="clear" w:color="auto" w:fill="auto"/>
            <w:vAlign w:val="center"/>
          </w:tcPr>
          <w:p w14:paraId="275A6455">
            <w:pPr>
              <w:widowControl/>
              <w:jc w:val="center"/>
              <w:rPr>
                <w:b/>
                <w:bCs/>
                <w:color w:val="auto"/>
                <w:kern w:val="0"/>
                <w:szCs w:val="21"/>
              </w:rPr>
            </w:pPr>
            <w:r>
              <w:rPr>
                <w:b/>
                <w:bCs/>
                <w:color w:val="auto"/>
                <w:kern w:val="0"/>
                <w:szCs w:val="21"/>
              </w:rPr>
              <w:t>序号</w:t>
            </w:r>
          </w:p>
        </w:tc>
        <w:tc>
          <w:tcPr>
            <w:tcW w:w="1816" w:type="pct"/>
            <w:tcBorders>
              <w:bottom w:val="single" w:color="auto" w:sz="12" w:space="0"/>
            </w:tcBorders>
            <w:shd w:val="clear" w:color="auto" w:fill="auto"/>
            <w:vAlign w:val="center"/>
          </w:tcPr>
          <w:p w14:paraId="5542CAE8">
            <w:pPr>
              <w:widowControl/>
              <w:jc w:val="center"/>
              <w:rPr>
                <w:b/>
                <w:bCs/>
                <w:color w:val="auto"/>
                <w:kern w:val="0"/>
                <w:szCs w:val="21"/>
              </w:rPr>
            </w:pPr>
            <w:r>
              <w:rPr>
                <w:b/>
                <w:bCs/>
                <w:color w:val="auto"/>
                <w:kern w:val="0"/>
                <w:szCs w:val="21"/>
              </w:rPr>
              <w:t>污染物</w:t>
            </w:r>
          </w:p>
        </w:tc>
        <w:tc>
          <w:tcPr>
            <w:tcW w:w="2046" w:type="pct"/>
            <w:tcBorders>
              <w:bottom w:val="single" w:color="auto" w:sz="12" w:space="0"/>
            </w:tcBorders>
            <w:shd w:val="clear" w:color="auto" w:fill="auto"/>
            <w:vAlign w:val="center"/>
          </w:tcPr>
          <w:p w14:paraId="1822D78E">
            <w:pPr>
              <w:widowControl/>
              <w:jc w:val="center"/>
              <w:rPr>
                <w:b/>
                <w:bCs/>
                <w:color w:val="auto"/>
                <w:kern w:val="0"/>
                <w:szCs w:val="21"/>
              </w:rPr>
            </w:pPr>
            <w:r>
              <w:rPr>
                <w:b/>
                <w:bCs/>
                <w:color w:val="auto"/>
                <w:kern w:val="0"/>
                <w:szCs w:val="21"/>
              </w:rPr>
              <w:t>年排放量（t/a）</w:t>
            </w:r>
          </w:p>
        </w:tc>
      </w:tr>
      <w:tr w14:paraId="7611A6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36" w:type="pct"/>
            <w:tcBorders>
              <w:top w:val="single" w:color="auto" w:sz="12" w:space="0"/>
              <w:tl2br w:val="nil"/>
              <w:tr2bl w:val="nil"/>
            </w:tcBorders>
            <w:shd w:val="clear" w:color="auto" w:fill="auto"/>
            <w:vAlign w:val="center"/>
          </w:tcPr>
          <w:p w14:paraId="0A79A4B6">
            <w:pPr>
              <w:widowControl/>
              <w:jc w:val="center"/>
              <w:rPr>
                <w:color w:val="auto"/>
                <w:kern w:val="0"/>
                <w:szCs w:val="21"/>
              </w:rPr>
            </w:pPr>
            <w:r>
              <w:rPr>
                <w:color w:val="auto"/>
                <w:kern w:val="0"/>
                <w:szCs w:val="21"/>
              </w:rPr>
              <w:t>1</w:t>
            </w:r>
          </w:p>
        </w:tc>
        <w:tc>
          <w:tcPr>
            <w:tcW w:w="1816" w:type="pct"/>
            <w:tcBorders>
              <w:top w:val="single" w:color="auto" w:sz="12" w:space="0"/>
              <w:tl2br w:val="nil"/>
              <w:tr2bl w:val="nil"/>
            </w:tcBorders>
            <w:shd w:val="clear" w:color="auto" w:fill="auto"/>
            <w:noWrap/>
            <w:vAlign w:val="center"/>
          </w:tcPr>
          <w:p w14:paraId="0B201CAC">
            <w:pPr>
              <w:pStyle w:val="105"/>
              <w:spacing w:line="240" w:lineRule="exact"/>
              <w:rPr>
                <w:bCs/>
                <w:color w:val="auto"/>
                <w:kern w:val="0"/>
                <w:szCs w:val="21"/>
              </w:rPr>
            </w:pPr>
            <w:r>
              <w:rPr>
                <w:rFonts w:hint="eastAsia"/>
                <w:color w:val="auto"/>
                <w:sz w:val="21"/>
                <w:szCs w:val="21"/>
                <w:lang w:val="en-US" w:eastAsia="zh-CN"/>
              </w:rPr>
              <w:t>VOCs（以</w:t>
            </w:r>
            <w:r>
              <w:rPr>
                <w:color w:val="auto"/>
                <w:sz w:val="21"/>
                <w:szCs w:val="21"/>
              </w:rPr>
              <w:t>非甲烷总烃</w:t>
            </w:r>
            <w:r>
              <w:rPr>
                <w:rFonts w:hint="eastAsia"/>
                <w:color w:val="auto"/>
                <w:sz w:val="21"/>
                <w:szCs w:val="21"/>
                <w:lang w:val="en-US" w:eastAsia="zh-CN"/>
              </w:rPr>
              <w:t>计）</w:t>
            </w:r>
          </w:p>
        </w:tc>
        <w:tc>
          <w:tcPr>
            <w:tcW w:w="2046" w:type="pct"/>
            <w:tcBorders>
              <w:top w:val="single" w:color="auto" w:sz="12" w:space="0"/>
              <w:tl2br w:val="nil"/>
              <w:tr2bl w:val="nil"/>
            </w:tcBorders>
            <w:shd w:val="clear" w:color="auto" w:fill="auto"/>
            <w:noWrap/>
            <w:vAlign w:val="center"/>
          </w:tcPr>
          <w:p w14:paraId="783F9785">
            <w:pPr>
              <w:widowControl/>
              <w:jc w:val="center"/>
              <w:rPr>
                <w:rFonts w:hint="default" w:eastAsia="宋体"/>
                <w:color w:val="auto"/>
                <w:kern w:val="0"/>
                <w:szCs w:val="21"/>
                <w:lang w:val="en-US" w:eastAsia="zh-CN"/>
              </w:rPr>
            </w:pPr>
            <w:r>
              <w:rPr>
                <w:rFonts w:hint="eastAsia"/>
                <w:color w:val="auto"/>
                <w:kern w:val="0"/>
                <w:szCs w:val="21"/>
                <w:lang w:val="en-US" w:eastAsia="zh-CN"/>
              </w:rPr>
              <w:t>0.389</w:t>
            </w:r>
          </w:p>
        </w:tc>
      </w:tr>
      <w:tr w14:paraId="48AE15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36" w:type="pct"/>
            <w:tcBorders>
              <w:tl2br w:val="nil"/>
              <w:tr2bl w:val="nil"/>
            </w:tcBorders>
            <w:shd w:val="clear" w:color="auto" w:fill="auto"/>
            <w:vAlign w:val="center"/>
          </w:tcPr>
          <w:p w14:paraId="7CEB605E">
            <w:pPr>
              <w:widowControl/>
              <w:jc w:val="center"/>
              <w:rPr>
                <w:color w:val="auto"/>
                <w:kern w:val="0"/>
                <w:szCs w:val="21"/>
              </w:rPr>
            </w:pPr>
            <w:r>
              <w:rPr>
                <w:color w:val="auto"/>
                <w:kern w:val="0"/>
                <w:szCs w:val="21"/>
              </w:rPr>
              <w:t>2</w:t>
            </w:r>
          </w:p>
        </w:tc>
        <w:tc>
          <w:tcPr>
            <w:tcW w:w="1816" w:type="pct"/>
            <w:tcBorders>
              <w:tl2br w:val="nil"/>
              <w:tr2bl w:val="nil"/>
            </w:tcBorders>
            <w:shd w:val="clear" w:color="auto" w:fill="auto"/>
            <w:noWrap/>
            <w:vAlign w:val="center"/>
          </w:tcPr>
          <w:p w14:paraId="22147626">
            <w:pPr>
              <w:pStyle w:val="105"/>
              <w:spacing w:line="240" w:lineRule="exact"/>
              <w:rPr>
                <w:bCs/>
                <w:color w:val="auto"/>
                <w:kern w:val="0"/>
                <w:szCs w:val="21"/>
              </w:rPr>
            </w:pPr>
            <w:r>
              <w:rPr>
                <w:color w:val="auto"/>
                <w:sz w:val="21"/>
                <w:szCs w:val="21"/>
              </w:rPr>
              <w:t>颗粒物</w:t>
            </w:r>
          </w:p>
        </w:tc>
        <w:tc>
          <w:tcPr>
            <w:tcW w:w="2046" w:type="pct"/>
            <w:tcBorders>
              <w:tl2br w:val="nil"/>
              <w:tr2bl w:val="nil"/>
            </w:tcBorders>
            <w:shd w:val="clear" w:color="auto" w:fill="auto"/>
            <w:noWrap/>
            <w:vAlign w:val="center"/>
          </w:tcPr>
          <w:p w14:paraId="0C4225EA">
            <w:pPr>
              <w:widowControl/>
              <w:jc w:val="center"/>
              <w:rPr>
                <w:rFonts w:hint="default" w:eastAsia="宋体"/>
                <w:color w:val="auto"/>
                <w:kern w:val="0"/>
                <w:szCs w:val="21"/>
                <w:lang w:val="en-US" w:eastAsia="zh-CN"/>
              </w:rPr>
            </w:pPr>
            <w:r>
              <w:rPr>
                <w:rFonts w:hint="eastAsia"/>
                <w:color w:val="auto"/>
                <w:kern w:val="0"/>
                <w:szCs w:val="21"/>
                <w:lang w:val="en-US" w:eastAsia="zh-CN"/>
              </w:rPr>
              <w:t>0.2165</w:t>
            </w:r>
          </w:p>
        </w:tc>
      </w:tr>
      <w:tr w14:paraId="68D98C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36" w:type="pct"/>
            <w:tcBorders>
              <w:tl2br w:val="nil"/>
              <w:tr2bl w:val="nil"/>
            </w:tcBorders>
            <w:shd w:val="clear" w:color="auto" w:fill="auto"/>
            <w:vAlign w:val="center"/>
          </w:tcPr>
          <w:p w14:paraId="1B67949E">
            <w:pPr>
              <w:widowControl/>
              <w:jc w:val="center"/>
              <w:rPr>
                <w:color w:val="auto"/>
                <w:kern w:val="0"/>
                <w:szCs w:val="21"/>
              </w:rPr>
            </w:pPr>
            <w:r>
              <w:rPr>
                <w:color w:val="auto"/>
                <w:kern w:val="0"/>
                <w:szCs w:val="21"/>
              </w:rPr>
              <w:t>3</w:t>
            </w:r>
          </w:p>
        </w:tc>
        <w:tc>
          <w:tcPr>
            <w:tcW w:w="1816" w:type="pct"/>
            <w:tcBorders>
              <w:tl2br w:val="nil"/>
              <w:tr2bl w:val="nil"/>
            </w:tcBorders>
            <w:shd w:val="clear" w:color="auto" w:fill="auto"/>
            <w:noWrap/>
            <w:vAlign w:val="center"/>
          </w:tcPr>
          <w:p w14:paraId="423DD4D5">
            <w:pPr>
              <w:pStyle w:val="105"/>
              <w:spacing w:line="240" w:lineRule="exact"/>
              <w:rPr>
                <w:bCs/>
                <w:color w:val="auto"/>
                <w:kern w:val="0"/>
                <w:szCs w:val="21"/>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2046" w:type="pct"/>
            <w:tcBorders>
              <w:tl2br w:val="nil"/>
              <w:tr2bl w:val="nil"/>
            </w:tcBorders>
            <w:shd w:val="clear" w:color="auto" w:fill="auto"/>
            <w:noWrap/>
            <w:vAlign w:val="center"/>
          </w:tcPr>
          <w:p w14:paraId="3E182604">
            <w:pPr>
              <w:pStyle w:val="105"/>
              <w:spacing w:line="240" w:lineRule="exact"/>
              <w:rPr>
                <w:rFonts w:hint="default"/>
                <w:color w:val="auto"/>
                <w:kern w:val="0"/>
                <w:szCs w:val="21"/>
                <w:lang w:val="en-US"/>
              </w:rPr>
            </w:pPr>
            <w:r>
              <w:rPr>
                <w:rFonts w:hint="eastAsia" w:cs="Times New Roman"/>
                <w:color w:val="auto"/>
                <w:sz w:val="21"/>
                <w:szCs w:val="21"/>
                <w:lang w:val="en-US" w:eastAsia="zh-CN"/>
              </w:rPr>
              <w:t>1.428</w:t>
            </w:r>
          </w:p>
        </w:tc>
      </w:tr>
      <w:tr w14:paraId="075887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36" w:type="pct"/>
            <w:tcBorders>
              <w:tl2br w:val="nil"/>
              <w:tr2bl w:val="nil"/>
            </w:tcBorders>
            <w:shd w:val="clear" w:color="auto" w:fill="auto"/>
            <w:vAlign w:val="center"/>
          </w:tcPr>
          <w:p w14:paraId="738D3871">
            <w:pPr>
              <w:widowControl/>
              <w:jc w:val="center"/>
              <w:rPr>
                <w:color w:val="auto"/>
                <w:kern w:val="0"/>
                <w:szCs w:val="21"/>
              </w:rPr>
            </w:pPr>
            <w:r>
              <w:rPr>
                <w:color w:val="auto"/>
                <w:kern w:val="0"/>
                <w:szCs w:val="21"/>
              </w:rPr>
              <w:t>4</w:t>
            </w:r>
          </w:p>
        </w:tc>
        <w:tc>
          <w:tcPr>
            <w:tcW w:w="1816" w:type="pct"/>
            <w:tcBorders>
              <w:tl2br w:val="nil"/>
              <w:tr2bl w:val="nil"/>
            </w:tcBorders>
            <w:shd w:val="clear" w:color="auto" w:fill="auto"/>
            <w:noWrap/>
            <w:vAlign w:val="center"/>
          </w:tcPr>
          <w:p w14:paraId="5F81BAE5">
            <w:pPr>
              <w:pStyle w:val="105"/>
              <w:spacing w:line="240" w:lineRule="exact"/>
              <w:rPr>
                <w:bCs/>
                <w:color w:val="auto"/>
                <w:kern w:val="0"/>
                <w:szCs w:val="21"/>
              </w:rPr>
            </w:pPr>
            <w:r>
              <w:rPr>
                <w:rFonts w:hint="eastAsia"/>
                <w:color w:val="auto"/>
                <w:sz w:val="21"/>
                <w:szCs w:val="21"/>
                <w:lang w:val="en-US" w:eastAsia="zh-CN"/>
              </w:rPr>
              <w:t>NO</w:t>
            </w:r>
            <w:r>
              <w:rPr>
                <w:rFonts w:hint="eastAsia"/>
                <w:color w:val="auto"/>
                <w:sz w:val="21"/>
                <w:szCs w:val="21"/>
                <w:vertAlign w:val="subscript"/>
                <w:lang w:val="en-US" w:eastAsia="zh-CN"/>
              </w:rPr>
              <w:t>x</w:t>
            </w:r>
          </w:p>
        </w:tc>
        <w:tc>
          <w:tcPr>
            <w:tcW w:w="2046" w:type="pct"/>
            <w:tcBorders>
              <w:tl2br w:val="nil"/>
              <w:tr2bl w:val="nil"/>
            </w:tcBorders>
            <w:shd w:val="clear" w:color="auto" w:fill="auto"/>
            <w:noWrap/>
            <w:vAlign w:val="center"/>
          </w:tcPr>
          <w:p w14:paraId="6D508365">
            <w:pPr>
              <w:pStyle w:val="105"/>
              <w:spacing w:line="240" w:lineRule="exact"/>
              <w:rPr>
                <w:rFonts w:hint="default"/>
                <w:color w:val="auto"/>
                <w:kern w:val="0"/>
                <w:szCs w:val="21"/>
                <w:lang w:val="en-US"/>
              </w:rPr>
            </w:pPr>
            <w:r>
              <w:rPr>
                <w:rFonts w:hint="eastAsia" w:cs="Times New Roman"/>
                <w:color w:val="auto"/>
                <w:sz w:val="21"/>
                <w:szCs w:val="21"/>
                <w:lang w:val="en-US" w:eastAsia="zh-CN"/>
              </w:rPr>
              <w:t>1.988</w:t>
            </w:r>
          </w:p>
        </w:tc>
      </w:tr>
      <w:tr w14:paraId="1F59F6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136" w:type="pct"/>
            <w:tcBorders>
              <w:tl2br w:val="nil"/>
              <w:tr2bl w:val="nil"/>
            </w:tcBorders>
            <w:shd w:val="clear" w:color="auto" w:fill="auto"/>
            <w:vAlign w:val="center"/>
          </w:tcPr>
          <w:p w14:paraId="2E6736A4">
            <w:pPr>
              <w:widowControl/>
              <w:jc w:val="center"/>
              <w:rPr>
                <w:color w:val="auto"/>
                <w:kern w:val="0"/>
                <w:szCs w:val="21"/>
              </w:rPr>
            </w:pPr>
            <w:r>
              <w:rPr>
                <w:color w:val="auto"/>
                <w:kern w:val="0"/>
                <w:szCs w:val="21"/>
              </w:rPr>
              <w:t>5</w:t>
            </w:r>
          </w:p>
        </w:tc>
        <w:tc>
          <w:tcPr>
            <w:tcW w:w="1816" w:type="pct"/>
            <w:tcBorders>
              <w:tl2br w:val="nil"/>
              <w:tr2bl w:val="nil"/>
            </w:tcBorders>
            <w:shd w:val="clear" w:color="auto" w:fill="auto"/>
            <w:noWrap/>
            <w:vAlign w:val="center"/>
          </w:tcPr>
          <w:p w14:paraId="45B7DDCE">
            <w:pPr>
              <w:pStyle w:val="105"/>
              <w:spacing w:line="240" w:lineRule="exact"/>
              <w:rPr>
                <w:bCs/>
                <w:color w:val="auto"/>
                <w:kern w:val="0"/>
                <w:szCs w:val="21"/>
              </w:rPr>
            </w:pPr>
            <w:r>
              <w:rPr>
                <w:rFonts w:hint="eastAsia"/>
                <w:color w:val="auto"/>
                <w:sz w:val="21"/>
                <w:szCs w:val="21"/>
                <w:lang w:val="en-US" w:eastAsia="zh-CN"/>
              </w:rPr>
              <w:t>汞及其化合物</w:t>
            </w:r>
          </w:p>
        </w:tc>
        <w:tc>
          <w:tcPr>
            <w:tcW w:w="2046" w:type="pct"/>
            <w:tcBorders>
              <w:tl2br w:val="nil"/>
              <w:tr2bl w:val="nil"/>
            </w:tcBorders>
            <w:shd w:val="clear" w:color="auto" w:fill="auto"/>
            <w:noWrap/>
            <w:vAlign w:val="center"/>
          </w:tcPr>
          <w:p w14:paraId="33A7FAF4">
            <w:pPr>
              <w:pStyle w:val="105"/>
              <w:spacing w:line="240" w:lineRule="exact"/>
              <w:rPr>
                <w:color w:val="auto"/>
                <w:kern w:val="0"/>
                <w:szCs w:val="21"/>
              </w:rPr>
            </w:pPr>
            <w:r>
              <w:rPr>
                <w:rFonts w:hint="eastAsia" w:cs="Times New Roman"/>
                <w:color w:val="auto"/>
                <w:sz w:val="21"/>
                <w:szCs w:val="21"/>
                <w:lang w:val="en-US" w:eastAsia="zh-CN"/>
              </w:rPr>
              <w:t>1.612</w:t>
            </w:r>
            <w:r>
              <w:rPr>
                <w:rFonts w:hint="eastAsia" w:ascii="Times New Roman" w:hAnsi="Times New Roman" w:eastAsia="宋体" w:cs="Times New Roman"/>
                <w:color w:val="auto"/>
                <w:sz w:val="21"/>
                <w:szCs w:val="21"/>
                <w:lang w:val="en-US" w:eastAsia="zh-CN"/>
              </w:rPr>
              <w:t>kg</w:t>
            </w:r>
          </w:p>
        </w:tc>
      </w:tr>
    </w:tbl>
    <w:p w14:paraId="670D910A">
      <w:pPr>
        <w:pStyle w:val="2"/>
        <w:adjustRightInd w:val="0"/>
        <w:snapToGrid w:val="0"/>
        <w:spacing w:line="460" w:lineRule="exact"/>
        <w:rPr>
          <w:rFonts w:eastAsia="宋体"/>
          <w:color w:val="auto"/>
          <w:sz w:val="30"/>
          <w:szCs w:val="30"/>
        </w:rPr>
      </w:pPr>
      <w:bookmarkStart w:id="59" w:name="_Toc24949"/>
      <w:r>
        <w:rPr>
          <w:rFonts w:hint="eastAsia" w:eastAsia="宋体"/>
          <w:color w:val="auto"/>
          <w:sz w:val="30"/>
          <w:szCs w:val="30"/>
        </w:rPr>
        <w:t>3环境空气质量现状监测与评价</w:t>
      </w:r>
      <w:bookmarkEnd w:id="56"/>
      <w:bookmarkEnd w:id="59"/>
    </w:p>
    <w:p w14:paraId="2D8068A9">
      <w:pPr>
        <w:pStyle w:val="29"/>
        <w:spacing w:before="120" w:beforeLines="50" w:line="360" w:lineRule="auto"/>
        <w:ind w:left="0" w:leftChars="0" w:firstLine="480" w:firstLineChars="200"/>
        <w:rPr>
          <w:rFonts w:hint="eastAsia" w:ascii="Times New Roman" w:hAnsi="Times New Roman" w:eastAsia="宋体" w:cs="Times New Roman"/>
          <w:color w:val="FF0000"/>
          <w:sz w:val="24"/>
          <w:szCs w:val="24"/>
          <w:lang w:val="en-US" w:eastAsia="zh-CN"/>
        </w:rPr>
      </w:pPr>
      <w:bookmarkStart w:id="60" w:name="_Toc5480"/>
      <w:r>
        <w:rPr>
          <w:rFonts w:hint="eastAsia" w:ascii="Times New Roman" w:hAnsi="Times New Roman" w:eastAsia="宋体" w:cs="Times New Roman"/>
          <w:color w:val="FF0000"/>
          <w:sz w:val="24"/>
          <w:szCs w:val="24"/>
          <w:lang w:val="en-US" w:eastAsia="zh-CN"/>
        </w:rPr>
        <w:t>根据《环境影响评价技术导则 大气环境》（HJ2.2-2018）分级判据，确定本项目大气环境评价工作等级为三级</w:t>
      </w:r>
      <w:r>
        <w:rPr>
          <w:rFonts w:hint="eastAsia"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只需调查项目所在区域环境质量</w:t>
      </w:r>
      <w:r>
        <w:rPr>
          <w:rFonts w:hint="eastAsia" w:cs="Times New Roman"/>
          <w:color w:val="FF0000"/>
          <w:sz w:val="24"/>
          <w:szCs w:val="24"/>
          <w:lang w:val="en-US" w:eastAsia="zh-CN"/>
        </w:rPr>
        <w:t>达标情况”</w:t>
      </w:r>
      <w:r>
        <w:rPr>
          <w:rFonts w:hint="eastAsia" w:ascii="Times New Roman" w:hAnsi="Times New Roman" w:eastAsia="宋体" w:cs="Times New Roman"/>
          <w:color w:val="FF0000"/>
          <w:sz w:val="24"/>
          <w:szCs w:val="24"/>
          <w:lang w:val="en-US" w:eastAsia="zh-CN"/>
        </w:rPr>
        <w:t>。</w:t>
      </w:r>
    </w:p>
    <w:bookmarkEnd w:id="60"/>
    <w:p w14:paraId="549D1EF0">
      <w:pPr>
        <w:pStyle w:val="29"/>
        <w:spacing w:before="120" w:beforeLines="50" w:line="360" w:lineRule="auto"/>
        <w:ind w:left="0" w:leftChars="0" w:firstLine="480" w:firstLineChars="200"/>
        <w:rPr>
          <w:rFonts w:hint="eastAsia" w:ascii="Times New Roman" w:hAnsi="Times New Roman" w:eastAsia="宋体" w:cs="Times New Roman"/>
          <w:color w:val="auto"/>
          <w:sz w:val="24"/>
          <w:szCs w:val="24"/>
          <w:lang w:val="en-US" w:eastAsia="zh-CN"/>
        </w:rPr>
      </w:pPr>
      <w:bookmarkStart w:id="61" w:name="_Toc6050"/>
      <w:r>
        <w:rPr>
          <w:rFonts w:hint="eastAsia" w:ascii="Times New Roman" w:hAnsi="Times New Roman" w:eastAsia="宋体" w:cs="Times New Roman"/>
          <w:color w:val="auto"/>
          <w:sz w:val="24"/>
          <w:szCs w:val="24"/>
          <w:lang w:val="en-US" w:eastAsia="zh-CN"/>
        </w:rPr>
        <w:t>对照《南通市生态环境状况公报（2024年）》，如皋市2024年可吸入颗粒物（PM</w:t>
      </w:r>
      <w:r>
        <w:rPr>
          <w:rFonts w:hint="eastAsia" w:ascii="Times New Roman" w:hAnsi="Times New Roman" w:eastAsia="宋体" w:cs="Times New Roman"/>
          <w:color w:val="auto"/>
          <w:sz w:val="24"/>
          <w:szCs w:val="24"/>
          <w:vertAlign w:val="subscript"/>
          <w:lang w:val="en-US" w:eastAsia="zh-CN"/>
        </w:rPr>
        <w:t>10</w:t>
      </w:r>
      <w:r>
        <w:rPr>
          <w:rFonts w:hint="eastAsia" w:ascii="Times New Roman" w:hAnsi="Times New Roman" w:eastAsia="宋体" w:cs="Times New Roman"/>
          <w:color w:val="auto"/>
          <w:sz w:val="24"/>
          <w:szCs w:val="24"/>
          <w:lang w:val="en-US" w:eastAsia="zh-CN"/>
        </w:rPr>
        <w:t>）、细颗粒物（PM</w:t>
      </w:r>
      <w:r>
        <w:rPr>
          <w:rFonts w:hint="eastAsia" w:ascii="Times New Roman" w:hAnsi="Times New Roman" w:eastAsia="宋体" w:cs="Times New Roman"/>
          <w:color w:val="auto"/>
          <w:sz w:val="24"/>
          <w:szCs w:val="24"/>
          <w:vertAlign w:val="subscript"/>
          <w:lang w:val="en-US" w:eastAsia="zh-CN"/>
        </w:rPr>
        <w:t>2.5</w:t>
      </w:r>
      <w:r>
        <w:rPr>
          <w:rFonts w:hint="eastAsia" w:ascii="Times New Roman" w:hAnsi="Times New Roman" w:eastAsia="宋体" w:cs="Times New Roman"/>
          <w:color w:val="auto"/>
          <w:sz w:val="24"/>
          <w:szCs w:val="24"/>
          <w:lang w:val="en-US" w:eastAsia="zh-CN"/>
        </w:rPr>
        <w:t>）、二氧化硫（SO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）、二氧化氮（NO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）、一氧化碳第95百分位浓度（CO-95%）和臭氧日最大8小时滑动平均值第90百分位浓度（O</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-8h-90%）年均</w:t>
      </w:r>
      <w:r>
        <w:rPr>
          <w:rFonts w:hint="default" w:ascii="Times New Roman" w:hAnsi="Times New Roman" w:eastAsia="宋体" w:cs="Times New Roman"/>
          <w:color w:val="auto"/>
          <w:sz w:val="24"/>
          <w:szCs w:val="24"/>
          <w:lang w:val="en-US" w:eastAsia="zh-CN"/>
        </w:rPr>
        <w:t>浓度分别为49μg/m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、31μg/m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、9μg/m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、18μg/m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、1.2mg/m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、152μg/m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对照《环境空气质量标准》（GB3095-2012），各因子浓度限值均满足年均值的二级标准，对照《环境空气质量标准》（GB3095-2026）除PM</w:t>
      </w:r>
      <w:r>
        <w:rPr>
          <w:rFonts w:hint="eastAsia" w:ascii="Times New Roman" w:hAnsi="Times New Roman" w:eastAsia="宋体" w:cs="Times New Roman"/>
          <w:color w:val="auto"/>
          <w:sz w:val="24"/>
          <w:szCs w:val="24"/>
          <w:vertAlign w:val="subscript"/>
          <w:lang w:val="en-US" w:eastAsia="zh-CN"/>
        </w:rPr>
        <w:t>2.5</w:t>
      </w:r>
      <w:r>
        <w:rPr>
          <w:rFonts w:hint="eastAsia" w:ascii="Times New Roman" w:hAnsi="Times New Roman" w:eastAsia="宋体" w:cs="Times New Roman"/>
          <w:color w:val="auto"/>
          <w:sz w:val="24"/>
          <w:szCs w:val="24"/>
          <w:lang w:val="en-US" w:eastAsia="zh-CN"/>
        </w:rPr>
        <w:t>外均满足中过渡阶段浓度限值中年均值的二级标准，项目所在区域属于环境空气质量不达标区。</w:t>
      </w:r>
    </w:p>
    <w:bookmarkEnd w:id="61"/>
    <w:p w14:paraId="5FF25EE0">
      <w:pPr>
        <w:pStyle w:val="29"/>
        <w:spacing w:before="120" w:beforeLines="50" w:line="360" w:lineRule="auto"/>
        <w:ind w:left="0" w:leftChars="0" w:firstLine="480" w:firstLineChars="200"/>
        <w:rPr>
          <w:rFonts w:hint="eastAsia" w:ascii="Times New Roman" w:hAnsi="Times New Roman" w:eastAsia="宋体" w:cs="Times New Roman"/>
          <w:color w:val="FF0000"/>
          <w:sz w:val="24"/>
          <w:szCs w:val="24"/>
          <w:lang w:val="en-US" w:eastAsia="zh-CN"/>
        </w:rPr>
      </w:pPr>
      <w:bookmarkStart w:id="62" w:name="_Toc5725"/>
      <w:r>
        <w:rPr>
          <w:rFonts w:hint="eastAsia" w:ascii="Times New Roman" w:hAnsi="Times New Roman" w:eastAsia="宋体" w:cs="Times New Roman"/>
          <w:color w:val="FF0000"/>
          <w:sz w:val="24"/>
          <w:szCs w:val="24"/>
          <w:lang w:val="en-US" w:eastAsia="zh-CN"/>
        </w:rPr>
        <w:t>南通市人民政府已印发《南通市空气质量持续改善行动计划实施方案》（通政发（2024））24号，以下简称《方案》），制定了“以降低细颗粒物（PM</w:t>
      </w:r>
      <w:r>
        <w:rPr>
          <w:rFonts w:hint="eastAsia" w:cs="Times New Roman"/>
          <w:color w:val="FF0000"/>
          <w:sz w:val="24"/>
          <w:szCs w:val="24"/>
          <w:vertAlign w:val="subscript"/>
          <w:lang w:val="en-US" w:eastAsia="zh-CN"/>
        </w:rPr>
        <w:t>2.5</w:t>
      </w:r>
      <w:r>
        <w:rPr>
          <w:rFonts w:hint="eastAsia" w:ascii="Times New Roman" w:hAnsi="Times New Roman" w:eastAsia="宋体" w:cs="Times New Roman"/>
          <w:color w:val="FF0000"/>
          <w:sz w:val="24"/>
          <w:szCs w:val="24"/>
          <w:lang w:val="en-US" w:eastAsia="zh-CN"/>
        </w:rPr>
        <w:t>）浓度为主线，大力推动氮氧化物和挥发性有机物（VOCs）减排”的目标。《方案》提出了“坚决遇制‘两高一低’项目盲目上马”等二十四项重点工作计划，制定了详细的工作任务、责任分工和完成时限，预计全市2026年大气环境质量状况可以得到进一步改善。</w:t>
      </w:r>
    </w:p>
    <w:p w14:paraId="444614D1">
      <w:pPr>
        <w:pStyle w:val="2"/>
        <w:adjustRightInd w:val="0"/>
        <w:snapToGrid w:val="0"/>
        <w:rPr>
          <w:rFonts w:eastAsia="宋体"/>
          <w:color w:val="auto"/>
          <w:sz w:val="30"/>
          <w:szCs w:val="30"/>
        </w:rPr>
      </w:pPr>
      <w:bookmarkStart w:id="63" w:name="_Toc14281"/>
      <w:r>
        <w:rPr>
          <w:rFonts w:hint="eastAsia" w:eastAsia="宋体"/>
          <w:color w:val="auto"/>
          <w:sz w:val="30"/>
          <w:szCs w:val="30"/>
        </w:rPr>
        <w:t>4大气环境影响预测与评价</w:t>
      </w:r>
      <w:bookmarkEnd w:id="62"/>
      <w:bookmarkEnd w:id="63"/>
    </w:p>
    <w:p w14:paraId="31C531AA">
      <w:pPr>
        <w:pStyle w:val="3"/>
        <w:spacing w:before="0" w:after="0" w:line="360" w:lineRule="auto"/>
        <w:rPr>
          <w:rFonts w:eastAsia="宋体"/>
          <w:color w:val="auto"/>
          <w:kern w:val="0"/>
          <w:szCs w:val="28"/>
        </w:rPr>
      </w:pPr>
      <w:bookmarkStart w:id="64" w:name="_Toc7398"/>
      <w:bookmarkStart w:id="65" w:name="_Toc26118"/>
      <w:r>
        <w:rPr>
          <w:rFonts w:hint="eastAsia" w:eastAsia="宋体"/>
          <w:color w:val="auto"/>
          <w:kern w:val="0"/>
          <w:szCs w:val="28"/>
        </w:rPr>
        <w:t>4.1</w:t>
      </w:r>
      <w:r>
        <w:rPr>
          <w:rFonts w:eastAsia="宋体"/>
          <w:color w:val="auto"/>
          <w:kern w:val="0"/>
          <w:szCs w:val="28"/>
        </w:rPr>
        <w:t>气象资料分析</w:t>
      </w:r>
      <w:bookmarkEnd w:id="64"/>
      <w:bookmarkEnd w:id="65"/>
    </w:p>
    <w:p w14:paraId="312F9F4A">
      <w:pPr>
        <w:pStyle w:val="147"/>
        <w:spacing w:line="360" w:lineRule="auto"/>
        <w:rPr>
          <w:rFonts w:hint="default" w:eastAsia="宋体"/>
          <w:color w:val="auto"/>
          <w:sz w:val="24"/>
          <w:szCs w:val="24"/>
          <w:lang w:val="en-US" w:eastAsia="zh-CN"/>
        </w:rPr>
      </w:pPr>
      <w:bookmarkStart w:id="66" w:name="_Toc2131"/>
      <w:r>
        <w:rPr>
          <w:rFonts w:hint="eastAsia" w:eastAsia="宋体"/>
          <w:color w:val="auto"/>
          <w:sz w:val="24"/>
          <w:szCs w:val="24"/>
          <w:lang w:val="en-US" w:eastAsia="zh-CN"/>
        </w:rPr>
        <w:t>（1）气象数据</w:t>
      </w:r>
    </w:p>
    <w:p w14:paraId="5FB612E6">
      <w:pPr>
        <w:pStyle w:val="147"/>
        <w:spacing w:line="360" w:lineRule="auto"/>
        <w:rPr>
          <w:rFonts w:eastAsia="宋体"/>
          <w:color w:val="auto"/>
          <w:sz w:val="24"/>
          <w:szCs w:val="24"/>
        </w:rPr>
      </w:pPr>
      <w:r>
        <w:rPr>
          <w:rFonts w:hint="eastAsia" w:eastAsia="宋体"/>
          <w:color w:val="auto"/>
          <w:sz w:val="24"/>
          <w:szCs w:val="24"/>
          <w:lang w:val="en-US" w:eastAsia="zh-CN"/>
        </w:rPr>
        <w:t>如皋</w:t>
      </w:r>
      <w:r>
        <w:rPr>
          <w:rFonts w:eastAsia="宋体"/>
          <w:color w:val="auto"/>
          <w:sz w:val="24"/>
          <w:szCs w:val="24"/>
        </w:rPr>
        <w:t>地区气候温和，四季分明，雨水充沛，海洋性气候明显，属北亚热带季风气候区。全年最多风向为偏东风，年平均风速为2.9m/s，年平均气温为16.1</w:t>
      </w:r>
      <w:r>
        <w:rPr>
          <w:rFonts w:hint="eastAsia" w:eastAsia="宋体"/>
          <w:color w:val="auto"/>
          <w:sz w:val="24"/>
          <w:szCs w:val="24"/>
        </w:rPr>
        <w:t>℃</w:t>
      </w:r>
      <w:r>
        <w:rPr>
          <w:rFonts w:eastAsia="宋体"/>
          <w:color w:val="auto"/>
          <w:sz w:val="24"/>
          <w:szCs w:val="24"/>
        </w:rPr>
        <w:t>，年平均日照为2000~2200h，年平均降水量为1102.5mm，年均降水天数为120天，无霜期为226天，平均相对湿度为79%，大气稳定度为中性层结为主。</w:t>
      </w:r>
    </w:p>
    <w:p w14:paraId="7BDD8579">
      <w:pPr>
        <w:pStyle w:val="147"/>
        <w:spacing w:line="360" w:lineRule="auto"/>
        <w:rPr>
          <w:rFonts w:hint="default" w:eastAsia="宋体"/>
          <w:color w:val="auto"/>
          <w:sz w:val="24"/>
          <w:szCs w:val="24"/>
          <w:lang w:val="en-US" w:eastAsia="zh-CN"/>
        </w:rPr>
      </w:pPr>
      <w:r>
        <w:rPr>
          <w:rFonts w:hint="eastAsia" w:eastAsia="宋体"/>
          <w:color w:val="auto"/>
          <w:sz w:val="24"/>
          <w:szCs w:val="24"/>
          <w:lang w:eastAsia="zh-CN"/>
        </w:rPr>
        <w:t>（</w:t>
      </w:r>
      <w:r>
        <w:rPr>
          <w:rFonts w:hint="eastAsia" w:eastAsia="宋体"/>
          <w:color w:val="auto"/>
          <w:sz w:val="24"/>
          <w:szCs w:val="24"/>
          <w:lang w:val="en-US" w:eastAsia="zh-CN"/>
        </w:rPr>
        <w:t>2</w:t>
      </w:r>
      <w:r>
        <w:rPr>
          <w:rFonts w:hint="eastAsia" w:eastAsia="宋体"/>
          <w:color w:val="auto"/>
          <w:sz w:val="24"/>
          <w:szCs w:val="24"/>
          <w:lang w:eastAsia="zh-CN"/>
        </w:rPr>
        <w:t>）</w:t>
      </w:r>
      <w:r>
        <w:rPr>
          <w:rFonts w:hint="eastAsia" w:eastAsia="宋体"/>
          <w:color w:val="auto"/>
          <w:sz w:val="24"/>
          <w:szCs w:val="24"/>
          <w:lang w:val="en-US" w:eastAsia="zh-CN"/>
        </w:rPr>
        <w:t>风向、风频</w:t>
      </w:r>
    </w:p>
    <w:p w14:paraId="5488BF43">
      <w:pPr>
        <w:pStyle w:val="147"/>
        <w:spacing w:line="360" w:lineRule="auto"/>
        <w:ind w:left="0" w:leftChars="0" w:firstLine="0" w:firstLineChars="0"/>
        <w:rPr>
          <w:rFonts w:eastAsia="宋体"/>
          <w:color w:val="auto"/>
          <w:sz w:val="24"/>
          <w:szCs w:val="24"/>
        </w:rPr>
      </w:pPr>
      <w:r>
        <w:drawing>
          <wp:inline distT="0" distB="0" distL="114300" distR="114300">
            <wp:extent cx="5271135" cy="5894070"/>
            <wp:effectExtent l="0" t="0" r="571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1135" cy="5894070"/>
                    </a:xfrm>
                    <a:prstGeom prst="rect">
                      <a:avLst/>
                    </a:prstGeom>
                    <a:noFill/>
                    <a:ln>
                      <a:noFill/>
                    </a:ln>
                  </pic:spPr>
                </pic:pic>
              </a:graphicData>
            </a:graphic>
          </wp:inline>
        </w:drawing>
      </w:r>
    </w:p>
    <w:p w14:paraId="69D83ED4">
      <w:pPr>
        <w:pStyle w:val="147"/>
        <w:spacing w:line="360" w:lineRule="auto"/>
        <w:ind w:left="0" w:leftChars="0" w:firstLine="0" w:firstLineChars="0"/>
        <w:jc w:val="center"/>
        <w:rPr>
          <w:rFonts w:hint="default" w:eastAsia="宋体"/>
          <w:b/>
          <w:bCs/>
          <w:color w:val="FF0000"/>
          <w:sz w:val="24"/>
          <w:szCs w:val="24"/>
          <w:lang w:val="en-US" w:eastAsia="zh-CN"/>
        </w:rPr>
      </w:pPr>
      <w:r>
        <w:rPr>
          <w:rFonts w:hint="eastAsia" w:eastAsia="宋体"/>
          <w:b/>
          <w:bCs/>
          <w:color w:val="FF0000"/>
          <w:sz w:val="24"/>
          <w:szCs w:val="24"/>
          <w:lang w:val="en-US" w:eastAsia="zh-CN"/>
        </w:rPr>
        <w:t>图4-1 南通市近20年风向频率玫瑰图</w:t>
      </w:r>
    </w:p>
    <w:p w14:paraId="26160EB8">
      <w:pPr>
        <w:pStyle w:val="147"/>
        <w:spacing w:line="360" w:lineRule="auto"/>
        <w:rPr>
          <w:rFonts w:hint="default" w:eastAsia="宋体"/>
          <w:color w:val="FF0000"/>
          <w:sz w:val="24"/>
          <w:szCs w:val="24"/>
          <w:lang w:val="en-US" w:eastAsia="zh-CN"/>
        </w:rPr>
      </w:pPr>
      <w:r>
        <w:rPr>
          <w:rFonts w:hint="eastAsia" w:eastAsia="宋体"/>
          <w:color w:val="FF0000"/>
          <w:sz w:val="24"/>
          <w:szCs w:val="24"/>
          <w:lang w:eastAsia="zh-CN"/>
        </w:rPr>
        <w:t>（</w:t>
      </w:r>
      <w:r>
        <w:rPr>
          <w:rFonts w:hint="eastAsia" w:eastAsia="宋体"/>
          <w:color w:val="FF0000"/>
          <w:sz w:val="24"/>
          <w:szCs w:val="24"/>
          <w:lang w:val="en-US" w:eastAsia="zh-CN"/>
        </w:rPr>
        <w:t>3</w:t>
      </w:r>
      <w:r>
        <w:rPr>
          <w:rFonts w:hint="eastAsia" w:eastAsia="宋体"/>
          <w:color w:val="FF0000"/>
          <w:sz w:val="24"/>
          <w:szCs w:val="24"/>
          <w:lang w:eastAsia="zh-CN"/>
        </w:rPr>
        <w:t>）</w:t>
      </w:r>
      <w:r>
        <w:rPr>
          <w:rFonts w:hint="eastAsia" w:eastAsia="宋体"/>
          <w:color w:val="FF0000"/>
          <w:sz w:val="24"/>
          <w:szCs w:val="24"/>
          <w:lang w:val="en-US" w:eastAsia="zh-CN"/>
        </w:rPr>
        <w:t>气温</w:t>
      </w:r>
    </w:p>
    <w:p w14:paraId="725E379F">
      <w:pPr>
        <w:pStyle w:val="147"/>
        <w:spacing w:line="360" w:lineRule="auto"/>
        <w:ind w:left="0" w:leftChars="0" w:firstLine="0" w:firstLineChars="0"/>
        <w:jc w:val="center"/>
        <w:rPr>
          <w:rFonts w:hint="eastAsia" w:eastAsia="宋体"/>
          <w:b/>
          <w:bCs/>
          <w:color w:val="FF0000"/>
          <w:sz w:val="24"/>
          <w:szCs w:val="24"/>
          <w:lang w:val="en-US" w:eastAsia="zh-CN"/>
        </w:rPr>
      </w:pPr>
      <w:r>
        <w:rPr>
          <w:rFonts w:hint="eastAsia" w:eastAsia="宋体"/>
          <w:b/>
          <w:bCs/>
          <w:color w:val="FF0000"/>
          <w:sz w:val="24"/>
          <w:szCs w:val="24"/>
          <w:lang w:val="en-US" w:eastAsia="zh-CN"/>
        </w:rPr>
        <w:t>表4-1 年平均温度的月变化（℃）</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39"/>
        <w:gridCol w:w="639"/>
        <w:gridCol w:w="639"/>
        <w:gridCol w:w="639"/>
        <w:gridCol w:w="639"/>
        <w:gridCol w:w="639"/>
        <w:gridCol w:w="639"/>
        <w:gridCol w:w="639"/>
        <w:gridCol w:w="639"/>
        <w:gridCol w:w="639"/>
        <w:gridCol w:w="639"/>
        <w:gridCol w:w="639"/>
      </w:tblGrid>
      <w:tr w14:paraId="1C2D4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vAlign w:val="center"/>
          </w:tcPr>
          <w:p w14:paraId="6AF2C698">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月份</w:t>
            </w:r>
          </w:p>
        </w:tc>
        <w:tc>
          <w:tcPr>
            <w:tcW w:w="639" w:type="dxa"/>
            <w:tcBorders>
              <w:tl2br w:val="nil"/>
              <w:tr2bl w:val="nil"/>
            </w:tcBorders>
            <w:vAlign w:val="center"/>
          </w:tcPr>
          <w:p w14:paraId="1E9A0CF4">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1月</w:t>
            </w:r>
          </w:p>
        </w:tc>
        <w:tc>
          <w:tcPr>
            <w:tcW w:w="639" w:type="dxa"/>
            <w:tcBorders>
              <w:tl2br w:val="nil"/>
              <w:tr2bl w:val="nil"/>
            </w:tcBorders>
            <w:vAlign w:val="center"/>
          </w:tcPr>
          <w:p w14:paraId="7506FFA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2月</w:t>
            </w:r>
          </w:p>
        </w:tc>
        <w:tc>
          <w:tcPr>
            <w:tcW w:w="639" w:type="dxa"/>
            <w:tcBorders>
              <w:tl2br w:val="nil"/>
              <w:tr2bl w:val="nil"/>
            </w:tcBorders>
            <w:vAlign w:val="center"/>
          </w:tcPr>
          <w:p w14:paraId="6CC1C59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3月</w:t>
            </w:r>
          </w:p>
        </w:tc>
        <w:tc>
          <w:tcPr>
            <w:tcW w:w="639" w:type="dxa"/>
            <w:tcBorders>
              <w:tl2br w:val="nil"/>
              <w:tr2bl w:val="nil"/>
            </w:tcBorders>
            <w:vAlign w:val="center"/>
          </w:tcPr>
          <w:p w14:paraId="490AB45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4月</w:t>
            </w:r>
          </w:p>
        </w:tc>
        <w:tc>
          <w:tcPr>
            <w:tcW w:w="639" w:type="dxa"/>
            <w:tcBorders>
              <w:tl2br w:val="nil"/>
              <w:tr2bl w:val="nil"/>
            </w:tcBorders>
            <w:vAlign w:val="center"/>
          </w:tcPr>
          <w:p w14:paraId="12C2D53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5月</w:t>
            </w:r>
          </w:p>
        </w:tc>
        <w:tc>
          <w:tcPr>
            <w:tcW w:w="639" w:type="dxa"/>
            <w:tcBorders>
              <w:tl2br w:val="nil"/>
              <w:tr2bl w:val="nil"/>
            </w:tcBorders>
            <w:vAlign w:val="center"/>
          </w:tcPr>
          <w:p w14:paraId="729F4F9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6月</w:t>
            </w:r>
          </w:p>
        </w:tc>
        <w:tc>
          <w:tcPr>
            <w:tcW w:w="639" w:type="dxa"/>
            <w:tcBorders>
              <w:tl2br w:val="nil"/>
              <w:tr2bl w:val="nil"/>
            </w:tcBorders>
            <w:vAlign w:val="center"/>
          </w:tcPr>
          <w:p w14:paraId="0C22F6A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7月</w:t>
            </w:r>
          </w:p>
        </w:tc>
        <w:tc>
          <w:tcPr>
            <w:tcW w:w="639" w:type="dxa"/>
            <w:tcBorders>
              <w:tl2br w:val="nil"/>
              <w:tr2bl w:val="nil"/>
            </w:tcBorders>
            <w:vAlign w:val="center"/>
          </w:tcPr>
          <w:p w14:paraId="43AF55E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8月</w:t>
            </w:r>
          </w:p>
        </w:tc>
        <w:tc>
          <w:tcPr>
            <w:tcW w:w="639" w:type="dxa"/>
            <w:tcBorders>
              <w:tl2br w:val="nil"/>
              <w:tr2bl w:val="nil"/>
            </w:tcBorders>
            <w:vAlign w:val="center"/>
          </w:tcPr>
          <w:p w14:paraId="0685733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9月</w:t>
            </w:r>
          </w:p>
        </w:tc>
        <w:tc>
          <w:tcPr>
            <w:tcW w:w="639" w:type="dxa"/>
            <w:tcBorders>
              <w:tl2br w:val="nil"/>
              <w:tr2bl w:val="nil"/>
            </w:tcBorders>
            <w:vAlign w:val="center"/>
          </w:tcPr>
          <w:p w14:paraId="60D9FA8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10月</w:t>
            </w:r>
          </w:p>
        </w:tc>
        <w:tc>
          <w:tcPr>
            <w:tcW w:w="639" w:type="dxa"/>
            <w:tcBorders>
              <w:tl2br w:val="nil"/>
              <w:tr2bl w:val="nil"/>
            </w:tcBorders>
            <w:vAlign w:val="center"/>
          </w:tcPr>
          <w:p w14:paraId="098A98A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11月</w:t>
            </w:r>
          </w:p>
        </w:tc>
        <w:tc>
          <w:tcPr>
            <w:tcW w:w="639" w:type="dxa"/>
            <w:tcBorders>
              <w:tl2br w:val="nil"/>
              <w:tr2bl w:val="nil"/>
            </w:tcBorders>
            <w:vAlign w:val="center"/>
          </w:tcPr>
          <w:p w14:paraId="27FA44C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12月</w:t>
            </w:r>
          </w:p>
        </w:tc>
      </w:tr>
      <w:tr w14:paraId="121E0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vAlign w:val="center"/>
          </w:tcPr>
          <w:p w14:paraId="28B0DF05">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温度</w:t>
            </w:r>
          </w:p>
        </w:tc>
        <w:tc>
          <w:tcPr>
            <w:tcW w:w="639" w:type="dxa"/>
            <w:tcBorders>
              <w:tl2br w:val="nil"/>
              <w:tr2bl w:val="nil"/>
            </w:tcBorders>
            <w:vAlign w:val="center"/>
          </w:tcPr>
          <w:p w14:paraId="21B4F5B3">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3.1</w:t>
            </w:r>
          </w:p>
        </w:tc>
        <w:tc>
          <w:tcPr>
            <w:tcW w:w="639" w:type="dxa"/>
            <w:tcBorders>
              <w:tl2br w:val="nil"/>
              <w:tr2bl w:val="nil"/>
            </w:tcBorders>
            <w:vAlign w:val="center"/>
          </w:tcPr>
          <w:p w14:paraId="2F2EA136">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3.1</w:t>
            </w:r>
          </w:p>
        </w:tc>
        <w:tc>
          <w:tcPr>
            <w:tcW w:w="639" w:type="dxa"/>
            <w:tcBorders>
              <w:tl2br w:val="nil"/>
              <w:tr2bl w:val="nil"/>
            </w:tcBorders>
            <w:vAlign w:val="center"/>
          </w:tcPr>
          <w:p w14:paraId="3E0947F8">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10.6</w:t>
            </w:r>
          </w:p>
        </w:tc>
        <w:tc>
          <w:tcPr>
            <w:tcW w:w="639" w:type="dxa"/>
            <w:tcBorders>
              <w:tl2br w:val="nil"/>
              <w:tr2bl w:val="nil"/>
            </w:tcBorders>
            <w:vAlign w:val="center"/>
          </w:tcPr>
          <w:p w14:paraId="63CB9205">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15.2</w:t>
            </w:r>
          </w:p>
        </w:tc>
        <w:tc>
          <w:tcPr>
            <w:tcW w:w="639" w:type="dxa"/>
            <w:tcBorders>
              <w:tl2br w:val="nil"/>
              <w:tr2bl w:val="nil"/>
            </w:tcBorders>
            <w:vAlign w:val="center"/>
          </w:tcPr>
          <w:p w14:paraId="16ACB0ED">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21.0</w:t>
            </w:r>
          </w:p>
        </w:tc>
        <w:tc>
          <w:tcPr>
            <w:tcW w:w="639" w:type="dxa"/>
            <w:tcBorders>
              <w:tl2br w:val="nil"/>
              <w:tr2bl w:val="nil"/>
            </w:tcBorders>
            <w:vAlign w:val="center"/>
          </w:tcPr>
          <w:p w14:paraId="567F738B">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23.3</w:t>
            </w:r>
          </w:p>
        </w:tc>
        <w:tc>
          <w:tcPr>
            <w:tcW w:w="639" w:type="dxa"/>
            <w:tcBorders>
              <w:tl2br w:val="nil"/>
              <w:tr2bl w:val="nil"/>
            </w:tcBorders>
            <w:vAlign w:val="center"/>
          </w:tcPr>
          <w:p w14:paraId="507EDA53">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29.5</w:t>
            </w:r>
          </w:p>
        </w:tc>
        <w:tc>
          <w:tcPr>
            <w:tcW w:w="639" w:type="dxa"/>
            <w:tcBorders>
              <w:tl2br w:val="nil"/>
              <w:tr2bl w:val="nil"/>
            </w:tcBorders>
            <w:vAlign w:val="center"/>
          </w:tcPr>
          <w:p w14:paraId="6C3C8004">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27.5</w:t>
            </w:r>
          </w:p>
        </w:tc>
        <w:tc>
          <w:tcPr>
            <w:tcW w:w="639" w:type="dxa"/>
            <w:tcBorders>
              <w:tl2br w:val="nil"/>
              <w:tr2bl w:val="nil"/>
            </w:tcBorders>
            <w:vAlign w:val="center"/>
          </w:tcPr>
          <w:p w14:paraId="1248A8DB">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24.6</w:t>
            </w:r>
          </w:p>
        </w:tc>
        <w:tc>
          <w:tcPr>
            <w:tcW w:w="639" w:type="dxa"/>
            <w:tcBorders>
              <w:tl2br w:val="nil"/>
              <w:tr2bl w:val="nil"/>
            </w:tcBorders>
            <w:vAlign w:val="center"/>
          </w:tcPr>
          <w:p w14:paraId="6771107F">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20.0</w:t>
            </w:r>
          </w:p>
        </w:tc>
        <w:tc>
          <w:tcPr>
            <w:tcW w:w="639" w:type="dxa"/>
            <w:tcBorders>
              <w:tl2br w:val="nil"/>
              <w:tr2bl w:val="nil"/>
            </w:tcBorders>
            <w:vAlign w:val="center"/>
          </w:tcPr>
          <w:p w14:paraId="5A4E1975">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12.6</w:t>
            </w:r>
          </w:p>
        </w:tc>
        <w:tc>
          <w:tcPr>
            <w:tcW w:w="639" w:type="dxa"/>
            <w:tcBorders>
              <w:tl2br w:val="nil"/>
              <w:tr2bl w:val="nil"/>
            </w:tcBorders>
            <w:vAlign w:val="center"/>
          </w:tcPr>
          <w:p w14:paraId="48EDCB67">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7.2</w:t>
            </w:r>
          </w:p>
        </w:tc>
      </w:tr>
    </w:tbl>
    <w:p w14:paraId="6D34A8B4">
      <w:pPr>
        <w:pStyle w:val="147"/>
        <w:spacing w:line="360" w:lineRule="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（4）风速</w:t>
      </w:r>
    </w:p>
    <w:p w14:paraId="24294709">
      <w:pPr>
        <w:pStyle w:val="147"/>
        <w:spacing w:line="360" w:lineRule="auto"/>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月平均风速随月份的变化情况分别见表4-2。</w:t>
      </w:r>
    </w:p>
    <w:p w14:paraId="3AFF6D00">
      <w:pPr>
        <w:pStyle w:val="147"/>
        <w:spacing w:line="360" w:lineRule="auto"/>
        <w:ind w:left="0" w:leftChars="0" w:firstLine="0" w:firstLineChars="0"/>
        <w:jc w:val="center"/>
        <w:rPr>
          <w:rFonts w:hint="eastAsia" w:ascii="Times New Roman" w:hAnsi="Times New Roman" w:eastAsia="宋体" w:cs="Times New Roman"/>
          <w:b/>
          <w:bCs/>
          <w:color w:val="FF0000"/>
          <w:sz w:val="24"/>
          <w:szCs w:val="24"/>
          <w:lang w:val="en-US" w:eastAsia="zh-CN"/>
        </w:rPr>
      </w:pPr>
      <w:r>
        <w:rPr>
          <w:rFonts w:hint="eastAsia" w:ascii="Times New Roman" w:hAnsi="Times New Roman" w:eastAsia="宋体" w:cs="Times New Roman"/>
          <w:b/>
          <w:bCs/>
          <w:color w:val="FF0000"/>
          <w:sz w:val="24"/>
          <w:szCs w:val="24"/>
          <w:lang w:val="en-US" w:eastAsia="zh-CN"/>
        </w:rPr>
        <w:t>表4-2年平均风速的月变化（m/s）</w:t>
      </w:r>
    </w:p>
    <w:tbl>
      <w:tblPr>
        <w:tblStyle w:val="3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592"/>
        <w:gridCol w:w="593"/>
        <w:gridCol w:w="593"/>
        <w:gridCol w:w="593"/>
        <w:gridCol w:w="593"/>
        <w:gridCol w:w="593"/>
        <w:gridCol w:w="593"/>
        <w:gridCol w:w="593"/>
        <w:gridCol w:w="593"/>
        <w:gridCol w:w="593"/>
        <w:gridCol w:w="593"/>
        <w:gridCol w:w="593"/>
        <w:gridCol w:w="593"/>
      </w:tblGrid>
      <w:tr w14:paraId="1B64A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dxa"/>
            <w:tcBorders>
              <w:tl2br w:val="nil"/>
              <w:tr2bl w:val="nil"/>
            </w:tcBorders>
            <w:vAlign w:val="center"/>
          </w:tcPr>
          <w:p w14:paraId="26531784">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月份</w:t>
            </w:r>
          </w:p>
        </w:tc>
        <w:tc>
          <w:tcPr>
            <w:tcW w:w="593" w:type="dxa"/>
            <w:tcBorders>
              <w:tl2br w:val="nil"/>
              <w:tr2bl w:val="nil"/>
            </w:tcBorders>
            <w:vAlign w:val="center"/>
          </w:tcPr>
          <w:p w14:paraId="76B00A3D">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1月</w:t>
            </w:r>
          </w:p>
        </w:tc>
        <w:tc>
          <w:tcPr>
            <w:tcW w:w="593" w:type="dxa"/>
            <w:tcBorders>
              <w:tl2br w:val="nil"/>
              <w:tr2bl w:val="nil"/>
            </w:tcBorders>
            <w:vAlign w:val="center"/>
          </w:tcPr>
          <w:p w14:paraId="2A9F064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2月</w:t>
            </w:r>
          </w:p>
        </w:tc>
        <w:tc>
          <w:tcPr>
            <w:tcW w:w="593" w:type="dxa"/>
            <w:tcBorders>
              <w:tl2br w:val="nil"/>
              <w:tr2bl w:val="nil"/>
            </w:tcBorders>
            <w:vAlign w:val="center"/>
          </w:tcPr>
          <w:p w14:paraId="363F2DA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3月</w:t>
            </w:r>
          </w:p>
        </w:tc>
        <w:tc>
          <w:tcPr>
            <w:tcW w:w="593" w:type="dxa"/>
            <w:tcBorders>
              <w:tl2br w:val="nil"/>
              <w:tr2bl w:val="nil"/>
            </w:tcBorders>
            <w:vAlign w:val="center"/>
          </w:tcPr>
          <w:p w14:paraId="1EA6DE1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4月</w:t>
            </w:r>
          </w:p>
        </w:tc>
        <w:tc>
          <w:tcPr>
            <w:tcW w:w="593" w:type="dxa"/>
            <w:tcBorders>
              <w:tl2br w:val="nil"/>
              <w:tr2bl w:val="nil"/>
            </w:tcBorders>
            <w:vAlign w:val="center"/>
          </w:tcPr>
          <w:p w14:paraId="7DB31E5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5月</w:t>
            </w:r>
          </w:p>
        </w:tc>
        <w:tc>
          <w:tcPr>
            <w:tcW w:w="593" w:type="dxa"/>
            <w:tcBorders>
              <w:tl2br w:val="nil"/>
              <w:tr2bl w:val="nil"/>
            </w:tcBorders>
            <w:vAlign w:val="center"/>
          </w:tcPr>
          <w:p w14:paraId="3612E47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6月</w:t>
            </w:r>
          </w:p>
        </w:tc>
        <w:tc>
          <w:tcPr>
            <w:tcW w:w="593" w:type="dxa"/>
            <w:tcBorders>
              <w:tl2br w:val="nil"/>
              <w:tr2bl w:val="nil"/>
            </w:tcBorders>
            <w:vAlign w:val="center"/>
          </w:tcPr>
          <w:p w14:paraId="7A64F1C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7月</w:t>
            </w:r>
          </w:p>
        </w:tc>
        <w:tc>
          <w:tcPr>
            <w:tcW w:w="593" w:type="dxa"/>
            <w:tcBorders>
              <w:tl2br w:val="nil"/>
              <w:tr2bl w:val="nil"/>
            </w:tcBorders>
            <w:vAlign w:val="center"/>
          </w:tcPr>
          <w:p w14:paraId="6B7C93D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8月</w:t>
            </w:r>
          </w:p>
        </w:tc>
        <w:tc>
          <w:tcPr>
            <w:tcW w:w="593" w:type="dxa"/>
            <w:tcBorders>
              <w:tl2br w:val="nil"/>
              <w:tr2bl w:val="nil"/>
            </w:tcBorders>
            <w:vAlign w:val="center"/>
          </w:tcPr>
          <w:p w14:paraId="33030E6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9月</w:t>
            </w:r>
          </w:p>
        </w:tc>
        <w:tc>
          <w:tcPr>
            <w:tcW w:w="593" w:type="dxa"/>
            <w:tcBorders>
              <w:tl2br w:val="nil"/>
              <w:tr2bl w:val="nil"/>
            </w:tcBorders>
            <w:vAlign w:val="center"/>
          </w:tcPr>
          <w:p w14:paraId="200C90A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10月</w:t>
            </w:r>
          </w:p>
        </w:tc>
        <w:tc>
          <w:tcPr>
            <w:tcW w:w="593" w:type="dxa"/>
            <w:tcBorders>
              <w:tl2br w:val="nil"/>
              <w:tr2bl w:val="nil"/>
            </w:tcBorders>
            <w:vAlign w:val="center"/>
          </w:tcPr>
          <w:p w14:paraId="617B126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11月</w:t>
            </w:r>
          </w:p>
        </w:tc>
        <w:tc>
          <w:tcPr>
            <w:tcW w:w="593" w:type="dxa"/>
            <w:tcBorders>
              <w:tl2br w:val="nil"/>
              <w:tr2bl w:val="nil"/>
            </w:tcBorders>
            <w:vAlign w:val="center"/>
          </w:tcPr>
          <w:p w14:paraId="3F72C16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12月</w:t>
            </w:r>
          </w:p>
        </w:tc>
        <w:tc>
          <w:tcPr>
            <w:tcW w:w="593" w:type="dxa"/>
            <w:tcBorders>
              <w:tl2br w:val="nil"/>
              <w:tr2bl w:val="nil"/>
            </w:tcBorders>
            <w:vAlign w:val="center"/>
          </w:tcPr>
          <w:p w14:paraId="5388641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bCs/>
                <w:color w:val="FF0000"/>
                <w:sz w:val="21"/>
                <w:szCs w:val="21"/>
                <w:vertAlign w:val="baseline"/>
                <w:lang w:val="en-US" w:eastAsia="zh-CN"/>
              </w:rPr>
            </w:pPr>
            <w:r>
              <w:rPr>
                <w:rFonts w:hint="eastAsia" w:eastAsia="宋体"/>
                <w:b/>
                <w:bCs/>
                <w:color w:val="FF0000"/>
                <w:sz w:val="21"/>
                <w:szCs w:val="21"/>
                <w:vertAlign w:val="baseline"/>
                <w:lang w:val="en-US" w:eastAsia="zh-CN"/>
              </w:rPr>
              <w:t>年均</w:t>
            </w:r>
          </w:p>
        </w:tc>
      </w:tr>
      <w:tr w14:paraId="7BBC5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dxa"/>
            <w:tcBorders>
              <w:tl2br w:val="nil"/>
              <w:tr2bl w:val="nil"/>
            </w:tcBorders>
            <w:vAlign w:val="center"/>
          </w:tcPr>
          <w:p w14:paraId="79354EF5">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风速</w:t>
            </w:r>
          </w:p>
        </w:tc>
        <w:tc>
          <w:tcPr>
            <w:tcW w:w="593" w:type="dxa"/>
            <w:tcBorders>
              <w:tl2br w:val="nil"/>
              <w:tr2bl w:val="nil"/>
            </w:tcBorders>
            <w:vAlign w:val="center"/>
          </w:tcPr>
          <w:p w14:paraId="4684AD35">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2.7</w:t>
            </w:r>
          </w:p>
        </w:tc>
        <w:tc>
          <w:tcPr>
            <w:tcW w:w="593" w:type="dxa"/>
            <w:tcBorders>
              <w:tl2br w:val="nil"/>
              <w:tr2bl w:val="nil"/>
            </w:tcBorders>
            <w:vAlign w:val="center"/>
          </w:tcPr>
          <w:p w14:paraId="11B93E06">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2.2</w:t>
            </w:r>
          </w:p>
        </w:tc>
        <w:tc>
          <w:tcPr>
            <w:tcW w:w="593" w:type="dxa"/>
            <w:tcBorders>
              <w:tl2br w:val="nil"/>
              <w:tr2bl w:val="nil"/>
            </w:tcBorders>
            <w:vAlign w:val="center"/>
          </w:tcPr>
          <w:p w14:paraId="11FF0D21">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2.6</w:t>
            </w:r>
          </w:p>
        </w:tc>
        <w:tc>
          <w:tcPr>
            <w:tcW w:w="593" w:type="dxa"/>
            <w:tcBorders>
              <w:tl2br w:val="nil"/>
              <w:tr2bl w:val="nil"/>
            </w:tcBorders>
            <w:vAlign w:val="center"/>
          </w:tcPr>
          <w:p w14:paraId="7335259C">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2.6</w:t>
            </w:r>
          </w:p>
        </w:tc>
        <w:tc>
          <w:tcPr>
            <w:tcW w:w="593" w:type="dxa"/>
            <w:tcBorders>
              <w:tl2br w:val="nil"/>
              <w:tr2bl w:val="nil"/>
            </w:tcBorders>
            <w:vAlign w:val="center"/>
          </w:tcPr>
          <w:p w14:paraId="49E393C6">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2.4</w:t>
            </w:r>
          </w:p>
        </w:tc>
        <w:tc>
          <w:tcPr>
            <w:tcW w:w="593" w:type="dxa"/>
            <w:tcBorders>
              <w:tl2br w:val="nil"/>
              <w:tr2bl w:val="nil"/>
            </w:tcBorders>
            <w:vAlign w:val="center"/>
          </w:tcPr>
          <w:p w14:paraId="78E1AB11">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2.4</w:t>
            </w:r>
          </w:p>
        </w:tc>
        <w:tc>
          <w:tcPr>
            <w:tcW w:w="593" w:type="dxa"/>
            <w:tcBorders>
              <w:tl2br w:val="nil"/>
              <w:tr2bl w:val="nil"/>
            </w:tcBorders>
            <w:vAlign w:val="center"/>
          </w:tcPr>
          <w:p w14:paraId="263068D6">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2.4</w:t>
            </w:r>
          </w:p>
        </w:tc>
        <w:tc>
          <w:tcPr>
            <w:tcW w:w="593" w:type="dxa"/>
            <w:tcBorders>
              <w:tl2br w:val="nil"/>
              <w:tr2bl w:val="nil"/>
            </w:tcBorders>
            <w:vAlign w:val="center"/>
          </w:tcPr>
          <w:p w14:paraId="57872315">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1.9</w:t>
            </w:r>
          </w:p>
        </w:tc>
        <w:tc>
          <w:tcPr>
            <w:tcW w:w="593" w:type="dxa"/>
            <w:tcBorders>
              <w:tl2br w:val="nil"/>
              <w:tr2bl w:val="nil"/>
            </w:tcBorders>
            <w:vAlign w:val="center"/>
          </w:tcPr>
          <w:p w14:paraId="50B01244">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1.7</w:t>
            </w:r>
          </w:p>
        </w:tc>
        <w:tc>
          <w:tcPr>
            <w:tcW w:w="593" w:type="dxa"/>
            <w:tcBorders>
              <w:tl2br w:val="nil"/>
              <w:tr2bl w:val="nil"/>
            </w:tcBorders>
            <w:vAlign w:val="center"/>
          </w:tcPr>
          <w:p w14:paraId="538F20C1">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1.8</w:t>
            </w:r>
          </w:p>
        </w:tc>
        <w:tc>
          <w:tcPr>
            <w:tcW w:w="593" w:type="dxa"/>
            <w:tcBorders>
              <w:tl2br w:val="nil"/>
              <w:tr2bl w:val="nil"/>
            </w:tcBorders>
            <w:vAlign w:val="center"/>
          </w:tcPr>
          <w:p w14:paraId="2C0C7B46">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2.0</w:t>
            </w:r>
          </w:p>
        </w:tc>
        <w:tc>
          <w:tcPr>
            <w:tcW w:w="593" w:type="dxa"/>
            <w:tcBorders>
              <w:tl2br w:val="nil"/>
              <w:tr2bl w:val="nil"/>
            </w:tcBorders>
            <w:vAlign w:val="center"/>
          </w:tcPr>
          <w:p w14:paraId="0AF1341B">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2.3</w:t>
            </w:r>
          </w:p>
        </w:tc>
        <w:tc>
          <w:tcPr>
            <w:tcW w:w="593" w:type="dxa"/>
            <w:tcBorders>
              <w:tl2br w:val="nil"/>
              <w:tr2bl w:val="nil"/>
            </w:tcBorders>
            <w:vAlign w:val="center"/>
          </w:tcPr>
          <w:p w14:paraId="6D2D996F">
            <w:pPr>
              <w:pStyle w:val="14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b w:val="0"/>
                <w:bCs w:val="0"/>
                <w:color w:val="FF0000"/>
                <w:sz w:val="21"/>
                <w:szCs w:val="21"/>
                <w:vertAlign w:val="baseline"/>
                <w:lang w:val="en-US" w:eastAsia="zh-CN"/>
              </w:rPr>
            </w:pPr>
            <w:r>
              <w:rPr>
                <w:rFonts w:hint="eastAsia" w:eastAsia="宋体"/>
                <w:b w:val="0"/>
                <w:bCs w:val="0"/>
                <w:color w:val="FF0000"/>
                <w:sz w:val="21"/>
                <w:szCs w:val="21"/>
                <w:vertAlign w:val="baseline"/>
                <w:lang w:val="en-US" w:eastAsia="zh-CN"/>
              </w:rPr>
              <w:t>2.2</w:t>
            </w:r>
          </w:p>
        </w:tc>
      </w:tr>
    </w:tbl>
    <w:p w14:paraId="471E7364">
      <w:pPr>
        <w:pStyle w:val="147"/>
        <w:spacing w:line="360" w:lineRule="auto"/>
        <w:ind w:left="0" w:leftChars="0" w:firstLine="480" w:firstLineChars="200"/>
        <w:rPr>
          <w:rFonts w:hint="default" w:eastAsia="宋体"/>
          <w:b/>
          <w:bCs/>
          <w:color w:val="FF0000"/>
          <w:sz w:val="24"/>
          <w:szCs w:val="24"/>
          <w:lang w:val="en-US" w:eastAsia="zh-CN"/>
        </w:rPr>
      </w:pPr>
      <w:r>
        <w:rPr>
          <w:rFonts w:hint="eastAsia" w:ascii="Times New Roman" w:hAnsi="Times New Roman" w:eastAsia="宋体" w:cs="Times New Roman"/>
          <w:color w:val="FF0000"/>
          <w:sz w:val="24"/>
          <w:szCs w:val="24"/>
          <w:lang w:val="en-US" w:eastAsia="zh-CN"/>
        </w:rPr>
        <w:t>从月平均风速统计资料中可以看出1月份平均风速最高（2.7m/s），8月份平均风速最低（1.7m/s）。</w:t>
      </w:r>
    </w:p>
    <w:p w14:paraId="0F03F046">
      <w:pPr>
        <w:pStyle w:val="3"/>
        <w:spacing w:before="0" w:after="0" w:line="460" w:lineRule="exact"/>
        <w:rPr>
          <w:rFonts w:eastAsia="宋体"/>
          <w:color w:val="auto"/>
          <w:kern w:val="0"/>
          <w:szCs w:val="28"/>
        </w:rPr>
      </w:pPr>
      <w:bookmarkStart w:id="67" w:name="_Toc26255"/>
      <w:r>
        <w:rPr>
          <w:rFonts w:hint="eastAsia" w:eastAsia="宋体"/>
          <w:color w:val="auto"/>
          <w:kern w:val="0"/>
          <w:szCs w:val="28"/>
        </w:rPr>
        <w:t>4</w:t>
      </w:r>
      <w:r>
        <w:rPr>
          <w:rFonts w:eastAsia="宋体"/>
          <w:color w:val="auto"/>
          <w:kern w:val="0"/>
          <w:szCs w:val="28"/>
        </w:rPr>
        <w:t>.2预测模式及预测参数</w:t>
      </w:r>
      <w:bookmarkEnd w:id="66"/>
      <w:bookmarkEnd w:id="67"/>
    </w:p>
    <w:p w14:paraId="776F24EB">
      <w:pPr>
        <w:pStyle w:val="140"/>
        <w:adjustRightInd w:val="0"/>
        <w:snapToGrid w:val="0"/>
        <w:spacing w:line="460" w:lineRule="exact"/>
        <w:jc w:val="both"/>
        <w:rPr>
          <w:color w:val="auto"/>
        </w:rPr>
      </w:pPr>
      <w:r>
        <w:rPr>
          <w:color w:val="auto"/>
        </w:rPr>
        <w:t>（1）预测模式</w:t>
      </w:r>
    </w:p>
    <w:p w14:paraId="445ED66B">
      <w:pPr>
        <w:spacing w:line="460" w:lineRule="exact"/>
        <w:ind w:firstLine="480" w:firstLineChars="200"/>
        <w:rPr>
          <w:color w:val="auto"/>
          <w:sz w:val="24"/>
          <w:szCs w:val="24"/>
        </w:rPr>
      </w:pPr>
      <w:r>
        <w:rPr>
          <w:color w:val="auto"/>
          <w:sz w:val="24"/>
          <w:szCs w:val="24"/>
        </w:rPr>
        <w:t>根据《环境影响评价技术导则 大气环境》（HJ2.2-2018），选择推荐的估算模型AERSCREEN。结合工程分析结果，计算各污染物的最大影响程度和最远影响范围。</w:t>
      </w:r>
    </w:p>
    <w:p w14:paraId="5B6C1EB5">
      <w:pPr>
        <w:adjustRightInd w:val="0"/>
        <w:snapToGrid w:val="0"/>
        <w:spacing w:line="460" w:lineRule="exact"/>
        <w:ind w:firstLine="480" w:firstLineChars="200"/>
        <w:rPr>
          <w:color w:val="auto"/>
          <w:sz w:val="24"/>
        </w:rPr>
      </w:pPr>
      <w:r>
        <w:rPr>
          <w:color w:val="auto"/>
          <w:sz w:val="24"/>
        </w:rPr>
        <w:t>估算模式是一种单源预测模式，可计算点源、面源和体源等污染源的最大地面浓度。经估算模式计算出的最大地面浓度大于进一步预测模式的计算结果。</w:t>
      </w:r>
    </w:p>
    <w:p w14:paraId="1C1671B9">
      <w:pPr>
        <w:adjustRightInd w:val="0"/>
        <w:snapToGrid w:val="0"/>
        <w:spacing w:line="460" w:lineRule="exact"/>
        <w:ind w:firstLine="480" w:firstLineChars="200"/>
        <w:rPr>
          <w:color w:val="auto"/>
          <w:sz w:val="24"/>
        </w:rPr>
      </w:pPr>
      <w:r>
        <w:rPr>
          <w:color w:val="auto"/>
          <w:sz w:val="24"/>
        </w:rPr>
        <w:t>（2）源强参数</w:t>
      </w:r>
    </w:p>
    <w:p w14:paraId="6A70F973">
      <w:pPr>
        <w:pStyle w:val="139"/>
        <w:spacing w:line="460" w:lineRule="exact"/>
        <w:ind w:firstLineChars="200"/>
        <w:rPr>
          <w:color w:val="auto"/>
          <w:sz w:val="24"/>
        </w:rPr>
      </w:pPr>
      <w:r>
        <w:rPr>
          <w:color w:val="auto"/>
          <w:sz w:val="24"/>
        </w:rPr>
        <w:t>本次预测评价有组织废气排放源有</w:t>
      </w:r>
      <w:r>
        <w:rPr>
          <w:rFonts w:hint="eastAsia"/>
          <w:color w:val="auto"/>
          <w:sz w:val="24"/>
          <w:lang w:val="en-US" w:eastAsia="zh-CN"/>
        </w:rPr>
        <w:t>3</w:t>
      </w:r>
      <w:r>
        <w:rPr>
          <w:color w:val="auto"/>
          <w:sz w:val="24"/>
        </w:rPr>
        <w:t>个，</w:t>
      </w:r>
      <w:r>
        <w:rPr>
          <w:rFonts w:hint="eastAsia"/>
          <w:color w:val="auto"/>
          <w:sz w:val="24"/>
          <w:lang w:val="en-US" w:eastAsia="zh-CN"/>
        </w:rPr>
        <w:t>无</w:t>
      </w:r>
      <w:r>
        <w:rPr>
          <w:color w:val="auto"/>
          <w:sz w:val="24"/>
        </w:rPr>
        <w:t>组织废气排放源有</w:t>
      </w:r>
      <w:r>
        <w:rPr>
          <w:rFonts w:hint="eastAsia"/>
          <w:color w:val="auto"/>
          <w:sz w:val="24"/>
          <w:lang w:val="en-US" w:eastAsia="zh-CN"/>
        </w:rPr>
        <w:t>1</w:t>
      </w:r>
      <w:r>
        <w:rPr>
          <w:color w:val="auto"/>
          <w:sz w:val="24"/>
        </w:rPr>
        <w:t>个，根据本项目污染物产生特点，本项目预测因子选择</w:t>
      </w:r>
      <w:r>
        <w:rPr>
          <w:rFonts w:hint="eastAsia"/>
          <w:color w:val="auto"/>
          <w:sz w:val="24"/>
          <w:lang w:val="en-US" w:eastAsia="zh-CN"/>
        </w:rPr>
        <w:t>颗粒物</w:t>
      </w:r>
      <w:r>
        <w:rPr>
          <w:rFonts w:hint="eastAsia"/>
          <w:color w:val="auto"/>
          <w:sz w:val="24"/>
        </w:rPr>
        <w:t>、</w:t>
      </w:r>
      <w:r>
        <w:rPr>
          <w:color w:val="auto"/>
          <w:sz w:val="24"/>
        </w:rPr>
        <w:t>非甲烷总烃</w:t>
      </w:r>
      <w:r>
        <w:rPr>
          <w:rFonts w:hint="eastAsia"/>
          <w:color w:val="auto"/>
          <w:sz w:val="24"/>
          <w:lang w:eastAsia="zh-CN"/>
        </w:rPr>
        <w:t>、</w:t>
      </w:r>
      <w:r>
        <w:rPr>
          <w:rFonts w:hint="eastAsia"/>
          <w:color w:val="auto"/>
          <w:sz w:val="24"/>
          <w:lang w:val="en-US" w:eastAsia="zh-CN"/>
        </w:rPr>
        <w:t>SO</w:t>
      </w:r>
      <w:r>
        <w:rPr>
          <w:rFonts w:hint="eastAsia"/>
          <w:color w:val="auto"/>
          <w:sz w:val="24"/>
          <w:vertAlign w:val="subscript"/>
          <w:lang w:val="en-US" w:eastAsia="zh-CN"/>
        </w:rPr>
        <w:t>2</w:t>
      </w:r>
      <w:r>
        <w:rPr>
          <w:rFonts w:hint="eastAsia"/>
          <w:color w:val="auto"/>
          <w:sz w:val="24"/>
          <w:lang w:val="en-US" w:eastAsia="zh-CN"/>
        </w:rPr>
        <w:t>、NO</w:t>
      </w:r>
      <w:r>
        <w:rPr>
          <w:rFonts w:hint="eastAsia"/>
          <w:color w:val="auto"/>
          <w:sz w:val="24"/>
          <w:vertAlign w:val="subscript"/>
          <w:lang w:val="en-US" w:eastAsia="zh-CN"/>
        </w:rPr>
        <w:t>x</w:t>
      </w:r>
      <w:r>
        <w:rPr>
          <w:rFonts w:hint="eastAsia"/>
          <w:color w:val="auto"/>
          <w:sz w:val="24"/>
          <w:lang w:val="en-US" w:eastAsia="zh-CN"/>
        </w:rPr>
        <w:t>、汞</w:t>
      </w:r>
      <w:r>
        <w:rPr>
          <w:color w:val="auto"/>
          <w:sz w:val="24"/>
        </w:rPr>
        <w:t>为预测因子，本项目点源参数见表</w:t>
      </w:r>
      <w:r>
        <w:rPr>
          <w:rFonts w:hint="eastAsia"/>
          <w:color w:val="auto"/>
          <w:sz w:val="24"/>
          <w:lang w:val="en-US" w:eastAsia="zh-CN"/>
        </w:rPr>
        <w:t>4</w:t>
      </w:r>
      <w:r>
        <w:rPr>
          <w:rFonts w:hint="eastAsia"/>
          <w:color w:val="auto"/>
          <w:sz w:val="24"/>
        </w:rPr>
        <w:t>-</w:t>
      </w:r>
      <w:r>
        <w:rPr>
          <w:rFonts w:hint="eastAsia"/>
          <w:color w:val="auto"/>
          <w:sz w:val="24"/>
          <w:lang w:val="en-US" w:eastAsia="zh-CN"/>
        </w:rPr>
        <w:t>3</w:t>
      </w:r>
      <w:r>
        <w:rPr>
          <w:color w:val="auto"/>
          <w:sz w:val="24"/>
        </w:rPr>
        <w:t>，面源参数见表</w:t>
      </w:r>
      <w:r>
        <w:rPr>
          <w:rFonts w:hint="eastAsia"/>
          <w:color w:val="auto"/>
          <w:sz w:val="24"/>
          <w:lang w:val="en-US" w:eastAsia="zh-CN"/>
        </w:rPr>
        <w:t>4</w:t>
      </w:r>
      <w:r>
        <w:rPr>
          <w:rFonts w:hint="eastAsia"/>
          <w:color w:val="auto"/>
          <w:sz w:val="24"/>
        </w:rPr>
        <w:t>-</w:t>
      </w:r>
      <w:r>
        <w:rPr>
          <w:rFonts w:hint="eastAsia"/>
          <w:color w:val="auto"/>
          <w:sz w:val="24"/>
          <w:lang w:val="en-US" w:eastAsia="zh-CN"/>
        </w:rPr>
        <w:t>4</w:t>
      </w:r>
      <w:r>
        <w:rPr>
          <w:color w:val="auto"/>
          <w:sz w:val="24"/>
        </w:rPr>
        <w:t>，非正常排放参数表</w:t>
      </w:r>
      <w:r>
        <w:rPr>
          <w:rFonts w:hint="eastAsia"/>
          <w:color w:val="auto"/>
          <w:sz w:val="24"/>
        </w:rPr>
        <w:t>见表</w:t>
      </w:r>
      <w:r>
        <w:rPr>
          <w:rFonts w:hint="eastAsia"/>
          <w:color w:val="auto"/>
          <w:sz w:val="24"/>
          <w:lang w:val="en-US" w:eastAsia="zh-CN"/>
        </w:rPr>
        <w:t>4</w:t>
      </w:r>
      <w:r>
        <w:rPr>
          <w:rFonts w:hint="eastAsia"/>
          <w:color w:val="auto"/>
          <w:sz w:val="24"/>
        </w:rPr>
        <w:t>-</w:t>
      </w:r>
      <w:r>
        <w:rPr>
          <w:rFonts w:hint="eastAsia"/>
          <w:color w:val="auto"/>
          <w:sz w:val="24"/>
          <w:lang w:val="en-US" w:eastAsia="zh-CN"/>
        </w:rPr>
        <w:t>5</w:t>
      </w:r>
      <w:r>
        <w:rPr>
          <w:color w:val="auto"/>
          <w:sz w:val="24"/>
        </w:rPr>
        <w:t>。</w:t>
      </w:r>
    </w:p>
    <w:p w14:paraId="5B3127F5">
      <w:pPr>
        <w:spacing w:line="460" w:lineRule="exact"/>
        <w:ind w:firstLine="420" w:firstLineChars="200"/>
        <w:rPr>
          <w:color w:val="auto"/>
        </w:rPr>
        <w:sectPr>
          <w:pgSz w:w="11907" w:h="16839"/>
          <w:pgMar w:top="1440" w:right="1800" w:bottom="1440" w:left="1800" w:header="1134" w:footer="992" w:gutter="0"/>
          <w:pgBorders>
            <w:top w:val="none" w:sz="0" w:space="0"/>
            <w:left w:val="none" w:sz="0" w:space="0"/>
            <w:bottom w:val="none" w:sz="0" w:space="0"/>
            <w:right w:val="none" w:sz="0" w:space="0"/>
          </w:pgBorders>
          <w:cols w:space="720" w:num="1"/>
          <w:docGrid w:linePitch="312" w:charSpace="0"/>
        </w:sectPr>
      </w:pPr>
    </w:p>
    <w:p w14:paraId="1A887A41">
      <w:pPr>
        <w:widowControl/>
        <w:adjustRightInd w:val="0"/>
        <w:snapToGrid w:val="0"/>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lang w:val="en-US" w:eastAsia="zh-CN"/>
        </w:rPr>
        <w:t>3</w:t>
      </w:r>
      <w:r>
        <w:rPr>
          <w:b/>
          <w:color w:val="auto"/>
          <w:sz w:val="24"/>
        </w:rPr>
        <w:t xml:space="preserve"> 点源参数表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41"/>
        <w:gridCol w:w="1410"/>
        <w:gridCol w:w="1606"/>
        <w:gridCol w:w="1608"/>
        <w:gridCol w:w="1407"/>
        <w:gridCol w:w="952"/>
        <w:gridCol w:w="1271"/>
        <w:gridCol w:w="980"/>
        <w:gridCol w:w="980"/>
        <w:gridCol w:w="651"/>
        <w:gridCol w:w="1245"/>
        <w:gridCol w:w="1000"/>
      </w:tblGrid>
      <w:tr w14:paraId="2954F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restart"/>
            <w:tcBorders>
              <w:tl2br w:val="nil"/>
              <w:tr2bl w:val="nil"/>
            </w:tcBorders>
            <w:vAlign w:val="center"/>
          </w:tcPr>
          <w:p w14:paraId="52DFD047">
            <w:pPr>
              <w:adjustRightInd w:val="0"/>
              <w:snapToGrid w:val="0"/>
              <w:jc w:val="center"/>
              <w:rPr>
                <w:b/>
                <w:bCs/>
                <w:color w:val="auto"/>
                <w:szCs w:val="21"/>
              </w:rPr>
            </w:pPr>
            <w:r>
              <w:rPr>
                <w:b/>
                <w:bCs/>
                <w:color w:val="auto"/>
                <w:szCs w:val="21"/>
              </w:rPr>
              <w:t>编号</w:t>
            </w:r>
          </w:p>
        </w:tc>
        <w:tc>
          <w:tcPr>
            <w:tcW w:w="505" w:type="pct"/>
            <w:vMerge w:val="restart"/>
            <w:tcBorders>
              <w:tl2br w:val="nil"/>
              <w:tr2bl w:val="nil"/>
            </w:tcBorders>
            <w:vAlign w:val="center"/>
          </w:tcPr>
          <w:p w14:paraId="287A2289">
            <w:pPr>
              <w:adjustRightInd w:val="0"/>
              <w:snapToGrid w:val="0"/>
              <w:jc w:val="center"/>
              <w:rPr>
                <w:b/>
                <w:bCs/>
                <w:color w:val="auto"/>
                <w:szCs w:val="21"/>
              </w:rPr>
            </w:pPr>
            <w:r>
              <w:rPr>
                <w:b/>
                <w:bCs/>
                <w:color w:val="auto"/>
                <w:szCs w:val="21"/>
              </w:rPr>
              <w:t>名称</w:t>
            </w:r>
          </w:p>
        </w:tc>
        <w:tc>
          <w:tcPr>
            <w:tcW w:w="1151" w:type="pct"/>
            <w:gridSpan w:val="2"/>
            <w:tcBorders>
              <w:tl2br w:val="nil"/>
              <w:tr2bl w:val="nil"/>
            </w:tcBorders>
            <w:tcMar>
              <w:left w:w="28" w:type="dxa"/>
              <w:right w:w="28" w:type="dxa"/>
            </w:tcMar>
            <w:vAlign w:val="center"/>
          </w:tcPr>
          <w:p w14:paraId="09D3D1CF">
            <w:pPr>
              <w:adjustRightInd w:val="0"/>
              <w:snapToGrid w:val="0"/>
              <w:jc w:val="center"/>
              <w:rPr>
                <w:b/>
                <w:bCs/>
                <w:color w:val="auto"/>
                <w:szCs w:val="21"/>
              </w:rPr>
            </w:pPr>
            <w:r>
              <w:rPr>
                <w:b/>
                <w:bCs/>
                <w:color w:val="auto"/>
                <w:szCs w:val="21"/>
              </w:rPr>
              <w:t>排气筒底部中心坐标/m</w:t>
            </w:r>
          </w:p>
        </w:tc>
        <w:tc>
          <w:tcPr>
            <w:tcW w:w="504" w:type="pct"/>
            <w:vMerge w:val="restart"/>
            <w:tcBorders>
              <w:tl2br w:val="nil"/>
              <w:tr2bl w:val="nil"/>
            </w:tcBorders>
            <w:tcMar>
              <w:left w:w="28" w:type="dxa"/>
              <w:right w:w="28" w:type="dxa"/>
            </w:tcMar>
            <w:vAlign w:val="center"/>
          </w:tcPr>
          <w:p w14:paraId="4B2136D4">
            <w:pPr>
              <w:adjustRightInd w:val="0"/>
              <w:snapToGrid w:val="0"/>
              <w:jc w:val="center"/>
              <w:rPr>
                <w:b/>
                <w:bCs/>
                <w:color w:val="auto"/>
                <w:szCs w:val="21"/>
              </w:rPr>
            </w:pPr>
            <w:r>
              <w:rPr>
                <w:b/>
                <w:bCs/>
                <w:color w:val="auto"/>
                <w:szCs w:val="21"/>
              </w:rPr>
              <w:t>排气筒底部海拔高度/m</w:t>
            </w:r>
          </w:p>
        </w:tc>
        <w:tc>
          <w:tcPr>
            <w:tcW w:w="341" w:type="pct"/>
            <w:vMerge w:val="restart"/>
            <w:tcBorders>
              <w:tl2br w:val="nil"/>
              <w:tr2bl w:val="nil"/>
            </w:tcBorders>
            <w:tcMar>
              <w:left w:w="28" w:type="dxa"/>
              <w:right w:w="28" w:type="dxa"/>
            </w:tcMar>
            <w:vAlign w:val="center"/>
          </w:tcPr>
          <w:p w14:paraId="0E810959">
            <w:pPr>
              <w:adjustRightInd w:val="0"/>
              <w:snapToGrid w:val="0"/>
              <w:jc w:val="center"/>
              <w:rPr>
                <w:b/>
                <w:bCs/>
                <w:color w:val="auto"/>
                <w:szCs w:val="21"/>
              </w:rPr>
            </w:pPr>
            <w:r>
              <w:rPr>
                <w:b/>
                <w:bCs/>
                <w:color w:val="auto"/>
                <w:szCs w:val="21"/>
              </w:rPr>
              <w:t>排气筒高度/m</w:t>
            </w:r>
          </w:p>
        </w:tc>
        <w:tc>
          <w:tcPr>
            <w:tcW w:w="455" w:type="pct"/>
            <w:vMerge w:val="restart"/>
            <w:tcBorders>
              <w:tl2br w:val="nil"/>
              <w:tr2bl w:val="nil"/>
            </w:tcBorders>
            <w:tcMar>
              <w:left w:w="28" w:type="dxa"/>
              <w:right w:w="28" w:type="dxa"/>
            </w:tcMar>
            <w:vAlign w:val="center"/>
          </w:tcPr>
          <w:p w14:paraId="076C1ACE">
            <w:pPr>
              <w:adjustRightInd w:val="0"/>
              <w:snapToGrid w:val="0"/>
              <w:jc w:val="center"/>
              <w:rPr>
                <w:b/>
                <w:bCs/>
                <w:color w:val="auto"/>
                <w:szCs w:val="21"/>
              </w:rPr>
            </w:pPr>
            <w:r>
              <w:rPr>
                <w:b/>
                <w:bCs/>
                <w:color w:val="auto"/>
                <w:szCs w:val="21"/>
              </w:rPr>
              <w:t>排气筒出口内径/m</w:t>
            </w:r>
          </w:p>
        </w:tc>
        <w:tc>
          <w:tcPr>
            <w:tcW w:w="351" w:type="pct"/>
            <w:vMerge w:val="restart"/>
            <w:tcBorders>
              <w:tl2br w:val="nil"/>
              <w:tr2bl w:val="nil"/>
            </w:tcBorders>
            <w:tcMar>
              <w:left w:w="28" w:type="dxa"/>
              <w:right w:w="28" w:type="dxa"/>
            </w:tcMar>
            <w:vAlign w:val="center"/>
          </w:tcPr>
          <w:p w14:paraId="36CCA93A">
            <w:pPr>
              <w:adjustRightInd w:val="0"/>
              <w:snapToGrid w:val="0"/>
              <w:jc w:val="center"/>
              <w:rPr>
                <w:b/>
                <w:bCs/>
                <w:color w:val="auto"/>
                <w:szCs w:val="21"/>
              </w:rPr>
            </w:pPr>
            <w:r>
              <w:rPr>
                <w:b/>
                <w:bCs/>
                <w:color w:val="auto"/>
                <w:szCs w:val="21"/>
              </w:rPr>
              <w:t>烟气流速/(m/s)</w:t>
            </w:r>
          </w:p>
        </w:tc>
        <w:tc>
          <w:tcPr>
            <w:tcW w:w="351" w:type="pct"/>
            <w:vMerge w:val="restart"/>
            <w:tcBorders>
              <w:tl2br w:val="nil"/>
              <w:tr2bl w:val="nil"/>
            </w:tcBorders>
            <w:tcMar>
              <w:left w:w="28" w:type="dxa"/>
              <w:right w:w="28" w:type="dxa"/>
            </w:tcMar>
            <w:vAlign w:val="center"/>
          </w:tcPr>
          <w:p w14:paraId="29EB0939">
            <w:pPr>
              <w:adjustRightInd w:val="0"/>
              <w:snapToGrid w:val="0"/>
              <w:jc w:val="center"/>
              <w:rPr>
                <w:b/>
                <w:bCs/>
                <w:color w:val="auto"/>
                <w:szCs w:val="21"/>
              </w:rPr>
            </w:pPr>
            <w:r>
              <w:rPr>
                <w:b/>
                <w:bCs/>
                <w:color w:val="auto"/>
                <w:szCs w:val="21"/>
              </w:rPr>
              <w:t>烟气温度/℃</w:t>
            </w:r>
          </w:p>
        </w:tc>
        <w:tc>
          <w:tcPr>
            <w:tcW w:w="233" w:type="pct"/>
            <w:vMerge w:val="restart"/>
            <w:tcBorders>
              <w:tl2br w:val="nil"/>
              <w:tr2bl w:val="nil"/>
            </w:tcBorders>
            <w:tcMar>
              <w:left w:w="28" w:type="dxa"/>
              <w:right w:w="28" w:type="dxa"/>
            </w:tcMar>
            <w:vAlign w:val="center"/>
          </w:tcPr>
          <w:p w14:paraId="120E2201">
            <w:pPr>
              <w:adjustRightInd w:val="0"/>
              <w:snapToGrid w:val="0"/>
              <w:jc w:val="center"/>
              <w:rPr>
                <w:b/>
                <w:bCs/>
                <w:color w:val="auto"/>
                <w:szCs w:val="21"/>
              </w:rPr>
            </w:pPr>
            <w:r>
              <w:rPr>
                <w:b/>
                <w:bCs/>
                <w:color w:val="auto"/>
                <w:szCs w:val="21"/>
              </w:rPr>
              <w:t>排放工况</w:t>
            </w:r>
          </w:p>
        </w:tc>
        <w:tc>
          <w:tcPr>
            <w:tcW w:w="804" w:type="pct"/>
            <w:gridSpan w:val="2"/>
            <w:vMerge w:val="restart"/>
            <w:tcBorders>
              <w:tl2br w:val="nil"/>
              <w:tr2bl w:val="nil"/>
            </w:tcBorders>
            <w:tcMar>
              <w:left w:w="28" w:type="dxa"/>
              <w:right w:w="28" w:type="dxa"/>
            </w:tcMar>
            <w:vAlign w:val="center"/>
          </w:tcPr>
          <w:p w14:paraId="18790B62">
            <w:pPr>
              <w:adjustRightInd w:val="0"/>
              <w:snapToGrid w:val="0"/>
              <w:jc w:val="center"/>
              <w:rPr>
                <w:b/>
                <w:bCs/>
                <w:color w:val="auto"/>
                <w:szCs w:val="21"/>
              </w:rPr>
            </w:pPr>
            <w:r>
              <w:rPr>
                <w:b/>
                <w:bCs/>
                <w:color w:val="auto"/>
                <w:szCs w:val="21"/>
              </w:rPr>
              <w:t>污染物排放速率/（kg/h）</w:t>
            </w:r>
          </w:p>
        </w:tc>
      </w:tr>
      <w:tr w14:paraId="55A8A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6A23A3A7">
            <w:pPr>
              <w:adjustRightInd w:val="0"/>
              <w:snapToGrid w:val="0"/>
              <w:jc w:val="center"/>
              <w:rPr>
                <w:color w:val="auto"/>
                <w:szCs w:val="21"/>
              </w:rPr>
            </w:pPr>
          </w:p>
        </w:tc>
        <w:tc>
          <w:tcPr>
            <w:tcW w:w="505" w:type="pct"/>
            <w:vMerge w:val="continue"/>
            <w:tcBorders>
              <w:tl2br w:val="nil"/>
              <w:tr2bl w:val="nil"/>
            </w:tcBorders>
            <w:vAlign w:val="center"/>
          </w:tcPr>
          <w:p w14:paraId="55D3233F">
            <w:pPr>
              <w:adjustRightInd w:val="0"/>
              <w:snapToGrid w:val="0"/>
              <w:jc w:val="center"/>
              <w:rPr>
                <w:color w:val="auto"/>
                <w:szCs w:val="21"/>
              </w:rPr>
            </w:pPr>
          </w:p>
        </w:tc>
        <w:tc>
          <w:tcPr>
            <w:tcW w:w="575" w:type="pct"/>
            <w:tcBorders>
              <w:tl2br w:val="nil"/>
              <w:tr2bl w:val="nil"/>
            </w:tcBorders>
            <w:tcMar>
              <w:left w:w="28" w:type="dxa"/>
              <w:right w:w="28" w:type="dxa"/>
            </w:tcMar>
            <w:vAlign w:val="center"/>
          </w:tcPr>
          <w:p w14:paraId="113D2A97">
            <w:pPr>
              <w:adjustRightInd w:val="0"/>
              <w:snapToGrid w:val="0"/>
              <w:jc w:val="center"/>
              <w:rPr>
                <w:b/>
                <w:bCs/>
                <w:color w:val="auto"/>
                <w:szCs w:val="21"/>
              </w:rPr>
            </w:pPr>
            <w:r>
              <w:rPr>
                <w:b/>
                <w:bCs/>
                <w:color w:val="auto"/>
                <w:szCs w:val="21"/>
              </w:rPr>
              <w:t>x</w:t>
            </w:r>
          </w:p>
        </w:tc>
        <w:tc>
          <w:tcPr>
            <w:tcW w:w="576" w:type="pct"/>
            <w:tcBorders>
              <w:tl2br w:val="nil"/>
              <w:tr2bl w:val="nil"/>
            </w:tcBorders>
            <w:tcMar>
              <w:left w:w="28" w:type="dxa"/>
              <w:right w:w="28" w:type="dxa"/>
            </w:tcMar>
            <w:vAlign w:val="center"/>
          </w:tcPr>
          <w:p w14:paraId="07FB9FEA">
            <w:pPr>
              <w:adjustRightInd w:val="0"/>
              <w:snapToGrid w:val="0"/>
              <w:jc w:val="center"/>
              <w:rPr>
                <w:b/>
                <w:bCs/>
                <w:color w:val="auto"/>
                <w:szCs w:val="21"/>
              </w:rPr>
            </w:pPr>
            <w:r>
              <w:rPr>
                <w:b/>
                <w:bCs/>
                <w:color w:val="auto"/>
                <w:szCs w:val="21"/>
              </w:rPr>
              <w:t>y</w:t>
            </w:r>
          </w:p>
        </w:tc>
        <w:tc>
          <w:tcPr>
            <w:tcW w:w="504" w:type="pct"/>
            <w:vMerge w:val="continue"/>
            <w:tcBorders>
              <w:tl2br w:val="nil"/>
              <w:tr2bl w:val="nil"/>
            </w:tcBorders>
            <w:tcMar>
              <w:left w:w="28" w:type="dxa"/>
              <w:right w:w="28" w:type="dxa"/>
            </w:tcMar>
            <w:vAlign w:val="center"/>
          </w:tcPr>
          <w:p w14:paraId="4AA9E30F">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1D0D4B52">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3853BC06">
            <w:pPr>
              <w:adjustRightInd w:val="0"/>
              <w:snapToGrid w:val="0"/>
              <w:jc w:val="center"/>
              <w:rPr>
                <w:color w:val="auto"/>
                <w:szCs w:val="21"/>
              </w:rPr>
            </w:pPr>
          </w:p>
        </w:tc>
        <w:tc>
          <w:tcPr>
            <w:tcW w:w="351" w:type="pct"/>
            <w:vMerge w:val="continue"/>
            <w:tcBorders>
              <w:tl2br w:val="nil"/>
              <w:tr2bl w:val="nil"/>
            </w:tcBorders>
            <w:tcMar>
              <w:left w:w="28" w:type="dxa"/>
              <w:right w:w="28" w:type="dxa"/>
            </w:tcMar>
            <w:vAlign w:val="center"/>
          </w:tcPr>
          <w:p w14:paraId="2C5979B3">
            <w:pPr>
              <w:adjustRightInd w:val="0"/>
              <w:snapToGrid w:val="0"/>
              <w:jc w:val="center"/>
              <w:rPr>
                <w:color w:val="auto"/>
                <w:szCs w:val="21"/>
              </w:rPr>
            </w:pPr>
          </w:p>
        </w:tc>
        <w:tc>
          <w:tcPr>
            <w:tcW w:w="351" w:type="pct"/>
            <w:vMerge w:val="continue"/>
            <w:tcBorders>
              <w:tl2br w:val="nil"/>
              <w:tr2bl w:val="nil"/>
            </w:tcBorders>
            <w:tcMar>
              <w:left w:w="28" w:type="dxa"/>
              <w:right w:w="28" w:type="dxa"/>
            </w:tcMar>
            <w:vAlign w:val="center"/>
          </w:tcPr>
          <w:p w14:paraId="160A39D7">
            <w:pPr>
              <w:adjustRightInd w:val="0"/>
              <w:snapToGrid w:val="0"/>
              <w:jc w:val="center"/>
              <w:rPr>
                <w:color w:val="auto"/>
                <w:szCs w:val="21"/>
              </w:rPr>
            </w:pPr>
          </w:p>
        </w:tc>
        <w:tc>
          <w:tcPr>
            <w:tcW w:w="233" w:type="pct"/>
            <w:vMerge w:val="continue"/>
            <w:tcBorders>
              <w:tl2br w:val="nil"/>
              <w:tr2bl w:val="nil"/>
            </w:tcBorders>
            <w:tcMar>
              <w:left w:w="28" w:type="dxa"/>
              <w:right w:w="28" w:type="dxa"/>
            </w:tcMar>
            <w:vAlign w:val="center"/>
          </w:tcPr>
          <w:p w14:paraId="4179D9F4">
            <w:pPr>
              <w:adjustRightInd w:val="0"/>
              <w:snapToGrid w:val="0"/>
              <w:jc w:val="center"/>
              <w:rPr>
                <w:bCs/>
                <w:color w:val="auto"/>
                <w:szCs w:val="21"/>
              </w:rPr>
            </w:pPr>
          </w:p>
        </w:tc>
        <w:tc>
          <w:tcPr>
            <w:tcW w:w="804" w:type="pct"/>
            <w:gridSpan w:val="2"/>
            <w:vMerge w:val="continue"/>
            <w:tcBorders>
              <w:tl2br w:val="nil"/>
              <w:tr2bl w:val="nil"/>
            </w:tcBorders>
            <w:tcMar>
              <w:left w:w="28" w:type="dxa"/>
              <w:right w:w="28" w:type="dxa"/>
            </w:tcMar>
            <w:vAlign w:val="center"/>
          </w:tcPr>
          <w:p w14:paraId="344A92FF">
            <w:pPr>
              <w:adjustRightInd w:val="0"/>
              <w:snapToGrid w:val="0"/>
              <w:jc w:val="center"/>
              <w:rPr>
                <w:b/>
                <w:bCs/>
                <w:color w:val="auto"/>
                <w:szCs w:val="21"/>
              </w:rPr>
            </w:pPr>
          </w:p>
        </w:tc>
      </w:tr>
      <w:tr w14:paraId="66698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restart"/>
            <w:tcBorders>
              <w:tl2br w:val="nil"/>
              <w:tr2bl w:val="nil"/>
            </w:tcBorders>
            <w:vAlign w:val="center"/>
          </w:tcPr>
          <w:p w14:paraId="79E48DBB">
            <w:pPr>
              <w:widowControl/>
              <w:jc w:val="center"/>
              <w:rPr>
                <w:rFonts w:hint="default" w:eastAsia="宋体"/>
                <w:color w:val="auto"/>
                <w:kern w:val="0"/>
                <w:szCs w:val="21"/>
                <w:lang w:val="en-US" w:eastAsia="zh-CN"/>
              </w:rPr>
            </w:pPr>
            <w:r>
              <w:rPr>
                <w:rFonts w:hint="eastAsia"/>
                <w:color w:val="auto"/>
                <w:kern w:val="0"/>
                <w:szCs w:val="21"/>
                <w:lang w:val="en-US" w:eastAsia="zh-CN"/>
              </w:rPr>
              <w:t>DA001</w:t>
            </w:r>
          </w:p>
        </w:tc>
        <w:tc>
          <w:tcPr>
            <w:tcW w:w="505" w:type="pct"/>
            <w:vMerge w:val="restart"/>
            <w:tcBorders>
              <w:tl2br w:val="nil"/>
              <w:tr2bl w:val="nil"/>
            </w:tcBorders>
            <w:vAlign w:val="center"/>
          </w:tcPr>
          <w:p w14:paraId="02A9E923">
            <w:pPr>
              <w:widowControl/>
              <w:jc w:val="center"/>
              <w:textAlignment w:val="center"/>
              <w:rPr>
                <w:rFonts w:hint="default" w:eastAsia="宋体"/>
                <w:color w:val="auto"/>
                <w:szCs w:val="21"/>
                <w:lang w:val="en-US" w:eastAsia="zh-CN"/>
              </w:rPr>
            </w:pPr>
            <w:r>
              <w:rPr>
                <w:rFonts w:hint="eastAsia"/>
                <w:color w:val="auto"/>
                <w:szCs w:val="21"/>
                <w:lang w:val="en-US" w:eastAsia="zh-CN"/>
              </w:rPr>
              <w:t>生产废气</w:t>
            </w:r>
          </w:p>
        </w:tc>
        <w:tc>
          <w:tcPr>
            <w:tcW w:w="1612" w:type="dxa"/>
            <w:vMerge w:val="restart"/>
            <w:tcBorders>
              <w:tl2br w:val="nil"/>
              <w:tr2bl w:val="nil"/>
            </w:tcBorders>
            <w:tcMar>
              <w:left w:w="28" w:type="dxa"/>
              <w:right w:w="28" w:type="dxa"/>
            </w:tcMar>
            <w:vAlign w:val="center"/>
          </w:tcPr>
          <w:p w14:paraId="5172AC34">
            <w:pPr>
              <w:adjustRightInd w:val="0"/>
              <w:snapToGrid w:val="0"/>
              <w:jc w:val="center"/>
              <w:rPr>
                <w:rFonts w:hint="eastAsia" w:eastAsia="宋体"/>
                <w:color w:val="auto"/>
                <w:szCs w:val="21"/>
                <w:lang w:eastAsia="zh-CN"/>
              </w:rPr>
            </w:pPr>
            <w:r>
              <w:rPr>
                <w:rFonts w:hint="eastAsia" w:eastAsia="宋体"/>
                <w:color w:val="auto"/>
                <w:szCs w:val="21"/>
                <w:lang w:eastAsia="zh-CN"/>
              </w:rPr>
              <w:t>120.649853</w:t>
            </w:r>
          </w:p>
        </w:tc>
        <w:tc>
          <w:tcPr>
            <w:tcW w:w="1615" w:type="dxa"/>
            <w:vMerge w:val="restart"/>
            <w:tcBorders>
              <w:tl2br w:val="nil"/>
              <w:tr2bl w:val="nil"/>
            </w:tcBorders>
            <w:tcMar>
              <w:left w:w="28" w:type="dxa"/>
              <w:right w:w="28" w:type="dxa"/>
            </w:tcMar>
            <w:vAlign w:val="center"/>
          </w:tcPr>
          <w:p w14:paraId="2B4273AA">
            <w:pPr>
              <w:adjustRightInd w:val="0"/>
              <w:snapToGrid w:val="0"/>
              <w:jc w:val="center"/>
              <w:rPr>
                <w:rFonts w:hint="eastAsia" w:eastAsia="宋体"/>
                <w:color w:val="auto"/>
                <w:szCs w:val="21"/>
                <w:lang w:eastAsia="zh-CN"/>
              </w:rPr>
            </w:pPr>
            <w:r>
              <w:rPr>
                <w:rFonts w:hint="eastAsia" w:eastAsia="宋体"/>
                <w:color w:val="auto"/>
                <w:szCs w:val="21"/>
                <w:lang w:eastAsia="zh-CN"/>
              </w:rPr>
              <w:t>32.13945</w:t>
            </w:r>
          </w:p>
        </w:tc>
        <w:tc>
          <w:tcPr>
            <w:tcW w:w="504" w:type="pct"/>
            <w:vMerge w:val="restart"/>
            <w:tcBorders>
              <w:tl2br w:val="nil"/>
              <w:tr2bl w:val="nil"/>
            </w:tcBorders>
            <w:tcMar>
              <w:left w:w="28" w:type="dxa"/>
              <w:right w:w="28" w:type="dxa"/>
            </w:tcMar>
            <w:vAlign w:val="center"/>
          </w:tcPr>
          <w:p w14:paraId="5D93C380">
            <w:pPr>
              <w:adjustRightInd w:val="0"/>
              <w:snapToGrid w:val="0"/>
              <w:jc w:val="center"/>
              <w:rPr>
                <w:rFonts w:hint="eastAsia" w:eastAsia="宋体"/>
                <w:color w:val="auto"/>
                <w:szCs w:val="21"/>
                <w:lang w:eastAsia="zh-CN"/>
              </w:rPr>
            </w:pPr>
            <w:r>
              <w:rPr>
                <w:rFonts w:hint="eastAsia"/>
                <w:color w:val="auto"/>
                <w:szCs w:val="21"/>
                <w:lang w:val="en-US" w:eastAsia="zh-CN"/>
              </w:rPr>
              <w:t>5</w:t>
            </w:r>
          </w:p>
        </w:tc>
        <w:tc>
          <w:tcPr>
            <w:tcW w:w="341" w:type="pct"/>
            <w:vMerge w:val="restart"/>
            <w:tcBorders>
              <w:tl2br w:val="nil"/>
              <w:tr2bl w:val="nil"/>
            </w:tcBorders>
            <w:tcMar>
              <w:left w:w="28" w:type="dxa"/>
              <w:right w:w="28" w:type="dxa"/>
            </w:tcMar>
            <w:vAlign w:val="center"/>
          </w:tcPr>
          <w:p w14:paraId="73FAA745">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455" w:type="pct"/>
            <w:vMerge w:val="restart"/>
            <w:tcBorders>
              <w:tl2br w:val="nil"/>
              <w:tr2bl w:val="nil"/>
            </w:tcBorders>
            <w:tcMar>
              <w:left w:w="28" w:type="dxa"/>
              <w:right w:w="28" w:type="dxa"/>
            </w:tcMar>
            <w:vAlign w:val="center"/>
          </w:tcPr>
          <w:p w14:paraId="7F259746">
            <w:pPr>
              <w:pStyle w:val="20"/>
              <w:spacing w:line="240" w:lineRule="exact"/>
              <w:ind w:firstLine="0" w:firstLineChars="0"/>
              <w:jc w:val="center"/>
              <w:rPr>
                <w:rFonts w:hint="default" w:ascii="Times New Roman" w:hAnsi="Times New Roman" w:eastAsia="宋体"/>
                <w:color w:val="auto"/>
                <w:kern w:val="0"/>
                <w:szCs w:val="21"/>
                <w:lang w:val="en-US" w:eastAsia="zh-CN"/>
              </w:rPr>
            </w:pPr>
            <w:r>
              <w:rPr>
                <w:rFonts w:hint="eastAsia" w:ascii="Times New Roman" w:hAnsi="Times New Roman"/>
                <w:color w:val="auto"/>
                <w:szCs w:val="21"/>
                <w:lang w:val="en-US" w:eastAsia="zh-CN"/>
              </w:rPr>
              <w:t>0.8</w:t>
            </w:r>
          </w:p>
        </w:tc>
        <w:tc>
          <w:tcPr>
            <w:tcW w:w="351" w:type="pct"/>
            <w:vMerge w:val="restart"/>
            <w:tcBorders>
              <w:tl2br w:val="nil"/>
              <w:tr2bl w:val="nil"/>
            </w:tcBorders>
            <w:tcMar>
              <w:left w:w="28" w:type="dxa"/>
              <w:right w:w="28" w:type="dxa"/>
            </w:tcMar>
            <w:vAlign w:val="center"/>
          </w:tcPr>
          <w:p w14:paraId="328F5447">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13.26</w:t>
            </w:r>
          </w:p>
        </w:tc>
        <w:tc>
          <w:tcPr>
            <w:tcW w:w="351" w:type="pct"/>
            <w:vMerge w:val="restart"/>
            <w:tcBorders>
              <w:tl2br w:val="nil"/>
              <w:tr2bl w:val="nil"/>
            </w:tcBorders>
            <w:tcMar>
              <w:left w:w="28" w:type="dxa"/>
              <w:right w:w="28" w:type="dxa"/>
            </w:tcMar>
            <w:vAlign w:val="center"/>
          </w:tcPr>
          <w:p w14:paraId="3BCD6A67">
            <w:pPr>
              <w:pStyle w:val="128"/>
              <w:spacing w:line="240" w:lineRule="exact"/>
              <w:rPr>
                <w:rFonts w:hint="default" w:eastAsia="宋体"/>
                <w:color w:val="auto"/>
                <w:lang w:val="en-US" w:eastAsia="zh-CN"/>
              </w:rPr>
            </w:pPr>
            <w:r>
              <w:rPr>
                <w:rFonts w:hint="eastAsia"/>
                <w:color w:val="auto"/>
                <w:lang w:val="en-US" w:eastAsia="zh-CN"/>
              </w:rPr>
              <w:t>25</w:t>
            </w:r>
          </w:p>
        </w:tc>
        <w:tc>
          <w:tcPr>
            <w:tcW w:w="233" w:type="pct"/>
            <w:vMerge w:val="restart"/>
            <w:tcBorders>
              <w:tl2br w:val="nil"/>
              <w:tr2bl w:val="nil"/>
            </w:tcBorders>
            <w:tcMar>
              <w:left w:w="28" w:type="dxa"/>
              <w:right w:w="28" w:type="dxa"/>
            </w:tcMar>
            <w:vAlign w:val="center"/>
          </w:tcPr>
          <w:p w14:paraId="333F7B32">
            <w:pPr>
              <w:adjustRightInd w:val="0"/>
              <w:snapToGrid w:val="0"/>
              <w:jc w:val="center"/>
              <w:rPr>
                <w:color w:val="auto"/>
                <w:szCs w:val="21"/>
              </w:rPr>
            </w:pPr>
            <w:r>
              <w:rPr>
                <w:color w:val="auto"/>
                <w:szCs w:val="21"/>
              </w:rPr>
              <w:t>正常</w:t>
            </w:r>
          </w:p>
        </w:tc>
        <w:tc>
          <w:tcPr>
            <w:tcW w:w="446" w:type="pct"/>
            <w:tcBorders>
              <w:bottom w:val="single" w:color="auto" w:sz="4" w:space="0"/>
              <w:tl2br w:val="nil"/>
              <w:tr2bl w:val="nil"/>
            </w:tcBorders>
            <w:tcMar>
              <w:left w:w="28" w:type="dxa"/>
              <w:right w:w="28" w:type="dxa"/>
            </w:tcMar>
            <w:vAlign w:val="center"/>
          </w:tcPr>
          <w:p w14:paraId="7EB08607">
            <w:pPr>
              <w:pStyle w:val="105"/>
              <w:spacing w:line="240" w:lineRule="exact"/>
              <w:rPr>
                <w:color w:val="auto"/>
                <w:sz w:val="21"/>
                <w:szCs w:val="21"/>
              </w:rPr>
            </w:pPr>
            <w:r>
              <w:rPr>
                <w:color w:val="auto"/>
                <w:sz w:val="21"/>
                <w:szCs w:val="21"/>
              </w:rPr>
              <w:t>非甲烷总烃</w:t>
            </w:r>
          </w:p>
        </w:tc>
        <w:tc>
          <w:tcPr>
            <w:tcW w:w="358" w:type="pct"/>
            <w:tcBorders>
              <w:bottom w:val="single" w:color="000000" w:sz="8" w:space="0"/>
              <w:tl2br w:val="nil"/>
              <w:tr2bl w:val="nil"/>
            </w:tcBorders>
            <w:tcMar>
              <w:left w:w="28" w:type="dxa"/>
              <w:right w:w="28" w:type="dxa"/>
            </w:tcMar>
            <w:vAlign w:val="center"/>
          </w:tcPr>
          <w:p w14:paraId="43F6371F">
            <w:pPr>
              <w:widowControl/>
              <w:snapToGrid w:val="0"/>
              <w:jc w:val="center"/>
              <w:rPr>
                <w:rFonts w:hint="default" w:eastAsia="宋体"/>
                <w:color w:val="auto"/>
                <w:szCs w:val="21"/>
                <w:lang w:val="en-US" w:eastAsia="zh-CN"/>
              </w:rPr>
            </w:pPr>
            <w:r>
              <w:rPr>
                <w:rFonts w:hint="eastAsia"/>
                <w:color w:val="auto"/>
                <w:szCs w:val="21"/>
                <w:lang w:val="en-US" w:eastAsia="zh-CN"/>
              </w:rPr>
              <w:t>0.043</w:t>
            </w:r>
          </w:p>
        </w:tc>
      </w:tr>
      <w:tr w14:paraId="1A604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5BC770BB">
            <w:pPr>
              <w:widowControl/>
              <w:jc w:val="center"/>
              <w:rPr>
                <w:color w:val="auto"/>
                <w:kern w:val="0"/>
                <w:szCs w:val="21"/>
              </w:rPr>
            </w:pPr>
          </w:p>
        </w:tc>
        <w:tc>
          <w:tcPr>
            <w:tcW w:w="505" w:type="pct"/>
            <w:vMerge w:val="continue"/>
            <w:tcBorders>
              <w:tl2br w:val="nil"/>
              <w:tr2bl w:val="nil"/>
            </w:tcBorders>
            <w:vAlign w:val="center"/>
          </w:tcPr>
          <w:p w14:paraId="22A3FAAB">
            <w:pPr>
              <w:widowControl/>
              <w:jc w:val="center"/>
              <w:textAlignment w:val="center"/>
              <w:rPr>
                <w:rFonts w:ascii="宋体" w:hAnsi="宋体" w:cs="宋体"/>
                <w:color w:val="auto"/>
                <w:kern w:val="0"/>
                <w:szCs w:val="21"/>
                <w:lang w:bidi="ar"/>
              </w:rPr>
            </w:pPr>
          </w:p>
        </w:tc>
        <w:tc>
          <w:tcPr>
            <w:tcW w:w="575" w:type="pct"/>
            <w:vMerge w:val="continue"/>
            <w:tcBorders>
              <w:tl2br w:val="nil"/>
              <w:tr2bl w:val="nil"/>
            </w:tcBorders>
            <w:tcMar>
              <w:left w:w="28" w:type="dxa"/>
              <w:right w:w="28" w:type="dxa"/>
            </w:tcMar>
            <w:vAlign w:val="center"/>
          </w:tcPr>
          <w:p w14:paraId="7E9E9CC9">
            <w:pPr>
              <w:adjustRightInd w:val="0"/>
              <w:snapToGrid w:val="0"/>
              <w:jc w:val="center"/>
              <w:rPr>
                <w:rFonts w:hint="eastAsia" w:eastAsia="宋体"/>
                <w:color w:val="auto"/>
                <w:szCs w:val="21"/>
                <w:lang w:eastAsia="zh-CN"/>
              </w:rPr>
            </w:pPr>
          </w:p>
        </w:tc>
        <w:tc>
          <w:tcPr>
            <w:tcW w:w="576" w:type="pct"/>
            <w:vMerge w:val="continue"/>
            <w:tcBorders>
              <w:tl2br w:val="nil"/>
              <w:tr2bl w:val="nil"/>
            </w:tcBorders>
            <w:tcMar>
              <w:left w:w="28" w:type="dxa"/>
              <w:right w:w="28" w:type="dxa"/>
            </w:tcMar>
            <w:vAlign w:val="center"/>
          </w:tcPr>
          <w:p w14:paraId="66A318C6">
            <w:pPr>
              <w:adjustRightInd w:val="0"/>
              <w:snapToGrid w:val="0"/>
              <w:jc w:val="center"/>
              <w:rPr>
                <w:rFonts w:hint="eastAsia" w:eastAsia="宋体"/>
                <w:color w:val="auto"/>
                <w:szCs w:val="21"/>
                <w:lang w:eastAsia="zh-CN"/>
              </w:rPr>
            </w:pPr>
          </w:p>
        </w:tc>
        <w:tc>
          <w:tcPr>
            <w:tcW w:w="504" w:type="pct"/>
            <w:vMerge w:val="continue"/>
            <w:tcBorders>
              <w:tl2br w:val="nil"/>
              <w:tr2bl w:val="nil"/>
            </w:tcBorders>
            <w:tcMar>
              <w:left w:w="28" w:type="dxa"/>
              <w:right w:w="28" w:type="dxa"/>
            </w:tcMar>
            <w:vAlign w:val="center"/>
          </w:tcPr>
          <w:p w14:paraId="25777029">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255DA46B">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05518EEE">
            <w:pPr>
              <w:pStyle w:val="20"/>
              <w:spacing w:line="240" w:lineRule="exact"/>
              <w:ind w:firstLine="0" w:firstLineChars="0"/>
              <w:jc w:val="center"/>
              <w:rPr>
                <w:rFonts w:ascii="Times New Roman" w:hAnsi="Times New Roman"/>
                <w:color w:val="auto"/>
                <w:kern w:val="0"/>
                <w:szCs w:val="21"/>
              </w:rPr>
            </w:pPr>
          </w:p>
        </w:tc>
        <w:tc>
          <w:tcPr>
            <w:tcW w:w="351" w:type="pct"/>
            <w:vMerge w:val="continue"/>
            <w:tcBorders>
              <w:tl2br w:val="nil"/>
              <w:tr2bl w:val="nil"/>
            </w:tcBorders>
            <w:tcMar>
              <w:left w:w="28" w:type="dxa"/>
              <w:right w:w="28" w:type="dxa"/>
            </w:tcMar>
            <w:vAlign w:val="center"/>
          </w:tcPr>
          <w:p w14:paraId="46F050BA">
            <w:pPr>
              <w:widowControl/>
              <w:adjustRightInd w:val="0"/>
              <w:snapToGrid w:val="0"/>
              <w:jc w:val="center"/>
              <w:textAlignment w:val="center"/>
              <w:rPr>
                <w:color w:val="auto"/>
              </w:rPr>
            </w:pPr>
          </w:p>
        </w:tc>
        <w:tc>
          <w:tcPr>
            <w:tcW w:w="351" w:type="pct"/>
            <w:vMerge w:val="continue"/>
            <w:tcBorders>
              <w:tl2br w:val="nil"/>
              <w:tr2bl w:val="nil"/>
            </w:tcBorders>
            <w:tcMar>
              <w:left w:w="28" w:type="dxa"/>
              <w:right w:w="28" w:type="dxa"/>
            </w:tcMar>
            <w:vAlign w:val="center"/>
          </w:tcPr>
          <w:p w14:paraId="773045D2">
            <w:pPr>
              <w:spacing w:line="240" w:lineRule="exact"/>
              <w:jc w:val="center"/>
              <w:rPr>
                <w:color w:val="auto"/>
                <w:szCs w:val="21"/>
              </w:rPr>
            </w:pPr>
          </w:p>
        </w:tc>
        <w:tc>
          <w:tcPr>
            <w:tcW w:w="233" w:type="pct"/>
            <w:vMerge w:val="continue"/>
            <w:tcBorders>
              <w:tl2br w:val="nil"/>
              <w:tr2bl w:val="nil"/>
            </w:tcBorders>
            <w:tcMar>
              <w:left w:w="28" w:type="dxa"/>
              <w:right w:w="28" w:type="dxa"/>
            </w:tcMar>
            <w:vAlign w:val="center"/>
          </w:tcPr>
          <w:p w14:paraId="52F46173">
            <w:pPr>
              <w:adjustRightInd w:val="0"/>
              <w:snapToGrid w:val="0"/>
              <w:jc w:val="center"/>
              <w:rPr>
                <w:color w:val="auto"/>
                <w:szCs w:val="21"/>
              </w:rPr>
            </w:pPr>
          </w:p>
        </w:tc>
        <w:tc>
          <w:tcPr>
            <w:tcW w:w="446" w:type="pct"/>
            <w:tcBorders>
              <w:top w:val="single" w:color="auto" w:sz="4" w:space="0"/>
              <w:tl2br w:val="nil"/>
              <w:tr2bl w:val="nil"/>
            </w:tcBorders>
            <w:tcMar>
              <w:left w:w="28" w:type="dxa"/>
              <w:right w:w="28" w:type="dxa"/>
            </w:tcMar>
            <w:vAlign w:val="center"/>
          </w:tcPr>
          <w:p w14:paraId="15AF08FC">
            <w:pPr>
              <w:pStyle w:val="105"/>
              <w:spacing w:line="240" w:lineRule="exact"/>
              <w:rPr>
                <w:rFonts w:hint="eastAsia" w:eastAsia="宋体"/>
                <w:color w:val="auto"/>
                <w:sz w:val="21"/>
                <w:szCs w:val="21"/>
                <w:lang w:val="en-US" w:eastAsia="zh-CN"/>
              </w:rPr>
            </w:pPr>
            <w:r>
              <w:rPr>
                <w:rFonts w:hint="eastAsia"/>
                <w:color w:val="auto"/>
                <w:sz w:val="21"/>
                <w:szCs w:val="21"/>
                <w:lang w:val="en-US" w:eastAsia="zh-CN"/>
              </w:rPr>
              <w:t>颗粒物</w:t>
            </w:r>
          </w:p>
        </w:tc>
        <w:tc>
          <w:tcPr>
            <w:tcW w:w="358" w:type="pct"/>
            <w:tcBorders>
              <w:top w:val="single" w:color="000000" w:sz="8" w:space="0"/>
              <w:bottom w:val="single" w:color="auto" w:sz="4" w:space="0"/>
              <w:tl2br w:val="nil"/>
              <w:tr2bl w:val="nil"/>
            </w:tcBorders>
            <w:tcMar>
              <w:left w:w="28" w:type="dxa"/>
              <w:right w:w="28" w:type="dxa"/>
            </w:tcMar>
            <w:vAlign w:val="center"/>
          </w:tcPr>
          <w:p w14:paraId="2531CB0C">
            <w:pPr>
              <w:widowControl/>
              <w:snapToGrid w:val="0"/>
              <w:jc w:val="center"/>
              <w:rPr>
                <w:rFonts w:hint="default" w:eastAsia="宋体"/>
                <w:color w:val="auto"/>
                <w:szCs w:val="21"/>
                <w:lang w:val="en-US" w:eastAsia="zh-CN"/>
              </w:rPr>
            </w:pPr>
            <w:r>
              <w:rPr>
                <w:rFonts w:hint="eastAsia"/>
                <w:color w:val="auto"/>
                <w:szCs w:val="21"/>
                <w:lang w:val="en-US" w:eastAsia="zh-CN"/>
              </w:rPr>
              <w:t>0.0165</w:t>
            </w:r>
          </w:p>
        </w:tc>
      </w:tr>
      <w:tr w14:paraId="1CF3D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restart"/>
            <w:tcBorders>
              <w:tl2br w:val="nil"/>
              <w:tr2bl w:val="nil"/>
            </w:tcBorders>
            <w:vAlign w:val="center"/>
          </w:tcPr>
          <w:p w14:paraId="2ABD94DF">
            <w:pPr>
              <w:widowControl/>
              <w:jc w:val="center"/>
              <w:rPr>
                <w:rFonts w:hint="default"/>
                <w:color w:val="auto"/>
                <w:kern w:val="0"/>
                <w:szCs w:val="21"/>
                <w:lang w:val="en-US"/>
              </w:rPr>
            </w:pPr>
            <w:r>
              <w:rPr>
                <w:rFonts w:hint="eastAsia"/>
                <w:color w:val="auto"/>
                <w:kern w:val="0"/>
                <w:szCs w:val="21"/>
                <w:lang w:val="en-US" w:eastAsia="zh-CN"/>
              </w:rPr>
              <w:t>DA002</w:t>
            </w:r>
          </w:p>
        </w:tc>
        <w:tc>
          <w:tcPr>
            <w:tcW w:w="505" w:type="pct"/>
            <w:vMerge w:val="restart"/>
            <w:tcBorders>
              <w:tl2br w:val="nil"/>
              <w:tr2bl w:val="nil"/>
            </w:tcBorders>
            <w:vAlign w:val="center"/>
          </w:tcPr>
          <w:p w14:paraId="302919D5">
            <w:pPr>
              <w:widowControl/>
              <w:jc w:val="center"/>
              <w:textAlignment w:val="center"/>
              <w:rPr>
                <w:color w:val="auto"/>
                <w:szCs w:val="21"/>
              </w:rPr>
            </w:pPr>
            <w:r>
              <w:rPr>
                <w:rFonts w:hint="eastAsia"/>
                <w:color w:val="auto"/>
                <w:szCs w:val="21"/>
                <w:lang w:val="en-US" w:eastAsia="zh-CN"/>
              </w:rPr>
              <w:t>生物质蒸汽锅炉</w:t>
            </w:r>
            <w:r>
              <w:rPr>
                <w:rFonts w:hint="eastAsia"/>
                <w:color w:val="auto"/>
                <w:szCs w:val="21"/>
              </w:rPr>
              <w:t>废气</w:t>
            </w:r>
          </w:p>
        </w:tc>
        <w:tc>
          <w:tcPr>
            <w:tcW w:w="1612" w:type="dxa"/>
            <w:vMerge w:val="restart"/>
            <w:tcBorders>
              <w:tl2br w:val="nil"/>
              <w:tr2bl w:val="nil"/>
            </w:tcBorders>
            <w:tcMar>
              <w:left w:w="28" w:type="dxa"/>
              <w:right w:w="28" w:type="dxa"/>
            </w:tcMar>
            <w:vAlign w:val="center"/>
          </w:tcPr>
          <w:p w14:paraId="225A6470">
            <w:pPr>
              <w:adjustRightInd w:val="0"/>
              <w:snapToGrid w:val="0"/>
              <w:jc w:val="center"/>
              <w:rPr>
                <w:rFonts w:hint="eastAsia" w:eastAsia="宋体"/>
                <w:color w:val="auto"/>
                <w:szCs w:val="21"/>
                <w:lang w:eastAsia="zh-CN"/>
              </w:rPr>
            </w:pPr>
            <w:r>
              <w:rPr>
                <w:rFonts w:hint="eastAsia" w:eastAsia="宋体"/>
                <w:color w:val="auto"/>
                <w:szCs w:val="21"/>
                <w:lang w:eastAsia="zh-CN"/>
              </w:rPr>
              <w:t>120.650492</w:t>
            </w:r>
          </w:p>
        </w:tc>
        <w:tc>
          <w:tcPr>
            <w:tcW w:w="1615" w:type="dxa"/>
            <w:vMerge w:val="restart"/>
            <w:tcBorders>
              <w:tl2br w:val="nil"/>
              <w:tr2bl w:val="nil"/>
            </w:tcBorders>
            <w:tcMar>
              <w:left w:w="28" w:type="dxa"/>
              <w:right w:w="28" w:type="dxa"/>
            </w:tcMar>
            <w:vAlign w:val="center"/>
          </w:tcPr>
          <w:p w14:paraId="75EFA98A">
            <w:pPr>
              <w:adjustRightInd w:val="0"/>
              <w:snapToGrid w:val="0"/>
              <w:jc w:val="center"/>
              <w:rPr>
                <w:rFonts w:hint="eastAsia" w:eastAsia="宋体"/>
                <w:color w:val="auto"/>
                <w:szCs w:val="21"/>
                <w:lang w:eastAsia="zh-CN"/>
              </w:rPr>
            </w:pPr>
            <w:r>
              <w:rPr>
                <w:rFonts w:hint="eastAsia" w:eastAsia="宋体"/>
                <w:color w:val="auto"/>
                <w:szCs w:val="21"/>
                <w:lang w:eastAsia="zh-CN"/>
              </w:rPr>
              <w:t>32.139581</w:t>
            </w:r>
          </w:p>
        </w:tc>
        <w:tc>
          <w:tcPr>
            <w:tcW w:w="504" w:type="pct"/>
            <w:vMerge w:val="restart"/>
            <w:tcBorders>
              <w:tl2br w:val="nil"/>
              <w:tr2bl w:val="nil"/>
            </w:tcBorders>
            <w:tcMar>
              <w:left w:w="28" w:type="dxa"/>
              <w:right w:w="28" w:type="dxa"/>
            </w:tcMar>
            <w:vAlign w:val="center"/>
          </w:tcPr>
          <w:p w14:paraId="619D868F">
            <w:pPr>
              <w:adjustRightInd w:val="0"/>
              <w:snapToGrid w:val="0"/>
              <w:jc w:val="center"/>
              <w:rPr>
                <w:rFonts w:hint="eastAsia" w:eastAsia="宋体"/>
                <w:color w:val="auto"/>
                <w:szCs w:val="21"/>
                <w:lang w:eastAsia="zh-CN"/>
              </w:rPr>
            </w:pPr>
            <w:r>
              <w:rPr>
                <w:rFonts w:hint="eastAsia"/>
                <w:color w:val="auto"/>
                <w:szCs w:val="21"/>
                <w:lang w:val="en-US" w:eastAsia="zh-CN"/>
              </w:rPr>
              <w:t>5</w:t>
            </w:r>
          </w:p>
        </w:tc>
        <w:tc>
          <w:tcPr>
            <w:tcW w:w="341" w:type="pct"/>
            <w:vMerge w:val="restart"/>
            <w:tcBorders>
              <w:tl2br w:val="nil"/>
              <w:tr2bl w:val="nil"/>
            </w:tcBorders>
            <w:tcMar>
              <w:left w:w="28" w:type="dxa"/>
              <w:right w:w="28" w:type="dxa"/>
            </w:tcMar>
            <w:vAlign w:val="center"/>
          </w:tcPr>
          <w:p w14:paraId="5C78B674">
            <w:pPr>
              <w:adjustRightInd w:val="0"/>
              <w:snapToGrid w:val="0"/>
              <w:jc w:val="center"/>
              <w:rPr>
                <w:rFonts w:hint="default" w:eastAsia="宋体"/>
                <w:color w:val="auto"/>
                <w:szCs w:val="21"/>
                <w:lang w:val="en-US" w:eastAsia="zh-CN"/>
              </w:rPr>
            </w:pPr>
            <w:r>
              <w:rPr>
                <w:rFonts w:hint="eastAsia"/>
                <w:color w:val="auto"/>
                <w:szCs w:val="21"/>
                <w:lang w:val="en-US" w:eastAsia="zh-CN"/>
              </w:rPr>
              <w:t>35</w:t>
            </w:r>
          </w:p>
        </w:tc>
        <w:tc>
          <w:tcPr>
            <w:tcW w:w="455" w:type="pct"/>
            <w:vMerge w:val="restart"/>
            <w:tcBorders>
              <w:tl2br w:val="nil"/>
              <w:tr2bl w:val="nil"/>
            </w:tcBorders>
            <w:tcMar>
              <w:left w:w="28" w:type="dxa"/>
              <w:right w:w="28" w:type="dxa"/>
            </w:tcMar>
            <w:vAlign w:val="center"/>
          </w:tcPr>
          <w:p w14:paraId="3DC387C6">
            <w:pPr>
              <w:pStyle w:val="20"/>
              <w:spacing w:line="24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0.4</w:t>
            </w:r>
          </w:p>
        </w:tc>
        <w:tc>
          <w:tcPr>
            <w:tcW w:w="351" w:type="pct"/>
            <w:vMerge w:val="restart"/>
            <w:tcBorders>
              <w:tl2br w:val="nil"/>
              <w:tr2bl w:val="nil"/>
            </w:tcBorders>
            <w:tcMar>
              <w:left w:w="28" w:type="dxa"/>
              <w:right w:w="28" w:type="dxa"/>
            </w:tcMar>
            <w:vAlign w:val="center"/>
          </w:tcPr>
          <w:p w14:paraId="2B4D02A6">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rPr>
              <w:t>15.</w:t>
            </w:r>
            <w:r>
              <w:rPr>
                <w:rFonts w:hint="eastAsia"/>
                <w:color w:val="auto"/>
                <w:kern w:val="0"/>
                <w:szCs w:val="21"/>
                <w:lang w:val="en-US" w:eastAsia="zh-CN"/>
              </w:rPr>
              <w:t>47</w:t>
            </w:r>
          </w:p>
        </w:tc>
        <w:tc>
          <w:tcPr>
            <w:tcW w:w="351" w:type="pct"/>
            <w:vMerge w:val="restart"/>
            <w:tcBorders>
              <w:tl2br w:val="nil"/>
              <w:tr2bl w:val="nil"/>
            </w:tcBorders>
            <w:tcMar>
              <w:left w:w="28" w:type="dxa"/>
              <w:right w:w="28" w:type="dxa"/>
            </w:tcMar>
            <w:vAlign w:val="center"/>
          </w:tcPr>
          <w:p w14:paraId="367F781B">
            <w:pPr>
              <w:spacing w:line="240" w:lineRule="exact"/>
              <w:jc w:val="center"/>
              <w:rPr>
                <w:rFonts w:hint="default" w:eastAsia="宋体"/>
                <w:color w:val="auto"/>
                <w:szCs w:val="21"/>
                <w:lang w:val="en-US" w:eastAsia="zh-CN"/>
              </w:rPr>
            </w:pPr>
            <w:r>
              <w:rPr>
                <w:rFonts w:hint="eastAsia"/>
                <w:color w:val="auto"/>
                <w:szCs w:val="21"/>
                <w:lang w:val="en-US" w:eastAsia="zh-CN"/>
              </w:rPr>
              <w:t>25</w:t>
            </w:r>
          </w:p>
        </w:tc>
        <w:tc>
          <w:tcPr>
            <w:tcW w:w="233" w:type="pct"/>
            <w:vMerge w:val="restart"/>
            <w:tcBorders>
              <w:tl2br w:val="nil"/>
              <w:tr2bl w:val="nil"/>
            </w:tcBorders>
            <w:tcMar>
              <w:left w:w="28" w:type="dxa"/>
              <w:right w:w="28" w:type="dxa"/>
            </w:tcMar>
            <w:vAlign w:val="center"/>
          </w:tcPr>
          <w:p w14:paraId="1B5749E5">
            <w:pPr>
              <w:adjustRightInd w:val="0"/>
              <w:snapToGrid w:val="0"/>
              <w:jc w:val="center"/>
              <w:rPr>
                <w:color w:val="auto"/>
                <w:szCs w:val="21"/>
              </w:rPr>
            </w:pPr>
            <w:r>
              <w:rPr>
                <w:color w:val="auto"/>
                <w:szCs w:val="21"/>
              </w:rPr>
              <w:t>正常</w:t>
            </w:r>
          </w:p>
        </w:tc>
        <w:tc>
          <w:tcPr>
            <w:tcW w:w="446" w:type="pct"/>
            <w:tcBorders>
              <w:tl2br w:val="nil"/>
              <w:tr2bl w:val="nil"/>
            </w:tcBorders>
            <w:tcMar>
              <w:left w:w="28" w:type="dxa"/>
              <w:right w:w="28" w:type="dxa"/>
            </w:tcMar>
            <w:vAlign w:val="center"/>
          </w:tcPr>
          <w:p w14:paraId="02096A8F">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358" w:type="pct"/>
            <w:tcBorders>
              <w:tl2br w:val="nil"/>
              <w:tr2bl w:val="nil"/>
            </w:tcBorders>
            <w:tcMar>
              <w:left w:w="28" w:type="dxa"/>
              <w:right w:w="28" w:type="dxa"/>
            </w:tcMar>
            <w:vAlign w:val="center"/>
          </w:tcPr>
          <w:p w14:paraId="3329218A">
            <w:pPr>
              <w:widowControl/>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0.099</w:t>
            </w:r>
          </w:p>
        </w:tc>
      </w:tr>
      <w:tr w14:paraId="2E43A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42BD7064">
            <w:pPr>
              <w:widowControl/>
              <w:jc w:val="center"/>
              <w:rPr>
                <w:color w:val="auto"/>
                <w:kern w:val="0"/>
                <w:szCs w:val="21"/>
              </w:rPr>
            </w:pPr>
          </w:p>
        </w:tc>
        <w:tc>
          <w:tcPr>
            <w:tcW w:w="505" w:type="pct"/>
            <w:vMerge w:val="continue"/>
            <w:tcBorders>
              <w:tl2br w:val="nil"/>
              <w:tr2bl w:val="nil"/>
            </w:tcBorders>
            <w:vAlign w:val="center"/>
          </w:tcPr>
          <w:p w14:paraId="625D13E8">
            <w:pPr>
              <w:widowControl/>
              <w:jc w:val="center"/>
              <w:textAlignment w:val="center"/>
              <w:rPr>
                <w:color w:val="auto"/>
                <w:szCs w:val="21"/>
              </w:rPr>
            </w:pPr>
          </w:p>
        </w:tc>
        <w:tc>
          <w:tcPr>
            <w:tcW w:w="575" w:type="pct"/>
            <w:vMerge w:val="continue"/>
            <w:tcBorders>
              <w:tl2br w:val="nil"/>
              <w:tr2bl w:val="nil"/>
            </w:tcBorders>
            <w:tcMar>
              <w:left w:w="28" w:type="dxa"/>
              <w:right w:w="28" w:type="dxa"/>
            </w:tcMar>
            <w:vAlign w:val="center"/>
          </w:tcPr>
          <w:p w14:paraId="6A9857EF">
            <w:pPr>
              <w:adjustRightInd w:val="0"/>
              <w:snapToGrid w:val="0"/>
              <w:jc w:val="center"/>
              <w:rPr>
                <w:rFonts w:hint="eastAsia" w:eastAsia="宋体"/>
                <w:color w:val="auto"/>
                <w:szCs w:val="21"/>
                <w:lang w:eastAsia="zh-CN"/>
              </w:rPr>
            </w:pPr>
          </w:p>
        </w:tc>
        <w:tc>
          <w:tcPr>
            <w:tcW w:w="576" w:type="pct"/>
            <w:vMerge w:val="continue"/>
            <w:tcBorders>
              <w:tl2br w:val="nil"/>
              <w:tr2bl w:val="nil"/>
            </w:tcBorders>
            <w:tcMar>
              <w:left w:w="28" w:type="dxa"/>
              <w:right w:w="28" w:type="dxa"/>
            </w:tcMar>
            <w:vAlign w:val="center"/>
          </w:tcPr>
          <w:p w14:paraId="7F417BFC">
            <w:pPr>
              <w:adjustRightInd w:val="0"/>
              <w:snapToGrid w:val="0"/>
              <w:jc w:val="center"/>
              <w:rPr>
                <w:rFonts w:hint="eastAsia" w:eastAsia="宋体"/>
                <w:color w:val="auto"/>
                <w:szCs w:val="21"/>
                <w:lang w:eastAsia="zh-CN"/>
              </w:rPr>
            </w:pPr>
          </w:p>
        </w:tc>
        <w:tc>
          <w:tcPr>
            <w:tcW w:w="504" w:type="pct"/>
            <w:vMerge w:val="continue"/>
            <w:tcBorders>
              <w:tl2br w:val="nil"/>
              <w:tr2bl w:val="nil"/>
            </w:tcBorders>
            <w:tcMar>
              <w:left w:w="28" w:type="dxa"/>
              <w:right w:w="28" w:type="dxa"/>
            </w:tcMar>
            <w:vAlign w:val="center"/>
          </w:tcPr>
          <w:p w14:paraId="48B8937D">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65A41B9F">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7F2E23BC">
            <w:pPr>
              <w:pStyle w:val="20"/>
              <w:spacing w:line="240" w:lineRule="exact"/>
              <w:ind w:firstLine="0" w:firstLineChars="0"/>
              <w:jc w:val="center"/>
              <w:rPr>
                <w:rFonts w:ascii="Times New Roman" w:hAnsi="Times New Roman"/>
                <w:color w:val="auto"/>
                <w:szCs w:val="21"/>
              </w:rPr>
            </w:pPr>
          </w:p>
        </w:tc>
        <w:tc>
          <w:tcPr>
            <w:tcW w:w="351" w:type="pct"/>
            <w:vMerge w:val="continue"/>
            <w:tcBorders>
              <w:tl2br w:val="nil"/>
              <w:tr2bl w:val="nil"/>
            </w:tcBorders>
            <w:tcMar>
              <w:left w:w="28" w:type="dxa"/>
              <w:right w:w="28" w:type="dxa"/>
            </w:tcMar>
            <w:vAlign w:val="center"/>
          </w:tcPr>
          <w:p w14:paraId="015FB055">
            <w:pPr>
              <w:widowControl/>
              <w:adjustRightInd w:val="0"/>
              <w:snapToGrid w:val="0"/>
              <w:jc w:val="center"/>
              <w:textAlignment w:val="center"/>
              <w:rPr>
                <w:color w:val="auto"/>
                <w:kern w:val="0"/>
                <w:szCs w:val="21"/>
              </w:rPr>
            </w:pPr>
          </w:p>
        </w:tc>
        <w:tc>
          <w:tcPr>
            <w:tcW w:w="351" w:type="pct"/>
            <w:vMerge w:val="continue"/>
            <w:tcBorders>
              <w:tl2br w:val="nil"/>
              <w:tr2bl w:val="nil"/>
            </w:tcBorders>
            <w:tcMar>
              <w:left w:w="28" w:type="dxa"/>
              <w:right w:w="28" w:type="dxa"/>
            </w:tcMar>
            <w:vAlign w:val="center"/>
          </w:tcPr>
          <w:p w14:paraId="5B9325B2">
            <w:pPr>
              <w:spacing w:line="240" w:lineRule="exact"/>
              <w:jc w:val="center"/>
              <w:rPr>
                <w:color w:val="auto"/>
                <w:szCs w:val="21"/>
              </w:rPr>
            </w:pPr>
          </w:p>
        </w:tc>
        <w:tc>
          <w:tcPr>
            <w:tcW w:w="233" w:type="pct"/>
            <w:vMerge w:val="continue"/>
            <w:tcBorders>
              <w:tl2br w:val="nil"/>
              <w:tr2bl w:val="nil"/>
            </w:tcBorders>
            <w:tcMar>
              <w:left w:w="28" w:type="dxa"/>
              <w:right w:w="28" w:type="dxa"/>
            </w:tcMar>
            <w:vAlign w:val="center"/>
          </w:tcPr>
          <w:p w14:paraId="4FF8D2D9">
            <w:pPr>
              <w:adjustRightInd w:val="0"/>
              <w:snapToGrid w:val="0"/>
              <w:jc w:val="center"/>
              <w:rPr>
                <w:color w:val="auto"/>
                <w:szCs w:val="21"/>
              </w:rPr>
            </w:pPr>
          </w:p>
        </w:tc>
        <w:tc>
          <w:tcPr>
            <w:tcW w:w="446" w:type="pct"/>
            <w:tcBorders>
              <w:tl2br w:val="nil"/>
              <w:tr2bl w:val="nil"/>
            </w:tcBorders>
            <w:tcMar>
              <w:left w:w="28" w:type="dxa"/>
              <w:right w:w="28" w:type="dxa"/>
            </w:tcMar>
            <w:vAlign w:val="center"/>
          </w:tcPr>
          <w:p w14:paraId="2072EFA0">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NO</w:t>
            </w:r>
            <w:r>
              <w:rPr>
                <w:rFonts w:hint="eastAsia"/>
                <w:color w:val="auto"/>
                <w:sz w:val="21"/>
                <w:szCs w:val="21"/>
                <w:vertAlign w:val="subscript"/>
                <w:lang w:val="en-US" w:eastAsia="zh-CN"/>
              </w:rPr>
              <w:t>x</w:t>
            </w:r>
          </w:p>
        </w:tc>
        <w:tc>
          <w:tcPr>
            <w:tcW w:w="358" w:type="pct"/>
            <w:tcBorders>
              <w:tl2br w:val="nil"/>
              <w:tr2bl w:val="nil"/>
            </w:tcBorders>
            <w:tcMar>
              <w:left w:w="28" w:type="dxa"/>
              <w:right w:w="28" w:type="dxa"/>
            </w:tcMar>
            <w:vAlign w:val="center"/>
          </w:tcPr>
          <w:p w14:paraId="3DDF54A1">
            <w:pPr>
              <w:widowControl/>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0.138</w:t>
            </w:r>
          </w:p>
        </w:tc>
      </w:tr>
      <w:tr w14:paraId="3FA4C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15D2B7D6">
            <w:pPr>
              <w:widowControl/>
              <w:jc w:val="center"/>
              <w:rPr>
                <w:color w:val="auto"/>
                <w:kern w:val="0"/>
                <w:szCs w:val="21"/>
              </w:rPr>
            </w:pPr>
          </w:p>
        </w:tc>
        <w:tc>
          <w:tcPr>
            <w:tcW w:w="505" w:type="pct"/>
            <w:vMerge w:val="continue"/>
            <w:tcBorders>
              <w:tl2br w:val="nil"/>
              <w:tr2bl w:val="nil"/>
            </w:tcBorders>
            <w:vAlign w:val="center"/>
          </w:tcPr>
          <w:p w14:paraId="57041A2D">
            <w:pPr>
              <w:widowControl/>
              <w:jc w:val="center"/>
              <w:textAlignment w:val="center"/>
              <w:rPr>
                <w:color w:val="auto"/>
                <w:szCs w:val="21"/>
              </w:rPr>
            </w:pPr>
          </w:p>
        </w:tc>
        <w:tc>
          <w:tcPr>
            <w:tcW w:w="575" w:type="pct"/>
            <w:vMerge w:val="continue"/>
            <w:tcBorders>
              <w:tl2br w:val="nil"/>
              <w:tr2bl w:val="nil"/>
            </w:tcBorders>
            <w:tcMar>
              <w:left w:w="28" w:type="dxa"/>
              <w:right w:w="28" w:type="dxa"/>
            </w:tcMar>
            <w:vAlign w:val="center"/>
          </w:tcPr>
          <w:p w14:paraId="694D4489">
            <w:pPr>
              <w:adjustRightInd w:val="0"/>
              <w:snapToGrid w:val="0"/>
              <w:jc w:val="center"/>
              <w:rPr>
                <w:rFonts w:hint="eastAsia" w:eastAsia="宋体"/>
                <w:color w:val="auto"/>
                <w:szCs w:val="21"/>
                <w:lang w:eastAsia="zh-CN"/>
              </w:rPr>
            </w:pPr>
          </w:p>
        </w:tc>
        <w:tc>
          <w:tcPr>
            <w:tcW w:w="576" w:type="pct"/>
            <w:vMerge w:val="continue"/>
            <w:tcBorders>
              <w:tl2br w:val="nil"/>
              <w:tr2bl w:val="nil"/>
            </w:tcBorders>
            <w:tcMar>
              <w:left w:w="28" w:type="dxa"/>
              <w:right w:w="28" w:type="dxa"/>
            </w:tcMar>
            <w:vAlign w:val="center"/>
          </w:tcPr>
          <w:p w14:paraId="1542AAA8">
            <w:pPr>
              <w:adjustRightInd w:val="0"/>
              <w:snapToGrid w:val="0"/>
              <w:jc w:val="center"/>
              <w:rPr>
                <w:rFonts w:hint="eastAsia" w:eastAsia="宋体"/>
                <w:color w:val="auto"/>
                <w:szCs w:val="21"/>
                <w:lang w:eastAsia="zh-CN"/>
              </w:rPr>
            </w:pPr>
          </w:p>
        </w:tc>
        <w:tc>
          <w:tcPr>
            <w:tcW w:w="504" w:type="pct"/>
            <w:vMerge w:val="continue"/>
            <w:tcBorders>
              <w:tl2br w:val="nil"/>
              <w:tr2bl w:val="nil"/>
            </w:tcBorders>
            <w:tcMar>
              <w:left w:w="28" w:type="dxa"/>
              <w:right w:w="28" w:type="dxa"/>
            </w:tcMar>
            <w:vAlign w:val="center"/>
          </w:tcPr>
          <w:p w14:paraId="120BB1D3">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1A24DF64">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39268075">
            <w:pPr>
              <w:pStyle w:val="20"/>
              <w:spacing w:line="240" w:lineRule="exact"/>
              <w:ind w:firstLine="0" w:firstLineChars="0"/>
              <w:jc w:val="center"/>
              <w:rPr>
                <w:rFonts w:ascii="Times New Roman" w:hAnsi="Times New Roman"/>
                <w:color w:val="auto"/>
                <w:szCs w:val="21"/>
              </w:rPr>
            </w:pPr>
          </w:p>
        </w:tc>
        <w:tc>
          <w:tcPr>
            <w:tcW w:w="351" w:type="pct"/>
            <w:vMerge w:val="continue"/>
            <w:tcBorders>
              <w:tl2br w:val="nil"/>
              <w:tr2bl w:val="nil"/>
            </w:tcBorders>
            <w:tcMar>
              <w:left w:w="28" w:type="dxa"/>
              <w:right w:w="28" w:type="dxa"/>
            </w:tcMar>
            <w:vAlign w:val="center"/>
          </w:tcPr>
          <w:p w14:paraId="66F2E1F9">
            <w:pPr>
              <w:widowControl/>
              <w:adjustRightInd w:val="0"/>
              <w:snapToGrid w:val="0"/>
              <w:jc w:val="center"/>
              <w:textAlignment w:val="center"/>
              <w:rPr>
                <w:color w:val="auto"/>
                <w:kern w:val="0"/>
                <w:szCs w:val="21"/>
              </w:rPr>
            </w:pPr>
          </w:p>
        </w:tc>
        <w:tc>
          <w:tcPr>
            <w:tcW w:w="351" w:type="pct"/>
            <w:vMerge w:val="continue"/>
            <w:tcBorders>
              <w:tl2br w:val="nil"/>
              <w:tr2bl w:val="nil"/>
            </w:tcBorders>
            <w:tcMar>
              <w:left w:w="28" w:type="dxa"/>
              <w:right w:w="28" w:type="dxa"/>
            </w:tcMar>
            <w:vAlign w:val="center"/>
          </w:tcPr>
          <w:p w14:paraId="2FD1F4DE">
            <w:pPr>
              <w:spacing w:line="240" w:lineRule="exact"/>
              <w:jc w:val="center"/>
              <w:rPr>
                <w:color w:val="auto"/>
                <w:szCs w:val="21"/>
              </w:rPr>
            </w:pPr>
          </w:p>
        </w:tc>
        <w:tc>
          <w:tcPr>
            <w:tcW w:w="233" w:type="pct"/>
            <w:vMerge w:val="continue"/>
            <w:tcBorders>
              <w:tl2br w:val="nil"/>
              <w:tr2bl w:val="nil"/>
            </w:tcBorders>
            <w:tcMar>
              <w:left w:w="28" w:type="dxa"/>
              <w:right w:w="28" w:type="dxa"/>
            </w:tcMar>
            <w:vAlign w:val="center"/>
          </w:tcPr>
          <w:p w14:paraId="118130A2">
            <w:pPr>
              <w:adjustRightInd w:val="0"/>
              <w:snapToGrid w:val="0"/>
              <w:jc w:val="center"/>
              <w:rPr>
                <w:color w:val="auto"/>
                <w:szCs w:val="21"/>
              </w:rPr>
            </w:pPr>
          </w:p>
        </w:tc>
        <w:tc>
          <w:tcPr>
            <w:tcW w:w="446" w:type="pct"/>
            <w:tcBorders>
              <w:tl2br w:val="nil"/>
              <w:tr2bl w:val="nil"/>
            </w:tcBorders>
            <w:tcMar>
              <w:left w:w="28" w:type="dxa"/>
              <w:right w:w="28" w:type="dxa"/>
            </w:tcMar>
            <w:vAlign w:val="center"/>
          </w:tcPr>
          <w:p w14:paraId="0DB15778">
            <w:pPr>
              <w:pStyle w:val="105"/>
              <w:spacing w:line="240" w:lineRule="exact"/>
              <w:rPr>
                <w:rFonts w:hint="eastAsia" w:eastAsia="宋体"/>
                <w:color w:val="auto"/>
                <w:sz w:val="21"/>
                <w:szCs w:val="21"/>
                <w:lang w:val="en-US" w:eastAsia="zh-CN"/>
              </w:rPr>
            </w:pPr>
            <w:r>
              <w:rPr>
                <w:rFonts w:hint="eastAsia"/>
                <w:color w:val="auto"/>
                <w:sz w:val="21"/>
                <w:szCs w:val="21"/>
                <w:lang w:val="en-US" w:eastAsia="zh-CN"/>
              </w:rPr>
              <w:t>颗粒物</w:t>
            </w:r>
          </w:p>
        </w:tc>
        <w:tc>
          <w:tcPr>
            <w:tcW w:w="358" w:type="pct"/>
            <w:tcBorders>
              <w:tl2br w:val="nil"/>
              <w:tr2bl w:val="nil"/>
            </w:tcBorders>
            <w:tcMar>
              <w:left w:w="28" w:type="dxa"/>
              <w:right w:w="28" w:type="dxa"/>
            </w:tcMar>
            <w:vAlign w:val="center"/>
          </w:tcPr>
          <w:p w14:paraId="61670785">
            <w:pPr>
              <w:widowControl/>
              <w:snapToGrid w:val="0"/>
              <w:jc w:val="center"/>
              <w:rPr>
                <w:rFonts w:hint="default" w:eastAsia="宋体"/>
                <w:color w:val="auto"/>
                <w:szCs w:val="21"/>
                <w:lang w:val="en-US" w:eastAsia="zh-CN"/>
              </w:rPr>
            </w:pPr>
            <w:r>
              <w:rPr>
                <w:rFonts w:hint="eastAsia"/>
                <w:color w:val="auto"/>
                <w:szCs w:val="21"/>
                <w:lang w:val="en-US" w:eastAsia="zh-CN"/>
              </w:rPr>
              <w:t>0.001</w:t>
            </w:r>
          </w:p>
        </w:tc>
      </w:tr>
      <w:tr w14:paraId="0F6FF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0294F0B9">
            <w:pPr>
              <w:widowControl/>
              <w:jc w:val="center"/>
              <w:rPr>
                <w:color w:val="auto"/>
                <w:kern w:val="0"/>
                <w:szCs w:val="21"/>
              </w:rPr>
            </w:pPr>
          </w:p>
        </w:tc>
        <w:tc>
          <w:tcPr>
            <w:tcW w:w="505" w:type="pct"/>
            <w:vMerge w:val="continue"/>
            <w:tcBorders>
              <w:tl2br w:val="nil"/>
              <w:tr2bl w:val="nil"/>
            </w:tcBorders>
            <w:vAlign w:val="center"/>
          </w:tcPr>
          <w:p w14:paraId="71831024">
            <w:pPr>
              <w:widowControl/>
              <w:jc w:val="center"/>
              <w:textAlignment w:val="center"/>
              <w:rPr>
                <w:color w:val="auto"/>
                <w:szCs w:val="21"/>
              </w:rPr>
            </w:pPr>
          </w:p>
        </w:tc>
        <w:tc>
          <w:tcPr>
            <w:tcW w:w="575" w:type="pct"/>
            <w:vMerge w:val="continue"/>
            <w:tcBorders>
              <w:tl2br w:val="nil"/>
              <w:tr2bl w:val="nil"/>
            </w:tcBorders>
            <w:tcMar>
              <w:left w:w="28" w:type="dxa"/>
              <w:right w:w="28" w:type="dxa"/>
            </w:tcMar>
            <w:vAlign w:val="center"/>
          </w:tcPr>
          <w:p w14:paraId="71CD0EF9">
            <w:pPr>
              <w:adjustRightInd w:val="0"/>
              <w:snapToGrid w:val="0"/>
              <w:jc w:val="center"/>
              <w:rPr>
                <w:rFonts w:hint="eastAsia" w:eastAsia="宋体"/>
                <w:color w:val="auto"/>
                <w:szCs w:val="21"/>
                <w:lang w:eastAsia="zh-CN"/>
              </w:rPr>
            </w:pPr>
          </w:p>
        </w:tc>
        <w:tc>
          <w:tcPr>
            <w:tcW w:w="576" w:type="pct"/>
            <w:vMerge w:val="continue"/>
            <w:tcBorders>
              <w:tl2br w:val="nil"/>
              <w:tr2bl w:val="nil"/>
            </w:tcBorders>
            <w:tcMar>
              <w:left w:w="28" w:type="dxa"/>
              <w:right w:w="28" w:type="dxa"/>
            </w:tcMar>
            <w:vAlign w:val="center"/>
          </w:tcPr>
          <w:p w14:paraId="4F4F4A3E">
            <w:pPr>
              <w:adjustRightInd w:val="0"/>
              <w:snapToGrid w:val="0"/>
              <w:jc w:val="center"/>
              <w:rPr>
                <w:rFonts w:hint="eastAsia" w:eastAsia="宋体"/>
                <w:color w:val="auto"/>
                <w:szCs w:val="21"/>
                <w:lang w:eastAsia="zh-CN"/>
              </w:rPr>
            </w:pPr>
          </w:p>
        </w:tc>
        <w:tc>
          <w:tcPr>
            <w:tcW w:w="504" w:type="pct"/>
            <w:vMerge w:val="continue"/>
            <w:tcBorders>
              <w:tl2br w:val="nil"/>
              <w:tr2bl w:val="nil"/>
            </w:tcBorders>
            <w:tcMar>
              <w:left w:w="28" w:type="dxa"/>
              <w:right w:w="28" w:type="dxa"/>
            </w:tcMar>
            <w:vAlign w:val="center"/>
          </w:tcPr>
          <w:p w14:paraId="2AE8250A">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3DFA1840">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72B37266">
            <w:pPr>
              <w:pStyle w:val="20"/>
              <w:spacing w:line="240" w:lineRule="exact"/>
              <w:ind w:firstLine="0" w:firstLineChars="0"/>
              <w:jc w:val="center"/>
              <w:rPr>
                <w:rFonts w:ascii="Times New Roman" w:hAnsi="Times New Roman"/>
                <w:color w:val="auto"/>
                <w:szCs w:val="21"/>
              </w:rPr>
            </w:pPr>
          </w:p>
        </w:tc>
        <w:tc>
          <w:tcPr>
            <w:tcW w:w="351" w:type="pct"/>
            <w:vMerge w:val="continue"/>
            <w:tcBorders>
              <w:tl2br w:val="nil"/>
              <w:tr2bl w:val="nil"/>
            </w:tcBorders>
            <w:tcMar>
              <w:left w:w="28" w:type="dxa"/>
              <w:right w:w="28" w:type="dxa"/>
            </w:tcMar>
            <w:vAlign w:val="center"/>
          </w:tcPr>
          <w:p w14:paraId="4BAF9B6F">
            <w:pPr>
              <w:widowControl/>
              <w:adjustRightInd w:val="0"/>
              <w:snapToGrid w:val="0"/>
              <w:jc w:val="center"/>
              <w:textAlignment w:val="center"/>
              <w:rPr>
                <w:color w:val="auto"/>
                <w:kern w:val="0"/>
                <w:szCs w:val="21"/>
              </w:rPr>
            </w:pPr>
          </w:p>
        </w:tc>
        <w:tc>
          <w:tcPr>
            <w:tcW w:w="351" w:type="pct"/>
            <w:vMerge w:val="continue"/>
            <w:tcBorders>
              <w:tl2br w:val="nil"/>
              <w:tr2bl w:val="nil"/>
            </w:tcBorders>
            <w:tcMar>
              <w:left w:w="28" w:type="dxa"/>
              <w:right w:w="28" w:type="dxa"/>
            </w:tcMar>
            <w:vAlign w:val="center"/>
          </w:tcPr>
          <w:p w14:paraId="097F99C2">
            <w:pPr>
              <w:spacing w:line="240" w:lineRule="exact"/>
              <w:jc w:val="center"/>
              <w:rPr>
                <w:color w:val="auto"/>
                <w:szCs w:val="21"/>
              </w:rPr>
            </w:pPr>
          </w:p>
        </w:tc>
        <w:tc>
          <w:tcPr>
            <w:tcW w:w="233" w:type="pct"/>
            <w:vMerge w:val="continue"/>
            <w:tcBorders>
              <w:tl2br w:val="nil"/>
              <w:tr2bl w:val="nil"/>
            </w:tcBorders>
            <w:tcMar>
              <w:left w:w="28" w:type="dxa"/>
              <w:right w:w="28" w:type="dxa"/>
            </w:tcMar>
            <w:vAlign w:val="center"/>
          </w:tcPr>
          <w:p w14:paraId="67AC809D">
            <w:pPr>
              <w:adjustRightInd w:val="0"/>
              <w:snapToGrid w:val="0"/>
              <w:jc w:val="center"/>
              <w:rPr>
                <w:color w:val="auto"/>
                <w:szCs w:val="21"/>
              </w:rPr>
            </w:pPr>
          </w:p>
        </w:tc>
        <w:tc>
          <w:tcPr>
            <w:tcW w:w="446" w:type="pct"/>
            <w:tcBorders>
              <w:tl2br w:val="nil"/>
              <w:tr2bl w:val="nil"/>
            </w:tcBorders>
            <w:tcMar>
              <w:left w:w="28" w:type="dxa"/>
              <w:right w:w="28" w:type="dxa"/>
            </w:tcMar>
            <w:vAlign w:val="center"/>
          </w:tcPr>
          <w:p w14:paraId="3A30749C">
            <w:pPr>
              <w:pStyle w:val="105"/>
              <w:spacing w:line="240" w:lineRule="exact"/>
              <w:rPr>
                <w:rFonts w:hint="eastAsia" w:eastAsia="宋体"/>
                <w:color w:val="auto"/>
                <w:sz w:val="21"/>
                <w:szCs w:val="21"/>
                <w:lang w:val="en-US" w:eastAsia="zh-CN"/>
              </w:rPr>
            </w:pPr>
            <w:r>
              <w:rPr>
                <w:rFonts w:hint="eastAsia"/>
                <w:color w:val="auto"/>
                <w:sz w:val="21"/>
                <w:szCs w:val="21"/>
                <w:lang w:val="en-US" w:eastAsia="zh-CN"/>
              </w:rPr>
              <w:t>汞</w:t>
            </w:r>
          </w:p>
        </w:tc>
        <w:tc>
          <w:tcPr>
            <w:tcW w:w="358" w:type="pct"/>
            <w:tcBorders>
              <w:tl2br w:val="nil"/>
              <w:tr2bl w:val="nil"/>
            </w:tcBorders>
            <w:tcMar>
              <w:left w:w="28" w:type="dxa"/>
              <w:right w:w="28" w:type="dxa"/>
            </w:tcMar>
            <w:vAlign w:val="center"/>
          </w:tcPr>
          <w:p w14:paraId="6CB2D38B">
            <w:pPr>
              <w:widowControl/>
              <w:snapToGrid w:val="0"/>
              <w:jc w:val="center"/>
              <w:rPr>
                <w:rFonts w:hint="default" w:eastAsia="宋体"/>
                <w:color w:val="auto"/>
                <w:szCs w:val="21"/>
                <w:lang w:val="en-US" w:eastAsia="zh-CN"/>
              </w:rPr>
            </w:pPr>
            <w:r>
              <w:rPr>
                <w:rFonts w:hint="eastAsia"/>
                <w:color w:val="auto"/>
                <w:szCs w:val="21"/>
                <w:lang w:val="en-US" w:eastAsia="zh-CN"/>
              </w:rPr>
              <w:t>0.00011</w:t>
            </w:r>
          </w:p>
        </w:tc>
      </w:tr>
      <w:tr w14:paraId="2AA06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restart"/>
            <w:tcBorders>
              <w:tl2br w:val="nil"/>
              <w:tr2bl w:val="nil"/>
            </w:tcBorders>
            <w:vAlign w:val="center"/>
          </w:tcPr>
          <w:p w14:paraId="295E0879">
            <w:pPr>
              <w:widowControl/>
              <w:jc w:val="center"/>
              <w:rPr>
                <w:rFonts w:hint="default" w:eastAsia="宋体"/>
                <w:color w:val="auto"/>
                <w:kern w:val="0"/>
                <w:szCs w:val="21"/>
                <w:lang w:val="en-US" w:eastAsia="zh-CN"/>
              </w:rPr>
            </w:pPr>
            <w:r>
              <w:rPr>
                <w:rFonts w:hint="eastAsia"/>
                <w:color w:val="auto"/>
                <w:kern w:val="0"/>
                <w:szCs w:val="21"/>
                <w:lang w:val="en-US" w:eastAsia="zh-CN"/>
              </w:rPr>
              <w:t>DA003</w:t>
            </w:r>
          </w:p>
        </w:tc>
        <w:tc>
          <w:tcPr>
            <w:tcW w:w="505" w:type="pct"/>
            <w:vMerge w:val="restart"/>
            <w:tcBorders>
              <w:tl2br w:val="nil"/>
              <w:tr2bl w:val="nil"/>
            </w:tcBorders>
            <w:vAlign w:val="center"/>
          </w:tcPr>
          <w:p w14:paraId="323B18EA">
            <w:pPr>
              <w:widowControl/>
              <w:jc w:val="center"/>
              <w:textAlignment w:val="center"/>
              <w:rPr>
                <w:rFonts w:hint="default" w:eastAsia="宋体"/>
                <w:color w:val="auto"/>
                <w:szCs w:val="21"/>
                <w:lang w:val="en-US" w:eastAsia="zh-CN"/>
              </w:rPr>
            </w:pPr>
            <w:r>
              <w:rPr>
                <w:rFonts w:hint="eastAsia"/>
                <w:color w:val="auto"/>
                <w:szCs w:val="21"/>
                <w:lang w:val="en-US" w:eastAsia="zh-CN"/>
              </w:rPr>
              <w:t>生物质导热油炉废气</w:t>
            </w:r>
          </w:p>
        </w:tc>
        <w:tc>
          <w:tcPr>
            <w:tcW w:w="1612" w:type="dxa"/>
            <w:vMerge w:val="restart"/>
            <w:tcBorders>
              <w:tl2br w:val="nil"/>
              <w:tr2bl w:val="nil"/>
            </w:tcBorders>
            <w:tcMar>
              <w:left w:w="28" w:type="dxa"/>
              <w:right w:w="28" w:type="dxa"/>
            </w:tcMar>
            <w:vAlign w:val="center"/>
          </w:tcPr>
          <w:p w14:paraId="36024E19">
            <w:pPr>
              <w:adjustRightInd w:val="0"/>
              <w:snapToGrid w:val="0"/>
              <w:jc w:val="center"/>
              <w:rPr>
                <w:rFonts w:hint="eastAsia" w:eastAsia="宋体"/>
                <w:color w:val="auto"/>
                <w:szCs w:val="21"/>
                <w:lang w:eastAsia="zh-CN"/>
              </w:rPr>
            </w:pPr>
            <w:r>
              <w:rPr>
                <w:rFonts w:hint="eastAsia" w:eastAsia="宋体"/>
                <w:color w:val="auto"/>
                <w:szCs w:val="21"/>
                <w:lang w:eastAsia="zh-CN"/>
              </w:rPr>
              <w:t>120.650452</w:t>
            </w:r>
          </w:p>
        </w:tc>
        <w:tc>
          <w:tcPr>
            <w:tcW w:w="1615" w:type="dxa"/>
            <w:vMerge w:val="restart"/>
            <w:tcBorders>
              <w:tl2br w:val="nil"/>
              <w:tr2bl w:val="nil"/>
            </w:tcBorders>
            <w:tcMar>
              <w:left w:w="28" w:type="dxa"/>
              <w:right w:w="28" w:type="dxa"/>
            </w:tcMar>
            <w:vAlign w:val="center"/>
          </w:tcPr>
          <w:p w14:paraId="2F1DBBBA">
            <w:pPr>
              <w:adjustRightInd w:val="0"/>
              <w:snapToGrid w:val="0"/>
              <w:jc w:val="center"/>
              <w:rPr>
                <w:rFonts w:hint="eastAsia" w:eastAsia="宋体"/>
                <w:color w:val="auto"/>
                <w:szCs w:val="21"/>
                <w:lang w:eastAsia="zh-CN"/>
              </w:rPr>
            </w:pPr>
            <w:r>
              <w:rPr>
                <w:rFonts w:hint="eastAsia" w:eastAsia="宋体"/>
                <w:color w:val="auto"/>
                <w:szCs w:val="21"/>
                <w:lang w:eastAsia="zh-CN"/>
              </w:rPr>
              <w:t>32.139684</w:t>
            </w:r>
          </w:p>
        </w:tc>
        <w:tc>
          <w:tcPr>
            <w:tcW w:w="504" w:type="pct"/>
            <w:vMerge w:val="restart"/>
            <w:tcBorders>
              <w:tl2br w:val="nil"/>
              <w:tr2bl w:val="nil"/>
            </w:tcBorders>
            <w:tcMar>
              <w:left w:w="28" w:type="dxa"/>
              <w:right w:w="28" w:type="dxa"/>
            </w:tcMar>
            <w:vAlign w:val="center"/>
          </w:tcPr>
          <w:p w14:paraId="2A5F3BD6">
            <w:pPr>
              <w:adjustRightInd w:val="0"/>
              <w:snapToGrid w:val="0"/>
              <w:jc w:val="center"/>
              <w:rPr>
                <w:rFonts w:hint="eastAsia" w:eastAsia="宋体"/>
                <w:color w:val="auto"/>
                <w:szCs w:val="21"/>
                <w:lang w:val="en-US" w:eastAsia="zh-CN"/>
              </w:rPr>
            </w:pPr>
            <w:r>
              <w:rPr>
                <w:rFonts w:hint="eastAsia"/>
                <w:color w:val="auto"/>
                <w:szCs w:val="21"/>
                <w:lang w:val="en-US" w:eastAsia="zh-CN"/>
              </w:rPr>
              <w:t>5</w:t>
            </w:r>
          </w:p>
        </w:tc>
        <w:tc>
          <w:tcPr>
            <w:tcW w:w="341" w:type="pct"/>
            <w:vMerge w:val="restart"/>
            <w:tcBorders>
              <w:tl2br w:val="nil"/>
              <w:tr2bl w:val="nil"/>
            </w:tcBorders>
            <w:tcMar>
              <w:left w:w="28" w:type="dxa"/>
              <w:right w:w="28" w:type="dxa"/>
            </w:tcMar>
            <w:vAlign w:val="center"/>
          </w:tcPr>
          <w:p w14:paraId="65F12A61">
            <w:pPr>
              <w:adjustRightInd w:val="0"/>
              <w:snapToGrid w:val="0"/>
              <w:jc w:val="center"/>
              <w:rPr>
                <w:rFonts w:hint="default" w:eastAsia="宋体"/>
                <w:color w:val="auto"/>
                <w:szCs w:val="21"/>
                <w:lang w:val="en-US" w:eastAsia="zh-CN"/>
              </w:rPr>
            </w:pPr>
            <w:r>
              <w:rPr>
                <w:rFonts w:hint="eastAsia"/>
                <w:color w:val="auto"/>
                <w:szCs w:val="21"/>
                <w:lang w:val="en-US" w:eastAsia="zh-CN"/>
              </w:rPr>
              <w:t>35</w:t>
            </w:r>
          </w:p>
        </w:tc>
        <w:tc>
          <w:tcPr>
            <w:tcW w:w="455" w:type="pct"/>
            <w:vMerge w:val="restart"/>
            <w:tcBorders>
              <w:tl2br w:val="nil"/>
              <w:tr2bl w:val="nil"/>
            </w:tcBorders>
            <w:tcMar>
              <w:left w:w="28" w:type="dxa"/>
              <w:right w:w="28" w:type="dxa"/>
            </w:tcMar>
            <w:vAlign w:val="center"/>
          </w:tcPr>
          <w:p w14:paraId="2F3D5F19">
            <w:pPr>
              <w:pStyle w:val="20"/>
              <w:spacing w:line="240" w:lineRule="exact"/>
              <w:ind w:firstLine="0" w:firstLineChars="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0.4</w:t>
            </w:r>
          </w:p>
        </w:tc>
        <w:tc>
          <w:tcPr>
            <w:tcW w:w="351" w:type="pct"/>
            <w:vMerge w:val="restart"/>
            <w:tcBorders>
              <w:tl2br w:val="nil"/>
              <w:tr2bl w:val="nil"/>
            </w:tcBorders>
            <w:tcMar>
              <w:left w:w="28" w:type="dxa"/>
              <w:right w:w="28" w:type="dxa"/>
            </w:tcMar>
            <w:vAlign w:val="center"/>
          </w:tcPr>
          <w:p w14:paraId="2B4CEE53">
            <w:pPr>
              <w:widowControl/>
              <w:adjustRightInd w:val="0"/>
              <w:snapToGrid w:val="0"/>
              <w:jc w:val="center"/>
              <w:textAlignment w:val="center"/>
              <w:rPr>
                <w:rFonts w:hint="default" w:eastAsia="宋体"/>
                <w:color w:val="auto"/>
                <w:kern w:val="0"/>
                <w:szCs w:val="21"/>
                <w:lang w:val="en-US" w:eastAsia="zh-CN"/>
              </w:rPr>
            </w:pPr>
            <w:r>
              <w:rPr>
                <w:rFonts w:hint="eastAsia"/>
                <w:color w:val="auto"/>
                <w:kern w:val="0"/>
                <w:szCs w:val="21"/>
                <w:lang w:val="en-US" w:eastAsia="zh-CN"/>
              </w:rPr>
              <w:t>15.47</w:t>
            </w:r>
          </w:p>
        </w:tc>
        <w:tc>
          <w:tcPr>
            <w:tcW w:w="351" w:type="pct"/>
            <w:vMerge w:val="restart"/>
            <w:tcBorders>
              <w:tl2br w:val="nil"/>
              <w:tr2bl w:val="nil"/>
            </w:tcBorders>
            <w:tcMar>
              <w:left w:w="28" w:type="dxa"/>
              <w:right w:w="28" w:type="dxa"/>
            </w:tcMar>
            <w:vAlign w:val="center"/>
          </w:tcPr>
          <w:p w14:paraId="098F840F">
            <w:pPr>
              <w:spacing w:line="240" w:lineRule="exact"/>
              <w:jc w:val="center"/>
              <w:rPr>
                <w:rFonts w:hint="default" w:eastAsia="宋体"/>
                <w:color w:val="auto"/>
                <w:szCs w:val="21"/>
                <w:lang w:val="en-US" w:eastAsia="zh-CN"/>
              </w:rPr>
            </w:pPr>
            <w:r>
              <w:rPr>
                <w:rFonts w:hint="eastAsia"/>
                <w:color w:val="auto"/>
                <w:szCs w:val="21"/>
                <w:lang w:val="en-US" w:eastAsia="zh-CN"/>
              </w:rPr>
              <w:t>25</w:t>
            </w:r>
          </w:p>
        </w:tc>
        <w:tc>
          <w:tcPr>
            <w:tcW w:w="233" w:type="pct"/>
            <w:vMerge w:val="restart"/>
            <w:tcBorders>
              <w:tl2br w:val="nil"/>
              <w:tr2bl w:val="nil"/>
            </w:tcBorders>
            <w:tcMar>
              <w:left w:w="28" w:type="dxa"/>
              <w:right w:w="28" w:type="dxa"/>
            </w:tcMar>
            <w:vAlign w:val="center"/>
          </w:tcPr>
          <w:p w14:paraId="1D999FC2">
            <w:pPr>
              <w:adjustRightInd w:val="0"/>
              <w:snapToGrid w:val="0"/>
              <w:jc w:val="center"/>
              <w:rPr>
                <w:rFonts w:hint="eastAsia" w:eastAsia="宋体"/>
                <w:color w:val="auto"/>
                <w:szCs w:val="21"/>
                <w:lang w:val="en-US" w:eastAsia="zh-CN"/>
              </w:rPr>
            </w:pPr>
            <w:r>
              <w:rPr>
                <w:rFonts w:hint="eastAsia"/>
                <w:color w:val="auto"/>
                <w:szCs w:val="21"/>
                <w:lang w:val="en-US" w:eastAsia="zh-CN"/>
              </w:rPr>
              <w:t>正常</w:t>
            </w:r>
          </w:p>
        </w:tc>
        <w:tc>
          <w:tcPr>
            <w:tcW w:w="446" w:type="pct"/>
            <w:tcBorders>
              <w:tl2br w:val="nil"/>
              <w:tr2bl w:val="nil"/>
            </w:tcBorders>
            <w:shd w:val="clear" w:color="auto" w:fill="auto"/>
            <w:tcMar>
              <w:left w:w="28" w:type="dxa"/>
              <w:right w:w="28" w:type="dxa"/>
            </w:tcMar>
            <w:vAlign w:val="center"/>
          </w:tcPr>
          <w:p w14:paraId="1256111F">
            <w:pPr>
              <w:pStyle w:val="105"/>
              <w:spacing w:line="240" w:lineRule="exact"/>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SO</w:t>
            </w:r>
            <w:r>
              <w:rPr>
                <w:rFonts w:hint="eastAsia"/>
                <w:b w:val="0"/>
                <w:bCs w:val="0"/>
                <w:color w:val="auto"/>
                <w:sz w:val="21"/>
                <w:szCs w:val="21"/>
                <w:vertAlign w:val="subscript"/>
                <w:lang w:val="en-US" w:eastAsia="zh-CN"/>
              </w:rPr>
              <w:t>2</w:t>
            </w:r>
          </w:p>
        </w:tc>
        <w:tc>
          <w:tcPr>
            <w:tcW w:w="358" w:type="pct"/>
            <w:tcBorders>
              <w:tl2br w:val="nil"/>
              <w:tr2bl w:val="nil"/>
            </w:tcBorders>
            <w:tcMar>
              <w:left w:w="28" w:type="dxa"/>
              <w:right w:w="28" w:type="dxa"/>
            </w:tcMar>
            <w:vAlign w:val="center"/>
          </w:tcPr>
          <w:p w14:paraId="0FC020DC">
            <w:pPr>
              <w:widowControl/>
              <w:snapToGrid w:val="0"/>
              <w:jc w:val="center"/>
              <w:rPr>
                <w:rFonts w:hint="eastAsia"/>
                <w:color w:val="auto"/>
                <w:szCs w:val="21"/>
                <w:lang w:val="en-US" w:eastAsia="zh-CN"/>
              </w:rPr>
            </w:pPr>
            <w:r>
              <w:rPr>
                <w:rFonts w:hint="eastAsia" w:ascii="Times New Roman" w:hAnsi="Times New Roman" w:eastAsia="宋体" w:cs="Times New Roman"/>
                <w:color w:val="auto"/>
                <w:szCs w:val="21"/>
                <w:lang w:val="en-US" w:eastAsia="zh-CN"/>
              </w:rPr>
              <w:t>0.099</w:t>
            </w:r>
          </w:p>
        </w:tc>
      </w:tr>
      <w:tr w14:paraId="741EF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67C37370">
            <w:pPr>
              <w:widowControl/>
              <w:jc w:val="center"/>
              <w:rPr>
                <w:color w:val="auto"/>
                <w:kern w:val="0"/>
                <w:szCs w:val="21"/>
              </w:rPr>
            </w:pPr>
          </w:p>
        </w:tc>
        <w:tc>
          <w:tcPr>
            <w:tcW w:w="505" w:type="pct"/>
            <w:vMerge w:val="continue"/>
            <w:tcBorders>
              <w:tl2br w:val="nil"/>
              <w:tr2bl w:val="nil"/>
            </w:tcBorders>
            <w:vAlign w:val="center"/>
          </w:tcPr>
          <w:p w14:paraId="2A459119">
            <w:pPr>
              <w:widowControl/>
              <w:jc w:val="center"/>
              <w:textAlignment w:val="center"/>
              <w:rPr>
                <w:color w:val="auto"/>
                <w:szCs w:val="21"/>
              </w:rPr>
            </w:pPr>
          </w:p>
        </w:tc>
        <w:tc>
          <w:tcPr>
            <w:tcW w:w="575" w:type="pct"/>
            <w:vMerge w:val="continue"/>
            <w:tcBorders>
              <w:tl2br w:val="nil"/>
              <w:tr2bl w:val="nil"/>
            </w:tcBorders>
            <w:tcMar>
              <w:left w:w="28" w:type="dxa"/>
              <w:right w:w="28" w:type="dxa"/>
            </w:tcMar>
            <w:vAlign w:val="center"/>
          </w:tcPr>
          <w:p w14:paraId="00816E60">
            <w:pPr>
              <w:pStyle w:val="50"/>
              <w:spacing w:line="240" w:lineRule="exact"/>
              <w:ind w:firstLine="0"/>
              <w:jc w:val="center"/>
              <w:rPr>
                <w:rFonts w:cs="Times New Roman"/>
                <w:color w:val="auto"/>
                <w:kern w:val="0"/>
                <w:sz w:val="21"/>
                <w:szCs w:val="21"/>
              </w:rPr>
            </w:pPr>
          </w:p>
        </w:tc>
        <w:tc>
          <w:tcPr>
            <w:tcW w:w="576" w:type="pct"/>
            <w:vMerge w:val="continue"/>
            <w:tcBorders>
              <w:tl2br w:val="nil"/>
              <w:tr2bl w:val="nil"/>
            </w:tcBorders>
            <w:tcMar>
              <w:left w:w="28" w:type="dxa"/>
              <w:right w:w="28" w:type="dxa"/>
            </w:tcMar>
            <w:vAlign w:val="center"/>
          </w:tcPr>
          <w:p w14:paraId="2B6FA3B2">
            <w:pPr>
              <w:widowControl/>
              <w:adjustRightInd w:val="0"/>
              <w:snapToGrid w:val="0"/>
              <w:jc w:val="center"/>
              <w:textAlignment w:val="center"/>
              <w:rPr>
                <w:color w:val="auto"/>
                <w:szCs w:val="21"/>
              </w:rPr>
            </w:pPr>
          </w:p>
        </w:tc>
        <w:tc>
          <w:tcPr>
            <w:tcW w:w="504" w:type="pct"/>
            <w:vMerge w:val="continue"/>
            <w:tcBorders>
              <w:tl2br w:val="nil"/>
              <w:tr2bl w:val="nil"/>
            </w:tcBorders>
            <w:tcMar>
              <w:left w:w="28" w:type="dxa"/>
              <w:right w:w="28" w:type="dxa"/>
            </w:tcMar>
            <w:vAlign w:val="center"/>
          </w:tcPr>
          <w:p w14:paraId="392330FC">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61001A5B">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40308E3C">
            <w:pPr>
              <w:pStyle w:val="20"/>
              <w:spacing w:line="240" w:lineRule="exact"/>
              <w:ind w:firstLine="0" w:firstLineChars="0"/>
              <w:jc w:val="center"/>
              <w:rPr>
                <w:rFonts w:ascii="Times New Roman" w:hAnsi="Times New Roman"/>
                <w:color w:val="auto"/>
                <w:szCs w:val="21"/>
              </w:rPr>
            </w:pPr>
          </w:p>
        </w:tc>
        <w:tc>
          <w:tcPr>
            <w:tcW w:w="351" w:type="pct"/>
            <w:vMerge w:val="continue"/>
            <w:tcBorders>
              <w:tl2br w:val="nil"/>
              <w:tr2bl w:val="nil"/>
            </w:tcBorders>
            <w:tcMar>
              <w:left w:w="28" w:type="dxa"/>
              <w:right w:w="28" w:type="dxa"/>
            </w:tcMar>
            <w:vAlign w:val="center"/>
          </w:tcPr>
          <w:p w14:paraId="16F95B5C">
            <w:pPr>
              <w:widowControl/>
              <w:adjustRightInd w:val="0"/>
              <w:snapToGrid w:val="0"/>
              <w:jc w:val="center"/>
              <w:textAlignment w:val="center"/>
              <w:rPr>
                <w:color w:val="auto"/>
                <w:kern w:val="0"/>
                <w:szCs w:val="21"/>
              </w:rPr>
            </w:pPr>
          </w:p>
        </w:tc>
        <w:tc>
          <w:tcPr>
            <w:tcW w:w="351" w:type="pct"/>
            <w:vMerge w:val="continue"/>
            <w:tcBorders>
              <w:tl2br w:val="nil"/>
              <w:tr2bl w:val="nil"/>
            </w:tcBorders>
            <w:tcMar>
              <w:left w:w="28" w:type="dxa"/>
              <w:right w:w="28" w:type="dxa"/>
            </w:tcMar>
            <w:vAlign w:val="center"/>
          </w:tcPr>
          <w:p w14:paraId="15A59A42">
            <w:pPr>
              <w:spacing w:line="240" w:lineRule="exact"/>
              <w:jc w:val="center"/>
              <w:rPr>
                <w:color w:val="auto"/>
                <w:szCs w:val="21"/>
              </w:rPr>
            </w:pPr>
          </w:p>
        </w:tc>
        <w:tc>
          <w:tcPr>
            <w:tcW w:w="233" w:type="pct"/>
            <w:vMerge w:val="continue"/>
            <w:tcBorders>
              <w:tl2br w:val="nil"/>
              <w:tr2bl w:val="nil"/>
            </w:tcBorders>
            <w:tcMar>
              <w:left w:w="28" w:type="dxa"/>
              <w:right w:w="28" w:type="dxa"/>
            </w:tcMar>
            <w:vAlign w:val="center"/>
          </w:tcPr>
          <w:p w14:paraId="5CD77BB0">
            <w:pPr>
              <w:adjustRightInd w:val="0"/>
              <w:snapToGrid w:val="0"/>
              <w:jc w:val="center"/>
              <w:rPr>
                <w:color w:val="auto"/>
                <w:szCs w:val="21"/>
              </w:rPr>
            </w:pPr>
          </w:p>
        </w:tc>
        <w:tc>
          <w:tcPr>
            <w:tcW w:w="446" w:type="pct"/>
            <w:tcBorders>
              <w:tl2br w:val="nil"/>
              <w:tr2bl w:val="nil"/>
            </w:tcBorders>
            <w:shd w:val="clear" w:color="auto" w:fill="auto"/>
            <w:tcMar>
              <w:left w:w="28" w:type="dxa"/>
              <w:right w:w="28" w:type="dxa"/>
            </w:tcMar>
            <w:vAlign w:val="center"/>
          </w:tcPr>
          <w:p w14:paraId="33114755">
            <w:pPr>
              <w:pStyle w:val="105"/>
              <w:spacing w:line="240" w:lineRule="exact"/>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NO</w:t>
            </w:r>
            <w:r>
              <w:rPr>
                <w:rFonts w:hint="eastAsia"/>
                <w:b w:val="0"/>
                <w:bCs w:val="0"/>
                <w:color w:val="auto"/>
                <w:sz w:val="21"/>
                <w:szCs w:val="21"/>
                <w:vertAlign w:val="subscript"/>
                <w:lang w:val="en-US" w:eastAsia="zh-CN"/>
              </w:rPr>
              <w:t>x</w:t>
            </w:r>
          </w:p>
        </w:tc>
        <w:tc>
          <w:tcPr>
            <w:tcW w:w="358" w:type="pct"/>
            <w:tcBorders>
              <w:tl2br w:val="nil"/>
              <w:tr2bl w:val="nil"/>
            </w:tcBorders>
            <w:tcMar>
              <w:left w:w="28" w:type="dxa"/>
              <w:right w:w="28" w:type="dxa"/>
            </w:tcMar>
            <w:vAlign w:val="center"/>
          </w:tcPr>
          <w:p w14:paraId="78FE2B4C">
            <w:pPr>
              <w:widowControl/>
              <w:snapToGrid w:val="0"/>
              <w:jc w:val="center"/>
              <w:rPr>
                <w:rFonts w:hint="eastAsia"/>
                <w:color w:val="auto"/>
                <w:szCs w:val="21"/>
                <w:lang w:val="en-US" w:eastAsia="zh-CN"/>
              </w:rPr>
            </w:pPr>
            <w:r>
              <w:rPr>
                <w:rFonts w:hint="eastAsia" w:cs="Times New Roman"/>
                <w:color w:val="auto"/>
                <w:szCs w:val="21"/>
                <w:lang w:val="en-US" w:eastAsia="zh-CN"/>
              </w:rPr>
              <w:t>0.138</w:t>
            </w:r>
          </w:p>
        </w:tc>
      </w:tr>
      <w:tr w14:paraId="64479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30B280A5">
            <w:pPr>
              <w:widowControl/>
              <w:jc w:val="center"/>
              <w:rPr>
                <w:color w:val="auto"/>
                <w:kern w:val="0"/>
                <w:szCs w:val="21"/>
              </w:rPr>
            </w:pPr>
          </w:p>
        </w:tc>
        <w:tc>
          <w:tcPr>
            <w:tcW w:w="505" w:type="pct"/>
            <w:vMerge w:val="continue"/>
            <w:tcBorders>
              <w:tl2br w:val="nil"/>
              <w:tr2bl w:val="nil"/>
            </w:tcBorders>
            <w:vAlign w:val="center"/>
          </w:tcPr>
          <w:p w14:paraId="2828EBA4">
            <w:pPr>
              <w:widowControl/>
              <w:jc w:val="center"/>
              <w:textAlignment w:val="center"/>
              <w:rPr>
                <w:color w:val="auto"/>
                <w:szCs w:val="21"/>
              </w:rPr>
            </w:pPr>
          </w:p>
        </w:tc>
        <w:tc>
          <w:tcPr>
            <w:tcW w:w="575" w:type="pct"/>
            <w:vMerge w:val="continue"/>
            <w:tcBorders>
              <w:tl2br w:val="nil"/>
              <w:tr2bl w:val="nil"/>
            </w:tcBorders>
            <w:tcMar>
              <w:left w:w="28" w:type="dxa"/>
              <w:right w:w="28" w:type="dxa"/>
            </w:tcMar>
            <w:vAlign w:val="center"/>
          </w:tcPr>
          <w:p w14:paraId="6F602F24">
            <w:pPr>
              <w:pStyle w:val="50"/>
              <w:spacing w:line="240" w:lineRule="exact"/>
              <w:ind w:firstLine="0"/>
              <w:jc w:val="center"/>
              <w:rPr>
                <w:rFonts w:cs="Times New Roman"/>
                <w:color w:val="auto"/>
                <w:kern w:val="0"/>
                <w:sz w:val="21"/>
                <w:szCs w:val="21"/>
              </w:rPr>
            </w:pPr>
          </w:p>
        </w:tc>
        <w:tc>
          <w:tcPr>
            <w:tcW w:w="576" w:type="pct"/>
            <w:vMerge w:val="continue"/>
            <w:tcBorders>
              <w:tl2br w:val="nil"/>
              <w:tr2bl w:val="nil"/>
            </w:tcBorders>
            <w:tcMar>
              <w:left w:w="28" w:type="dxa"/>
              <w:right w:w="28" w:type="dxa"/>
            </w:tcMar>
            <w:vAlign w:val="center"/>
          </w:tcPr>
          <w:p w14:paraId="4CBE23D1">
            <w:pPr>
              <w:widowControl/>
              <w:adjustRightInd w:val="0"/>
              <w:snapToGrid w:val="0"/>
              <w:jc w:val="center"/>
              <w:textAlignment w:val="center"/>
              <w:rPr>
                <w:color w:val="auto"/>
                <w:szCs w:val="21"/>
              </w:rPr>
            </w:pPr>
          </w:p>
        </w:tc>
        <w:tc>
          <w:tcPr>
            <w:tcW w:w="504" w:type="pct"/>
            <w:vMerge w:val="continue"/>
            <w:tcBorders>
              <w:tl2br w:val="nil"/>
              <w:tr2bl w:val="nil"/>
            </w:tcBorders>
            <w:tcMar>
              <w:left w:w="28" w:type="dxa"/>
              <w:right w:w="28" w:type="dxa"/>
            </w:tcMar>
            <w:vAlign w:val="center"/>
          </w:tcPr>
          <w:p w14:paraId="32FCCB20">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42C91B78">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332A5332">
            <w:pPr>
              <w:pStyle w:val="20"/>
              <w:spacing w:line="240" w:lineRule="exact"/>
              <w:ind w:firstLine="0" w:firstLineChars="0"/>
              <w:jc w:val="center"/>
              <w:rPr>
                <w:rFonts w:ascii="Times New Roman" w:hAnsi="Times New Roman"/>
                <w:color w:val="auto"/>
                <w:szCs w:val="21"/>
              </w:rPr>
            </w:pPr>
          </w:p>
        </w:tc>
        <w:tc>
          <w:tcPr>
            <w:tcW w:w="351" w:type="pct"/>
            <w:vMerge w:val="continue"/>
            <w:tcBorders>
              <w:tl2br w:val="nil"/>
              <w:tr2bl w:val="nil"/>
            </w:tcBorders>
            <w:tcMar>
              <w:left w:w="28" w:type="dxa"/>
              <w:right w:w="28" w:type="dxa"/>
            </w:tcMar>
            <w:vAlign w:val="center"/>
          </w:tcPr>
          <w:p w14:paraId="731364A1">
            <w:pPr>
              <w:widowControl/>
              <w:adjustRightInd w:val="0"/>
              <w:snapToGrid w:val="0"/>
              <w:jc w:val="center"/>
              <w:textAlignment w:val="center"/>
              <w:rPr>
                <w:color w:val="auto"/>
                <w:kern w:val="0"/>
                <w:szCs w:val="21"/>
              </w:rPr>
            </w:pPr>
          </w:p>
        </w:tc>
        <w:tc>
          <w:tcPr>
            <w:tcW w:w="351" w:type="pct"/>
            <w:vMerge w:val="continue"/>
            <w:tcBorders>
              <w:tl2br w:val="nil"/>
              <w:tr2bl w:val="nil"/>
            </w:tcBorders>
            <w:tcMar>
              <w:left w:w="28" w:type="dxa"/>
              <w:right w:w="28" w:type="dxa"/>
            </w:tcMar>
            <w:vAlign w:val="center"/>
          </w:tcPr>
          <w:p w14:paraId="46F93E9A">
            <w:pPr>
              <w:spacing w:line="240" w:lineRule="exact"/>
              <w:jc w:val="center"/>
              <w:rPr>
                <w:color w:val="auto"/>
                <w:szCs w:val="21"/>
              </w:rPr>
            </w:pPr>
          </w:p>
        </w:tc>
        <w:tc>
          <w:tcPr>
            <w:tcW w:w="233" w:type="pct"/>
            <w:vMerge w:val="continue"/>
            <w:tcBorders>
              <w:tl2br w:val="nil"/>
              <w:tr2bl w:val="nil"/>
            </w:tcBorders>
            <w:tcMar>
              <w:left w:w="28" w:type="dxa"/>
              <w:right w:w="28" w:type="dxa"/>
            </w:tcMar>
            <w:vAlign w:val="center"/>
          </w:tcPr>
          <w:p w14:paraId="76B753D8">
            <w:pPr>
              <w:adjustRightInd w:val="0"/>
              <w:snapToGrid w:val="0"/>
              <w:jc w:val="center"/>
              <w:rPr>
                <w:color w:val="auto"/>
                <w:szCs w:val="21"/>
              </w:rPr>
            </w:pPr>
          </w:p>
        </w:tc>
        <w:tc>
          <w:tcPr>
            <w:tcW w:w="446" w:type="pct"/>
            <w:tcBorders>
              <w:tl2br w:val="nil"/>
              <w:tr2bl w:val="nil"/>
            </w:tcBorders>
            <w:shd w:val="clear" w:color="auto" w:fill="auto"/>
            <w:tcMar>
              <w:left w:w="28" w:type="dxa"/>
              <w:right w:w="28" w:type="dxa"/>
            </w:tcMar>
            <w:vAlign w:val="center"/>
          </w:tcPr>
          <w:p w14:paraId="09CB289D">
            <w:pPr>
              <w:pStyle w:val="105"/>
              <w:spacing w:line="240" w:lineRule="exact"/>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颗粒物</w:t>
            </w:r>
          </w:p>
        </w:tc>
        <w:tc>
          <w:tcPr>
            <w:tcW w:w="358" w:type="pct"/>
            <w:tcBorders>
              <w:tl2br w:val="nil"/>
              <w:tr2bl w:val="nil"/>
            </w:tcBorders>
            <w:tcMar>
              <w:left w:w="28" w:type="dxa"/>
              <w:right w:w="28" w:type="dxa"/>
            </w:tcMar>
            <w:vAlign w:val="center"/>
          </w:tcPr>
          <w:p w14:paraId="22B40E51">
            <w:pPr>
              <w:widowControl/>
              <w:snapToGrid w:val="0"/>
              <w:jc w:val="center"/>
              <w:rPr>
                <w:rFonts w:hint="eastAsia"/>
                <w:color w:val="auto"/>
                <w:szCs w:val="21"/>
                <w:lang w:val="en-US" w:eastAsia="zh-CN"/>
              </w:rPr>
            </w:pPr>
            <w:r>
              <w:rPr>
                <w:rFonts w:hint="eastAsia"/>
                <w:color w:val="auto"/>
                <w:szCs w:val="21"/>
                <w:lang w:val="en-US" w:eastAsia="zh-CN"/>
              </w:rPr>
              <w:t>0.001</w:t>
            </w:r>
          </w:p>
        </w:tc>
      </w:tr>
      <w:tr w14:paraId="28B19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01" w:type="pct"/>
            <w:vMerge w:val="continue"/>
            <w:tcBorders>
              <w:tl2br w:val="nil"/>
              <w:tr2bl w:val="nil"/>
            </w:tcBorders>
            <w:vAlign w:val="center"/>
          </w:tcPr>
          <w:p w14:paraId="06487495">
            <w:pPr>
              <w:widowControl/>
              <w:jc w:val="center"/>
              <w:rPr>
                <w:color w:val="auto"/>
                <w:kern w:val="0"/>
                <w:szCs w:val="21"/>
              </w:rPr>
            </w:pPr>
          </w:p>
        </w:tc>
        <w:tc>
          <w:tcPr>
            <w:tcW w:w="505" w:type="pct"/>
            <w:vMerge w:val="continue"/>
            <w:tcBorders>
              <w:tl2br w:val="nil"/>
              <w:tr2bl w:val="nil"/>
            </w:tcBorders>
            <w:vAlign w:val="center"/>
          </w:tcPr>
          <w:p w14:paraId="059E0933">
            <w:pPr>
              <w:widowControl/>
              <w:jc w:val="center"/>
              <w:textAlignment w:val="center"/>
              <w:rPr>
                <w:color w:val="auto"/>
                <w:szCs w:val="21"/>
              </w:rPr>
            </w:pPr>
          </w:p>
        </w:tc>
        <w:tc>
          <w:tcPr>
            <w:tcW w:w="575" w:type="pct"/>
            <w:vMerge w:val="continue"/>
            <w:tcBorders>
              <w:tl2br w:val="nil"/>
              <w:tr2bl w:val="nil"/>
            </w:tcBorders>
            <w:tcMar>
              <w:left w:w="28" w:type="dxa"/>
              <w:right w:w="28" w:type="dxa"/>
            </w:tcMar>
            <w:vAlign w:val="center"/>
          </w:tcPr>
          <w:p w14:paraId="2075CC2F">
            <w:pPr>
              <w:pStyle w:val="50"/>
              <w:spacing w:line="240" w:lineRule="exact"/>
              <w:ind w:firstLine="0"/>
              <w:jc w:val="center"/>
              <w:rPr>
                <w:rFonts w:cs="Times New Roman"/>
                <w:color w:val="auto"/>
                <w:kern w:val="0"/>
                <w:sz w:val="21"/>
                <w:szCs w:val="21"/>
              </w:rPr>
            </w:pPr>
          </w:p>
        </w:tc>
        <w:tc>
          <w:tcPr>
            <w:tcW w:w="576" w:type="pct"/>
            <w:vMerge w:val="continue"/>
            <w:tcBorders>
              <w:tl2br w:val="nil"/>
              <w:tr2bl w:val="nil"/>
            </w:tcBorders>
            <w:tcMar>
              <w:left w:w="28" w:type="dxa"/>
              <w:right w:w="28" w:type="dxa"/>
            </w:tcMar>
            <w:vAlign w:val="center"/>
          </w:tcPr>
          <w:p w14:paraId="3FC07CD6">
            <w:pPr>
              <w:widowControl/>
              <w:adjustRightInd w:val="0"/>
              <w:snapToGrid w:val="0"/>
              <w:jc w:val="center"/>
              <w:textAlignment w:val="center"/>
              <w:rPr>
                <w:color w:val="auto"/>
                <w:szCs w:val="21"/>
              </w:rPr>
            </w:pPr>
          </w:p>
        </w:tc>
        <w:tc>
          <w:tcPr>
            <w:tcW w:w="504" w:type="pct"/>
            <w:vMerge w:val="continue"/>
            <w:tcBorders>
              <w:tl2br w:val="nil"/>
              <w:tr2bl w:val="nil"/>
            </w:tcBorders>
            <w:tcMar>
              <w:left w:w="28" w:type="dxa"/>
              <w:right w:w="28" w:type="dxa"/>
            </w:tcMar>
            <w:vAlign w:val="center"/>
          </w:tcPr>
          <w:p w14:paraId="4B434B64">
            <w:pPr>
              <w:adjustRightInd w:val="0"/>
              <w:snapToGrid w:val="0"/>
              <w:jc w:val="center"/>
              <w:rPr>
                <w:color w:val="auto"/>
                <w:szCs w:val="21"/>
              </w:rPr>
            </w:pPr>
          </w:p>
        </w:tc>
        <w:tc>
          <w:tcPr>
            <w:tcW w:w="341" w:type="pct"/>
            <w:vMerge w:val="continue"/>
            <w:tcBorders>
              <w:tl2br w:val="nil"/>
              <w:tr2bl w:val="nil"/>
            </w:tcBorders>
            <w:tcMar>
              <w:left w:w="28" w:type="dxa"/>
              <w:right w:w="28" w:type="dxa"/>
            </w:tcMar>
            <w:vAlign w:val="center"/>
          </w:tcPr>
          <w:p w14:paraId="7C625ED7">
            <w:pPr>
              <w:adjustRightInd w:val="0"/>
              <w:snapToGrid w:val="0"/>
              <w:jc w:val="center"/>
              <w:rPr>
                <w:color w:val="auto"/>
                <w:szCs w:val="21"/>
              </w:rPr>
            </w:pPr>
          </w:p>
        </w:tc>
        <w:tc>
          <w:tcPr>
            <w:tcW w:w="455" w:type="pct"/>
            <w:vMerge w:val="continue"/>
            <w:tcBorders>
              <w:tl2br w:val="nil"/>
              <w:tr2bl w:val="nil"/>
            </w:tcBorders>
            <w:tcMar>
              <w:left w:w="28" w:type="dxa"/>
              <w:right w:w="28" w:type="dxa"/>
            </w:tcMar>
            <w:vAlign w:val="center"/>
          </w:tcPr>
          <w:p w14:paraId="78BC2D99">
            <w:pPr>
              <w:pStyle w:val="20"/>
              <w:spacing w:line="240" w:lineRule="exact"/>
              <w:ind w:firstLine="0" w:firstLineChars="0"/>
              <w:jc w:val="center"/>
              <w:rPr>
                <w:rFonts w:ascii="Times New Roman" w:hAnsi="Times New Roman"/>
                <w:color w:val="auto"/>
                <w:szCs w:val="21"/>
              </w:rPr>
            </w:pPr>
          </w:p>
        </w:tc>
        <w:tc>
          <w:tcPr>
            <w:tcW w:w="351" w:type="pct"/>
            <w:vMerge w:val="continue"/>
            <w:tcBorders>
              <w:tl2br w:val="nil"/>
              <w:tr2bl w:val="nil"/>
            </w:tcBorders>
            <w:tcMar>
              <w:left w:w="28" w:type="dxa"/>
              <w:right w:w="28" w:type="dxa"/>
            </w:tcMar>
            <w:vAlign w:val="center"/>
          </w:tcPr>
          <w:p w14:paraId="791AE7DB">
            <w:pPr>
              <w:widowControl/>
              <w:adjustRightInd w:val="0"/>
              <w:snapToGrid w:val="0"/>
              <w:jc w:val="center"/>
              <w:textAlignment w:val="center"/>
              <w:rPr>
                <w:color w:val="auto"/>
                <w:kern w:val="0"/>
                <w:szCs w:val="21"/>
              </w:rPr>
            </w:pPr>
          </w:p>
        </w:tc>
        <w:tc>
          <w:tcPr>
            <w:tcW w:w="351" w:type="pct"/>
            <w:vMerge w:val="continue"/>
            <w:tcBorders>
              <w:tl2br w:val="nil"/>
              <w:tr2bl w:val="nil"/>
            </w:tcBorders>
            <w:tcMar>
              <w:left w:w="28" w:type="dxa"/>
              <w:right w:w="28" w:type="dxa"/>
            </w:tcMar>
            <w:vAlign w:val="center"/>
          </w:tcPr>
          <w:p w14:paraId="49C908D8">
            <w:pPr>
              <w:spacing w:line="240" w:lineRule="exact"/>
              <w:jc w:val="center"/>
              <w:rPr>
                <w:color w:val="auto"/>
                <w:szCs w:val="21"/>
              </w:rPr>
            </w:pPr>
          </w:p>
        </w:tc>
        <w:tc>
          <w:tcPr>
            <w:tcW w:w="233" w:type="pct"/>
            <w:vMerge w:val="continue"/>
            <w:tcBorders>
              <w:tl2br w:val="nil"/>
              <w:tr2bl w:val="nil"/>
            </w:tcBorders>
            <w:tcMar>
              <w:left w:w="28" w:type="dxa"/>
              <w:right w:w="28" w:type="dxa"/>
            </w:tcMar>
            <w:vAlign w:val="center"/>
          </w:tcPr>
          <w:p w14:paraId="2A1DE12B">
            <w:pPr>
              <w:adjustRightInd w:val="0"/>
              <w:snapToGrid w:val="0"/>
              <w:jc w:val="center"/>
              <w:rPr>
                <w:color w:val="auto"/>
                <w:szCs w:val="21"/>
              </w:rPr>
            </w:pPr>
          </w:p>
        </w:tc>
        <w:tc>
          <w:tcPr>
            <w:tcW w:w="446" w:type="pct"/>
            <w:tcBorders>
              <w:tl2br w:val="nil"/>
              <w:tr2bl w:val="nil"/>
            </w:tcBorders>
            <w:shd w:val="clear" w:color="auto" w:fill="auto"/>
            <w:tcMar>
              <w:left w:w="28" w:type="dxa"/>
              <w:right w:w="28" w:type="dxa"/>
            </w:tcMar>
            <w:vAlign w:val="center"/>
          </w:tcPr>
          <w:p w14:paraId="03A27A55">
            <w:pPr>
              <w:pStyle w:val="105"/>
              <w:spacing w:line="240" w:lineRule="exact"/>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汞</w:t>
            </w:r>
          </w:p>
        </w:tc>
        <w:tc>
          <w:tcPr>
            <w:tcW w:w="358" w:type="pct"/>
            <w:tcBorders>
              <w:tl2br w:val="nil"/>
              <w:tr2bl w:val="nil"/>
            </w:tcBorders>
            <w:tcMar>
              <w:left w:w="28" w:type="dxa"/>
              <w:right w:w="28" w:type="dxa"/>
            </w:tcMar>
            <w:vAlign w:val="center"/>
          </w:tcPr>
          <w:p w14:paraId="19212A8F">
            <w:pPr>
              <w:widowControl/>
              <w:snapToGrid w:val="0"/>
              <w:jc w:val="center"/>
              <w:rPr>
                <w:rFonts w:hint="default"/>
                <w:color w:val="auto"/>
                <w:szCs w:val="21"/>
                <w:lang w:val="en-US" w:eastAsia="zh-CN"/>
              </w:rPr>
            </w:pPr>
            <w:r>
              <w:rPr>
                <w:rFonts w:hint="eastAsia"/>
                <w:color w:val="auto"/>
                <w:szCs w:val="21"/>
                <w:lang w:val="en-US" w:eastAsia="zh-CN"/>
              </w:rPr>
              <w:t>0.00011</w:t>
            </w:r>
          </w:p>
        </w:tc>
      </w:tr>
    </w:tbl>
    <w:p w14:paraId="1A83CB6A">
      <w:pPr>
        <w:widowControl/>
        <w:adjustRightInd w:val="0"/>
        <w:snapToGrid w:val="0"/>
        <w:spacing w:before="120" w:beforeLines="50"/>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lang w:val="en-US" w:eastAsia="zh-CN"/>
        </w:rPr>
        <w:t>4</w:t>
      </w:r>
      <w:r>
        <w:rPr>
          <w:b/>
          <w:color w:val="auto"/>
          <w:sz w:val="24"/>
        </w:rPr>
        <w:t xml:space="preserve"> </w:t>
      </w:r>
      <w:r>
        <w:rPr>
          <w:rFonts w:hint="eastAsia"/>
          <w:b/>
          <w:color w:val="auto"/>
          <w:sz w:val="24"/>
        </w:rPr>
        <w:t xml:space="preserve"> </w:t>
      </w:r>
      <w:r>
        <w:rPr>
          <w:b/>
          <w:color w:val="auto"/>
          <w:sz w:val="24"/>
        </w:rPr>
        <w:t>面源参数表</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365"/>
        <w:gridCol w:w="1655"/>
        <w:gridCol w:w="1602"/>
        <w:gridCol w:w="1192"/>
        <w:gridCol w:w="1454"/>
        <w:gridCol w:w="1262"/>
        <w:gridCol w:w="1443"/>
        <w:gridCol w:w="821"/>
        <w:gridCol w:w="1675"/>
        <w:gridCol w:w="1033"/>
      </w:tblGrid>
      <w:tr w14:paraId="43EFC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restart"/>
            <w:tcBorders>
              <w:tl2br w:val="nil"/>
              <w:tr2bl w:val="nil"/>
            </w:tcBorders>
            <w:vAlign w:val="center"/>
          </w:tcPr>
          <w:p w14:paraId="0BF93951">
            <w:pPr>
              <w:pStyle w:val="141"/>
              <w:rPr>
                <w:rFonts w:cs="Times New Roman"/>
                <w:color w:val="auto"/>
                <w:szCs w:val="21"/>
              </w:rPr>
            </w:pPr>
            <w:bookmarkStart w:id="68" w:name="_Toc12042"/>
            <w:bookmarkStart w:id="69" w:name="_Toc25865"/>
            <w:bookmarkStart w:id="70" w:name="_Toc1487"/>
            <w:bookmarkStart w:id="71" w:name="_Toc843"/>
            <w:r>
              <w:rPr>
                <w:rFonts w:cs="Times New Roman"/>
                <w:color w:val="auto"/>
                <w:szCs w:val="21"/>
              </w:rPr>
              <w:t>编号</w:t>
            </w:r>
          </w:p>
        </w:tc>
        <w:tc>
          <w:tcPr>
            <w:tcW w:w="489" w:type="pct"/>
            <w:vMerge w:val="restart"/>
            <w:tcBorders>
              <w:tl2br w:val="nil"/>
              <w:tr2bl w:val="nil"/>
            </w:tcBorders>
            <w:vAlign w:val="center"/>
          </w:tcPr>
          <w:p w14:paraId="3FED0228">
            <w:pPr>
              <w:pStyle w:val="141"/>
              <w:rPr>
                <w:rFonts w:cs="Times New Roman"/>
                <w:color w:val="auto"/>
                <w:szCs w:val="21"/>
              </w:rPr>
            </w:pPr>
            <w:r>
              <w:rPr>
                <w:rFonts w:cs="Times New Roman"/>
                <w:color w:val="auto"/>
                <w:szCs w:val="21"/>
              </w:rPr>
              <w:t>名称</w:t>
            </w:r>
            <w:bookmarkEnd w:id="68"/>
            <w:bookmarkEnd w:id="69"/>
            <w:bookmarkEnd w:id="70"/>
            <w:bookmarkEnd w:id="71"/>
          </w:p>
        </w:tc>
        <w:tc>
          <w:tcPr>
            <w:tcW w:w="1167" w:type="pct"/>
            <w:gridSpan w:val="2"/>
            <w:tcBorders>
              <w:tl2br w:val="nil"/>
              <w:tr2bl w:val="nil"/>
            </w:tcBorders>
            <w:vAlign w:val="center"/>
          </w:tcPr>
          <w:p w14:paraId="1A3B5AA4">
            <w:pPr>
              <w:pStyle w:val="141"/>
              <w:rPr>
                <w:rFonts w:cs="Times New Roman"/>
                <w:color w:val="auto"/>
                <w:szCs w:val="21"/>
              </w:rPr>
            </w:pPr>
            <w:r>
              <w:rPr>
                <w:rFonts w:cs="Times New Roman"/>
                <w:color w:val="auto"/>
                <w:szCs w:val="21"/>
              </w:rPr>
              <w:t>面源起点坐标/m</w:t>
            </w:r>
          </w:p>
        </w:tc>
        <w:tc>
          <w:tcPr>
            <w:tcW w:w="427" w:type="pct"/>
            <w:vMerge w:val="restart"/>
            <w:tcBorders>
              <w:tl2br w:val="nil"/>
              <w:tr2bl w:val="nil"/>
            </w:tcBorders>
            <w:vAlign w:val="center"/>
          </w:tcPr>
          <w:p w14:paraId="6A71076E">
            <w:pPr>
              <w:pStyle w:val="141"/>
              <w:rPr>
                <w:rFonts w:cs="Times New Roman"/>
                <w:color w:val="auto"/>
                <w:szCs w:val="21"/>
              </w:rPr>
            </w:pPr>
            <w:r>
              <w:rPr>
                <w:rFonts w:cs="Times New Roman"/>
                <w:color w:val="auto"/>
                <w:szCs w:val="21"/>
              </w:rPr>
              <w:t>面源海拔高度/m</w:t>
            </w:r>
          </w:p>
        </w:tc>
        <w:tc>
          <w:tcPr>
            <w:tcW w:w="521" w:type="pct"/>
            <w:vMerge w:val="restart"/>
            <w:tcBorders>
              <w:tl2br w:val="nil"/>
              <w:tr2bl w:val="nil"/>
            </w:tcBorders>
            <w:vAlign w:val="center"/>
          </w:tcPr>
          <w:p w14:paraId="4C2E845F">
            <w:pPr>
              <w:pStyle w:val="141"/>
              <w:rPr>
                <w:rFonts w:hint="default" w:eastAsia="宋体" w:cs="Times New Roman"/>
                <w:color w:val="auto"/>
                <w:szCs w:val="21"/>
                <w:lang w:val="en-US" w:eastAsia="zh-CN"/>
              </w:rPr>
            </w:pPr>
            <w:r>
              <w:rPr>
                <w:rFonts w:hint="eastAsia" w:cs="Times New Roman"/>
                <w:color w:val="auto"/>
                <w:szCs w:val="21"/>
                <w:lang w:val="en-US" w:eastAsia="zh-CN"/>
              </w:rPr>
              <w:t>长度/m</w:t>
            </w:r>
          </w:p>
        </w:tc>
        <w:tc>
          <w:tcPr>
            <w:tcW w:w="452" w:type="pct"/>
            <w:vMerge w:val="restart"/>
            <w:tcBorders>
              <w:tl2br w:val="nil"/>
              <w:tr2bl w:val="nil"/>
            </w:tcBorders>
            <w:vAlign w:val="center"/>
          </w:tcPr>
          <w:p w14:paraId="65E6429B">
            <w:pPr>
              <w:pStyle w:val="141"/>
              <w:rPr>
                <w:rFonts w:hint="default" w:eastAsia="宋体" w:cs="Times New Roman"/>
                <w:color w:val="auto"/>
                <w:szCs w:val="21"/>
                <w:lang w:val="en-US" w:eastAsia="zh-CN"/>
              </w:rPr>
            </w:pPr>
            <w:r>
              <w:rPr>
                <w:rFonts w:hint="eastAsia" w:cs="Times New Roman"/>
                <w:color w:val="auto"/>
                <w:szCs w:val="21"/>
                <w:lang w:val="en-US" w:eastAsia="zh-CN"/>
              </w:rPr>
              <w:t>宽度/m</w:t>
            </w:r>
          </w:p>
        </w:tc>
        <w:tc>
          <w:tcPr>
            <w:tcW w:w="517" w:type="pct"/>
            <w:vMerge w:val="restart"/>
            <w:tcBorders>
              <w:tl2br w:val="nil"/>
              <w:tr2bl w:val="nil"/>
            </w:tcBorders>
            <w:vAlign w:val="center"/>
          </w:tcPr>
          <w:p w14:paraId="16DA8EB8">
            <w:pPr>
              <w:pStyle w:val="141"/>
              <w:rPr>
                <w:rFonts w:cs="Times New Roman"/>
                <w:color w:val="auto"/>
                <w:szCs w:val="21"/>
              </w:rPr>
            </w:pPr>
            <w:r>
              <w:rPr>
                <w:rFonts w:cs="Times New Roman"/>
                <w:color w:val="auto"/>
                <w:szCs w:val="21"/>
              </w:rPr>
              <w:t>面源有限排放高度/m</w:t>
            </w:r>
          </w:p>
        </w:tc>
        <w:tc>
          <w:tcPr>
            <w:tcW w:w="294" w:type="pct"/>
            <w:vMerge w:val="restart"/>
            <w:tcBorders>
              <w:tl2br w:val="nil"/>
              <w:tr2bl w:val="nil"/>
            </w:tcBorders>
            <w:vAlign w:val="center"/>
          </w:tcPr>
          <w:p w14:paraId="617CB330">
            <w:pPr>
              <w:pStyle w:val="141"/>
              <w:rPr>
                <w:rFonts w:cs="Times New Roman"/>
                <w:color w:val="auto"/>
                <w:szCs w:val="21"/>
              </w:rPr>
            </w:pPr>
            <w:r>
              <w:rPr>
                <w:rFonts w:cs="Times New Roman"/>
                <w:color w:val="auto"/>
                <w:szCs w:val="21"/>
              </w:rPr>
              <w:t>排放工况</w:t>
            </w:r>
          </w:p>
        </w:tc>
        <w:tc>
          <w:tcPr>
            <w:tcW w:w="970" w:type="pct"/>
            <w:gridSpan w:val="2"/>
            <w:vMerge w:val="restart"/>
            <w:tcBorders>
              <w:tl2br w:val="nil"/>
              <w:tr2bl w:val="nil"/>
            </w:tcBorders>
            <w:vAlign w:val="center"/>
          </w:tcPr>
          <w:p w14:paraId="69DB4D5A">
            <w:pPr>
              <w:adjustRightInd w:val="0"/>
              <w:snapToGrid w:val="0"/>
              <w:jc w:val="center"/>
              <w:rPr>
                <w:b/>
                <w:color w:val="auto"/>
                <w:szCs w:val="21"/>
              </w:rPr>
            </w:pPr>
            <w:r>
              <w:rPr>
                <w:b/>
                <w:color w:val="auto"/>
                <w:szCs w:val="21"/>
              </w:rPr>
              <w:t>污染物排放速率/（kg/h）</w:t>
            </w:r>
          </w:p>
        </w:tc>
      </w:tr>
      <w:tr w14:paraId="10C0D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tcBorders>
              <w:tl2br w:val="nil"/>
              <w:tr2bl w:val="nil"/>
            </w:tcBorders>
            <w:vAlign w:val="center"/>
          </w:tcPr>
          <w:p w14:paraId="19149348">
            <w:pPr>
              <w:pStyle w:val="141"/>
              <w:rPr>
                <w:rFonts w:cs="Times New Roman"/>
                <w:color w:val="auto"/>
                <w:szCs w:val="21"/>
              </w:rPr>
            </w:pPr>
          </w:p>
        </w:tc>
        <w:tc>
          <w:tcPr>
            <w:tcW w:w="489" w:type="pct"/>
            <w:vMerge w:val="continue"/>
            <w:tcBorders>
              <w:tl2br w:val="nil"/>
              <w:tr2bl w:val="nil"/>
            </w:tcBorders>
            <w:vAlign w:val="center"/>
          </w:tcPr>
          <w:p w14:paraId="0F6D721C">
            <w:pPr>
              <w:pStyle w:val="141"/>
              <w:rPr>
                <w:rFonts w:cs="Times New Roman"/>
                <w:color w:val="auto"/>
                <w:szCs w:val="21"/>
              </w:rPr>
            </w:pPr>
          </w:p>
        </w:tc>
        <w:tc>
          <w:tcPr>
            <w:tcW w:w="593" w:type="pct"/>
            <w:tcBorders>
              <w:tl2br w:val="nil"/>
              <w:tr2bl w:val="nil"/>
            </w:tcBorders>
            <w:vAlign w:val="center"/>
          </w:tcPr>
          <w:p w14:paraId="66A876E0">
            <w:pPr>
              <w:pStyle w:val="141"/>
              <w:rPr>
                <w:rFonts w:cs="Times New Roman"/>
                <w:color w:val="auto"/>
                <w:szCs w:val="21"/>
              </w:rPr>
            </w:pPr>
            <w:r>
              <w:rPr>
                <w:rFonts w:cs="Times New Roman"/>
                <w:color w:val="auto"/>
                <w:szCs w:val="21"/>
              </w:rPr>
              <w:t>x</w:t>
            </w:r>
          </w:p>
        </w:tc>
        <w:tc>
          <w:tcPr>
            <w:tcW w:w="574" w:type="pct"/>
            <w:tcBorders>
              <w:tl2br w:val="nil"/>
              <w:tr2bl w:val="nil"/>
            </w:tcBorders>
            <w:vAlign w:val="center"/>
          </w:tcPr>
          <w:p w14:paraId="3E54CD7D">
            <w:pPr>
              <w:pStyle w:val="141"/>
              <w:rPr>
                <w:rFonts w:cs="Times New Roman"/>
                <w:color w:val="auto"/>
                <w:szCs w:val="21"/>
              </w:rPr>
            </w:pPr>
            <w:r>
              <w:rPr>
                <w:rFonts w:cs="Times New Roman"/>
                <w:color w:val="auto"/>
                <w:szCs w:val="21"/>
              </w:rPr>
              <w:t>y</w:t>
            </w:r>
          </w:p>
        </w:tc>
        <w:tc>
          <w:tcPr>
            <w:tcW w:w="427" w:type="pct"/>
            <w:vMerge w:val="continue"/>
            <w:tcBorders>
              <w:tl2br w:val="nil"/>
              <w:tr2bl w:val="nil"/>
            </w:tcBorders>
            <w:vAlign w:val="center"/>
          </w:tcPr>
          <w:p w14:paraId="5DB96B93">
            <w:pPr>
              <w:pStyle w:val="141"/>
              <w:rPr>
                <w:rFonts w:cs="Times New Roman"/>
                <w:color w:val="auto"/>
                <w:szCs w:val="21"/>
              </w:rPr>
            </w:pPr>
          </w:p>
        </w:tc>
        <w:tc>
          <w:tcPr>
            <w:tcW w:w="521" w:type="pct"/>
            <w:vMerge w:val="continue"/>
            <w:tcBorders>
              <w:tl2br w:val="nil"/>
              <w:tr2bl w:val="nil"/>
            </w:tcBorders>
            <w:vAlign w:val="center"/>
          </w:tcPr>
          <w:p w14:paraId="5495C80F">
            <w:pPr>
              <w:pStyle w:val="141"/>
              <w:rPr>
                <w:rFonts w:cs="Times New Roman"/>
                <w:color w:val="auto"/>
                <w:szCs w:val="21"/>
              </w:rPr>
            </w:pPr>
          </w:p>
        </w:tc>
        <w:tc>
          <w:tcPr>
            <w:tcW w:w="452" w:type="pct"/>
            <w:vMerge w:val="continue"/>
            <w:tcBorders>
              <w:tl2br w:val="nil"/>
              <w:tr2bl w:val="nil"/>
            </w:tcBorders>
            <w:vAlign w:val="center"/>
          </w:tcPr>
          <w:p w14:paraId="4E0F0220">
            <w:pPr>
              <w:pStyle w:val="141"/>
              <w:rPr>
                <w:rFonts w:cs="Times New Roman"/>
                <w:color w:val="auto"/>
                <w:szCs w:val="21"/>
              </w:rPr>
            </w:pPr>
          </w:p>
        </w:tc>
        <w:tc>
          <w:tcPr>
            <w:tcW w:w="517" w:type="pct"/>
            <w:vMerge w:val="continue"/>
            <w:tcBorders>
              <w:tl2br w:val="nil"/>
              <w:tr2bl w:val="nil"/>
            </w:tcBorders>
            <w:vAlign w:val="center"/>
          </w:tcPr>
          <w:p w14:paraId="7DEA5B2C">
            <w:pPr>
              <w:pStyle w:val="141"/>
              <w:rPr>
                <w:rFonts w:cs="Times New Roman"/>
                <w:color w:val="auto"/>
                <w:szCs w:val="21"/>
              </w:rPr>
            </w:pPr>
          </w:p>
        </w:tc>
        <w:tc>
          <w:tcPr>
            <w:tcW w:w="294" w:type="pct"/>
            <w:vMerge w:val="continue"/>
            <w:tcBorders>
              <w:tl2br w:val="nil"/>
              <w:tr2bl w:val="nil"/>
            </w:tcBorders>
            <w:vAlign w:val="center"/>
          </w:tcPr>
          <w:p w14:paraId="56FBCBB2">
            <w:pPr>
              <w:pStyle w:val="141"/>
              <w:rPr>
                <w:rFonts w:cs="Times New Roman"/>
                <w:color w:val="auto"/>
                <w:szCs w:val="21"/>
              </w:rPr>
            </w:pPr>
          </w:p>
        </w:tc>
        <w:tc>
          <w:tcPr>
            <w:tcW w:w="970" w:type="pct"/>
            <w:gridSpan w:val="2"/>
            <w:vMerge w:val="continue"/>
            <w:tcBorders>
              <w:tl2br w:val="nil"/>
              <w:tr2bl w:val="nil"/>
            </w:tcBorders>
            <w:vAlign w:val="center"/>
          </w:tcPr>
          <w:p w14:paraId="601303B2">
            <w:pPr>
              <w:adjustRightInd w:val="0"/>
              <w:snapToGrid w:val="0"/>
              <w:jc w:val="center"/>
              <w:rPr>
                <w:b/>
                <w:color w:val="auto"/>
                <w:szCs w:val="21"/>
              </w:rPr>
            </w:pPr>
          </w:p>
        </w:tc>
      </w:tr>
      <w:tr w14:paraId="437B8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restart"/>
            <w:tcBorders>
              <w:tl2br w:val="nil"/>
              <w:tr2bl w:val="nil"/>
            </w:tcBorders>
            <w:vAlign w:val="center"/>
          </w:tcPr>
          <w:p w14:paraId="13CA4D75">
            <w:pPr>
              <w:pStyle w:val="141"/>
              <w:rPr>
                <w:rFonts w:cs="Times New Roman"/>
                <w:b w:val="0"/>
                <w:bCs/>
                <w:color w:val="auto"/>
                <w:szCs w:val="21"/>
              </w:rPr>
            </w:pPr>
            <w:r>
              <w:rPr>
                <w:rFonts w:hint="eastAsia" w:cs="Times New Roman"/>
                <w:b w:val="0"/>
                <w:bCs/>
                <w:color w:val="auto"/>
                <w:szCs w:val="21"/>
              </w:rPr>
              <w:t>1</w:t>
            </w:r>
          </w:p>
        </w:tc>
        <w:tc>
          <w:tcPr>
            <w:tcW w:w="489" w:type="pct"/>
            <w:vMerge w:val="restart"/>
            <w:tcBorders>
              <w:tl2br w:val="nil"/>
              <w:tr2bl w:val="nil"/>
            </w:tcBorders>
            <w:vAlign w:val="center"/>
          </w:tcPr>
          <w:p w14:paraId="146EB1CC">
            <w:pPr>
              <w:kinsoku w:val="0"/>
              <w:overflowPunct w:val="0"/>
              <w:adjustRightInd w:val="0"/>
              <w:snapToGrid w:val="0"/>
              <w:jc w:val="center"/>
              <w:rPr>
                <w:rFonts w:hint="eastAsia" w:eastAsia="宋体"/>
                <w:bCs/>
                <w:color w:val="auto"/>
                <w:szCs w:val="21"/>
                <w:lang w:eastAsia="zh-CN"/>
              </w:rPr>
            </w:pPr>
            <w:r>
              <w:rPr>
                <w:rFonts w:hint="eastAsia"/>
                <w:bCs/>
                <w:color w:val="auto"/>
                <w:szCs w:val="21"/>
              </w:rPr>
              <w:t>生产车间</w:t>
            </w:r>
            <w:r>
              <w:rPr>
                <w:rFonts w:hint="eastAsia"/>
                <w:bCs/>
                <w:color w:val="auto"/>
                <w:szCs w:val="21"/>
                <w:lang w:eastAsia="zh-CN"/>
              </w:rPr>
              <w:t>（</w:t>
            </w:r>
            <w:r>
              <w:rPr>
                <w:rFonts w:hint="eastAsia"/>
                <w:bCs/>
                <w:color w:val="auto"/>
                <w:szCs w:val="21"/>
                <w:lang w:val="en-US" w:eastAsia="zh-CN"/>
              </w:rPr>
              <w:t>定型区域</w:t>
            </w:r>
            <w:r>
              <w:rPr>
                <w:rFonts w:hint="eastAsia"/>
                <w:bCs/>
                <w:color w:val="auto"/>
                <w:szCs w:val="21"/>
                <w:lang w:eastAsia="zh-CN"/>
              </w:rPr>
              <w:t>）</w:t>
            </w:r>
          </w:p>
        </w:tc>
        <w:tc>
          <w:tcPr>
            <w:tcW w:w="1681" w:type="dxa"/>
            <w:vMerge w:val="restart"/>
            <w:tcBorders>
              <w:tl2br w:val="nil"/>
              <w:tr2bl w:val="nil"/>
            </w:tcBorders>
            <w:vAlign w:val="center"/>
          </w:tcPr>
          <w:p w14:paraId="24061BA4">
            <w:pPr>
              <w:pStyle w:val="141"/>
              <w:rPr>
                <w:rFonts w:hint="eastAsia" w:ascii="Times New Roman" w:hAnsi="Times New Roman" w:eastAsia="宋体" w:cs="Times New Roman"/>
                <w:b w:val="0"/>
                <w:bCs/>
                <w:color w:val="auto"/>
                <w:szCs w:val="21"/>
                <w:lang w:eastAsia="zh-CN"/>
              </w:rPr>
            </w:pPr>
            <w:r>
              <w:rPr>
                <w:rFonts w:hint="eastAsia" w:ascii="Times New Roman" w:hAnsi="Times New Roman" w:eastAsia="宋体" w:cs="Times New Roman"/>
                <w:b w:val="0"/>
                <w:bCs/>
                <w:color w:val="auto"/>
                <w:szCs w:val="21"/>
                <w:lang w:eastAsia="zh-CN"/>
              </w:rPr>
              <w:t>120.649844</w:t>
            </w:r>
          </w:p>
        </w:tc>
        <w:tc>
          <w:tcPr>
            <w:tcW w:w="1627" w:type="dxa"/>
            <w:vMerge w:val="restart"/>
            <w:tcBorders>
              <w:tl2br w:val="nil"/>
              <w:tr2bl w:val="nil"/>
            </w:tcBorders>
            <w:vAlign w:val="center"/>
          </w:tcPr>
          <w:p w14:paraId="6258EC29">
            <w:pPr>
              <w:pStyle w:val="141"/>
              <w:rPr>
                <w:rFonts w:hint="eastAsia" w:ascii="Times New Roman" w:hAnsi="Times New Roman" w:eastAsia="宋体" w:cs="Times New Roman"/>
                <w:b w:val="0"/>
                <w:bCs/>
                <w:color w:val="auto"/>
                <w:szCs w:val="21"/>
                <w:lang w:eastAsia="zh-CN"/>
              </w:rPr>
            </w:pPr>
            <w:r>
              <w:rPr>
                <w:rFonts w:hint="eastAsia" w:ascii="Times New Roman" w:hAnsi="Times New Roman" w:eastAsia="宋体" w:cs="Times New Roman"/>
                <w:b w:val="0"/>
                <w:bCs/>
                <w:color w:val="auto"/>
                <w:szCs w:val="21"/>
                <w:lang w:eastAsia="zh-CN"/>
              </w:rPr>
              <w:t>32.13949</w:t>
            </w:r>
          </w:p>
        </w:tc>
        <w:tc>
          <w:tcPr>
            <w:tcW w:w="427" w:type="pct"/>
            <w:vMerge w:val="restart"/>
            <w:tcBorders>
              <w:tl2br w:val="nil"/>
              <w:tr2bl w:val="nil"/>
            </w:tcBorders>
            <w:vAlign w:val="center"/>
          </w:tcPr>
          <w:p w14:paraId="4FF7ED23">
            <w:pPr>
              <w:pStyle w:val="141"/>
              <w:rPr>
                <w:rFonts w:hint="eastAsia" w:eastAsia="宋体" w:cs="Times New Roman"/>
                <w:b w:val="0"/>
                <w:bCs/>
                <w:color w:val="auto"/>
                <w:szCs w:val="21"/>
                <w:lang w:eastAsia="zh-CN"/>
              </w:rPr>
            </w:pPr>
            <w:r>
              <w:rPr>
                <w:rFonts w:hint="eastAsia" w:cs="Times New Roman"/>
                <w:b w:val="0"/>
                <w:bCs/>
                <w:color w:val="auto"/>
                <w:szCs w:val="21"/>
                <w:lang w:val="en-US" w:eastAsia="zh-CN"/>
              </w:rPr>
              <w:t>5</w:t>
            </w:r>
          </w:p>
        </w:tc>
        <w:tc>
          <w:tcPr>
            <w:tcW w:w="521" w:type="pct"/>
            <w:vMerge w:val="restart"/>
            <w:tcBorders>
              <w:tl2br w:val="nil"/>
              <w:tr2bl w:val="nil"/>
            </w:tcBorders>
            <w:vAlign w:val="center"/>
          </w:tcPr>
          <w:p w14:paraId="28693EDE">
            <w:pPr>
              <w:pStyle w:val="105"/>
              <w:kinsoku w:val="0"/>
              <w:overflowPunct w:val="0"/>
              <w:adjustRightInd w:val="0"/>
              <w:snapToGrid w:val="0"/>
              <w:spacing w:before="24" w:after="24"/>
              <w:rPr>
                <w:rFonts w:hint="default" w:eastAsia="宋体"/>
                <w:bCs/>
                <w:color w:val="auto"/>
                <w:szCs w:val="21"/>
                <w:lang w:val="en-US" w:eastAsia="zh-CN"/>
              </w:rPr>
            </w:pPr>
            <w:r>
              <w:rPr>
                <w:rFonts w:hint="eastAsia"/>
                <w:bCs/>
                <w:color w:val="auto"/>
                <w:sz w:val="21"/>
                <w:szCs w:val="21"/>
                <w:lang w:val="en-US" w:eastAsia="zh-CN"/>
              </w:rPr>
              <w:t>60</w:t>
            </w:r>
          </w:p>
        </w:tc>
        <w:tc>
          <w:tcPr>
            <w:tcW w:w="452" w:type="pct"/>
            <w:vMerge w:val="restart"/>
            <w:tcBorders>
              <w:tl2br w:val="nil"/>
              <w:tr2bl w:val="nil"/>
            </w:tcBorders>
            <w:vAlign w:val="center"/>
          </w:tcPr>
          <w:p w14:paraId="4DBD985C">
            <w:pPr>
              <w:pStyle w:val="141"/>
              <w:rPr>
                <w:rFonts w:hint="default" w:eastAsia="宋体" w:cs="Times New Roman"/>
                <w:b w:val="0"/>
                <w:bCs/>
                <w:color w:val="auto"/>
                <w:szCs w:val="21"/>
                <w:lang w:val="en-US" w:eastAsia="zh-CN"/>
              </w:rPr>
            </w:pPr>
            <w:r>
              <w:rPr>
                <w:rFonts w:hint="eastAsia" w:cs="Times New Roman"/>
                <w:b w:val="0"/>
                <w:bCs/>
                <w:color w:val="auto"/>
                <w:szCs w:val="21"/>
                <w:lang w:val="en-US" w:eastAsia="zh-CN"/>
              </w:rPr>
              <w:t>20</w:t>
            </w:r>
          </w:p>
        </w:tc>
        <w:tc>
          <w:tcPr>
            <w:tcW w:w="517" w:type="pct"/>
            <w:vMerge w:val="restart"/>
            <w:tcBorders>
              <w:tl2br w:val="nil"/>
              <w:tr2bl w:val="nil"/>
            </w:tcBorders>
            <w:vAlign w:val="center"/>
          </w:tcPr>
          <w:p w14:paraId="7EE24FED">
            <w:pPr>
              <w:pStyle w:val="128"/>
              <w:spacing w:line="240" w:lineRule="exact"/>
              <w:rPr>
                <w:rFonts w:hint="default" w:eastAsia="宋体"/>
                <w:bCs/>
                <w:color w:val="auto"/>
                <w:lang w:val="en-US" w:eastAsia="zh-CN"/>
              </w:rPr>
            </w:pPr>
            <w:r>
              <w:rPr>
                <w:rFonts w:hint="eastAsia"/>
                <w:bCs/>
                <w:color w:val="auto"/>
                <w:lang w:val="en-US" w:eastAsia="zh-CN"/>
              </w:rPr>
              <w:t>8.5</w:t>
            </w:r>
          </w:p>
        </w:tc>
        <w:tc>
          <w:tcPr>
            <w:tcW w:w="294" w:type="pct"/>
            <w:vMerge w:val="restart"/>
            <w:tcBorders>
              <w:tl2br w:val="nil"/>
              <w:tr2bl w:val="nil"/>
            </w:tcBorders>
            <w:vAlign w:val="center"/>
          </w:tcPr>
          <w:p w14:paraId="0F74512A">
            <w:pPr>
              <w:pStyle w:val="141"/>
              <w:rPr>
                <w:rFonts w:cs="Times New Roman"/>
                <w:b w:val="0"/>
                <w:bCs/>
                <w:color w:val="auto"/>
                <w:szCs w:val="21"/>
              </w:rPr>
            </w:pPr>
            <w:r>
              <w:rPr>
                <w:rFonts w:cs="Times New Roman"/>
                <w:b w:val="0"/>
                <w:bCs/>
                <w:color w:val="auto"/>
                <w:szCs w:val="21"/>
              </w:rPr>
              <w:t>正常</w:t>
            </w:r>
          </w:p>
        </w:tc>
        <w:tc>
          <w:tcPr>
            <w:tcW w:w="600" w:type="pct"/>
            <w:tcBorders>
              <w:bottom w:val="single" w:color="auto" w:sz="4" w:space="0"/>
              <w:tl2br w:val="nil"/>
              <w:tr2bl w:val="nil"/>
            </w:tcBorders>
            <w:vAlign w:val="center"/>
          </w:tcPr>
          <w:p w14:paraId="0734E053">
            <w:pPr>
              <w:pStyle w:val="105"/>
              <w:spacing w:line="240" w:lineRule="exact"/>
              <w:rPr>
                <w:bCs/>
                <w:color w:val="auto"/>
                <w:sz w:val="21"/>
                <w:szCs w:val="21"/>
              </w:rPr>
            </w:pPr>
            <w:r>
              <w:rPr>
                <w:bCs/>
                <w:color w:val="auto"/>
                <w:sz w:val="21"/>
                <w:szCs w:val="21"/>
              </w:rPr>
              <w:t>非甲烷总烃</w:t>
            </w:r>
          </w:p>
        </w:tc>
        <w:tc>
          <w:tcPr>
            <w:tcW w:w="370" w:type="pct"/>
            <w:tcBorders>
              <w:bottom w:val="single" w:color="auto" w:sz="4" w:space="0"/>
              <w:tl2br w:val="nil"/>
              <w:tr2bl w:val="nil"/>
            </w:tcBorders>
            <w:vAlign w:val="center"/>
          </w:tcPr>
          <w:p w14:paraId="53491EBD">
            <w:pPr>
              <w:kinsoku w:val="0"/>
              <w:overflowPunct w:val="0"/>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0.011</w:t>
            </w:r>
          </w:p>
        </w:tc>
      </w:tr>
      <w:tr w14:paraId="42F7C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 w:type="pct"/>
            <w:vMerge w:val="continue"/>
            <w:tcBorders>
              <w:tl2br w:val="nil"/>
              <w:tr2bl w:val="nil"/>
            </w:tcBorders>
            <w:vAlign w:val="center"/>
          </w:tcPr>
          <w:p w14:paraId="5C0ED031">
            <w:pPr>
              <w:pStyle w:val="141"/>
              <w:rPr>
                <w:rFonts w:cs="Times New Roman"/>
                <w:b w:val="0"/>
                <w:bCs/>
                <w:color w:val="auto"/>
                <w:szCs w:val="21"/>
              </w:rPr>
            </w:pPr>
          </w:p>
        </w:tc>
        <w:tc>
          <w:tcPr>
            <w:tcW w:w="489" w:type="pct"/>
            <w:vMerge w:val="continue"/>
            <w:tcBorders>
              <w:tl2br w:val="nil"/>
              <w:tr2bl w:val="nil"/>
            </w:tcBorders>
            <w:vAlign w:val="center"/>
          </w:tcPr>
          <w:p w14:paraId="4CAE3297">
            <w:pPr>
              <w:pStyle w:val="105"/>
              <w:kinsoku w:val="0"/>
              <w:overflowPunct w:val="0"/>
              <w:adjustRightInd w:val="0"/>
              <w:snapToGrid w:val="0"/>
              <w:spacing w:before="24" w:after="24"/>
              <w:rPr>
                <w:bCs/>
                <w:color w:val="auto"/>
                <w:sz w:val="21"/>
                <w:szCs w:val="21"/>
              </w:rPr>
            </w:pPr>
          </w:p>
        </w:tc>
        <w:tc>
          <w:tcPr>
            <w:tcW w:w="593" w:type="pct"/>
            <w:vMerge w:val="continue"/>
            <w:tcBorders>
              <w:tl2br w:val="nil"/>
              <w:tr2bl w:val="nil"/>
            </w:tcBorders>
            <w:vAlign w:val="center"/>
          </w:tcPr>
          <w:p w14:paraId="683E39B4">
            <w:pPr>
              <w:pStyle w:val="141"/>
              <w:rPr>
                <w:rFonts w:hint="eastAsia" w:ascii="Times New Roman" w:hAnsi="Times New Roman" w:eastAsia="宋体" w:cs="Times New Roman"/>
                <w:b w:val="0"/>
                <w:bCs/>
                <w:color w:val="auto"/>
                <w:szCs w:val="21"/>
                <w:lang w:eastAsia="zh-CN"/>
              </w:rPr>
            </w:pPr>
          </w:p>
        </w:tc>
        <w:tc>
          <w:tcPr>
            <w:tcW w:w="574" w:type="pct"/>
            <w:vMerge w:val="continue"/>
            <w:tcBorders>
              <w:tl2br w:val="nil"/>
              <w:tr2bl w:val="nil"/>
            </w:tcBorders>
            <w:vAlign w:val="center"/>
          </w:tcPr>
          <w:p w14:paraId="36F3B546">
            <w:pPr>
              <w:pStyle w:val="141"/>
              <w:rPr>
                <w:rFonts w:hint="eastAsia" w:ascii="Times New Roman" w:hAnsi="Times New Roman" w:eastAsia="宋体" w:cs="Times New Roman"/>
                <w:b w:val="0"/>
                <w:bCs/>
                <w:color w:val="auto"/>
                <w:szCs w:val="21"/>
                <w:lang w:eastAsia="zh-CN"/>
              </w:rPr>
            </w:pPr>
          </w:p>
        </w:tc>
        <w:tc>
          <w:tcPr>
            <w:tcW w:w="427" w:type="pct"/>
            <w:vMerge w:val="continue"/>
            <w:tcBorders>
              <w:tl2br w:val="nil"/>
              <w:tr2bl w:val="nil"/>
            </w:tcBorders>
            <w:vAlign w:val="center"/>
          </w:tcPr>
          <w:p w14:paraId="478A4D86">
            <w:pPr>
              <w:pStyle w:val="141"/>
              <w:rPr>
                <w:rFonts w:cs="Times New Roman"/>
                <w:b w:val="0"/>
                <w:bCs/>
                <w:color w:val="auto"/>
                <w:szCs w:val="21"/>
              </w:rPr>
            </w:pPr>
          </w:p>
        </w:tc>
        <w:tc>
          <w:tcPr>
            <w:tcW w:w="521" w:type="pct"/>
            <w:vMerge w:val="continue"/>
            <w:tcBorders>
              <w:tl2br w:val="nil"/>
              <w:tr2bl w:val="nil"/>
            </w:tcBorders>
            <w:vAlign w:val="center"/>
          </w:tcPr>
          <w:p w14:paraId="143474E4">
            <w:pPr>
              <w:pStyle w:val="105"/>
              <w:kinsoku w:val="0"/>
              <w:overflowPunct w:val="0"/>
              <w:adjustRightInd w:val="0"/>
              <w:snapToGrid w:val="0"/>
              <w:spacing w:before="24" w:after="24"/>
              <w:rPr>
                <w:bCs/>
                <w:color w:val="auto"/>
                <w:sz w:val="21"/>
                <w:szCs w:val="21"/>
              </w:rPr>
            </w:pPr>
          </w:p>
        </w:tc>
        <w:tc>
          <w:tcPr>
            <w:tcW w:w="452" w:type="pct"/>
            <w:vMerge w:val="continue"/>
            <w:tcBorders>
              <w:tl2br w:val="nil"/>
              <w:tr2bl w:val="nil"/>
            </w:tcBorders>
            <w:vAlign w:val="center"/>
          </w:tcPr>
          <w:p w14:paraId="0A3BA72B">
            <w:pPr>
              <w:adjustRightInd w:val="0"/>
              <w:snapToGrid w:val="0"/>
              <w:jc w:val="center"/>
              <w:rPr>
                <w:bCs/>
                <w:color w:val="auto"/>
                <w:szCs w:val="21"/>
              </w:rPr>
            </w:pPr>
          </w:p>
        </w:tc>
        <w:tc>
          <w:tcPr>
            <w:tcW w:w="517" w:type="pct"/>
            <w:vMerge w:val="continue"/>
            <w:tcBorders>
              <w:tl2br w:val="nil"/>
              <w:tr2bl w:val="nil"/>
            </w:tcBorders>
            <w:vAlign w:val="center"/>
          </w:tcPr>
          <w:p w14:paraId="41649FD2">
            <w:pPr>
              <w:pStyle w:val="128"/>
              <w:spacing w:line="240" w:lineRule="exact"/>
              <w:rPr>
                <w:color w:val="auto"/>
              </w:rPr>
            </w:pPr>
          </w:p>
        </w:tc>
        <w:tc>
          <w:tcPr>
            <w:tcW w:w="294" w:type="pct"/>
            <w:vMerge w:val="continue"/>
            <w:tcBorders>
              <w:tl2br w:val="nil"/>
              <w:tr2bl w:val="nil"/>
            </w:tcBorders>
            <w:vAlign w:val="center"/>
          </w:tcPr>
          <w:p w14:paraId="5211226F">
            <w:pPr>
              <w:pStyle w:val="141"/>
              <w:rPr>
                <w:rFonts w:cs="Times New Roman"/>
                <w:b w:val="0"/>
                <w:bCs/>
                <w:color w:val="auto"/>
                <w:szCs w:val="21"/>
              </w:rPr>
            </w:pPr>
          </w:p>
        </w:tc>
        <w:tc>
          <w:tcPr>
            <w:tcW w:w="600" w:type="pct"/>
            <w:tcBorders>
              <w:top w:val="single" w:color="auto" w:sz="4" w:space="0"/>
              <w:bottom w:val="single" w:color="auto" w:sz="4" w:space="0"/>
            </w:tcBorders>
            <w:vAlign w:val="center"/>
          </w:tcPr>
          <w:p w14:paraId="1A49A5E9">
            <w:pPr>
              <w:pStyle w:val="105"/>
              <w:spacing w:line="240" w:lineRule="exact"/>
              <w:rPr>
                <w:bCs/>
                <w:color w:val="auto"/>
                <w:sz w:val="21"/>
                <w:szCs w:val="21"/>
              </w:rPr>
            </w:pPr>
            <w:r>
              <w:rPr>
                <w:bCs/>
                <w:color w:val="auto"/>
                <w:sz w:val="21"/>
                <w:szCs w:val="21"/>
              </w:rPr>
              <w:t>颗粒物</w:t>
            </w:r>
          </w:p>
        </w:tc>
        <w:tc>
          <w:tcPr>
            <w:tcW w:w="370" w:type="pct"/>
            <w:tcBorders>
              <w:top w:val="single" w:color="auto" w:sz="4" w:space="0"/>
              <w:bottom w:val="single" w:color="auto" w:sz="4" w:space="0"/>
            </w:tcBorders>
            <w:vAlign w:val="center"/>
          </w:tcPr>
          <w:p w14:paraId="715C63E0">
            <w:pPr>
              <w:kinsoku w:val="0"/>
              <w:overflowPunct w:val="0"/>
              <w:adjustRightInd w:val="0"/>
              <w:snapToGrid w:val="0"/>
              <w:jc w:val="center"/>
              <w:textAlignment w:val="center"/>
              <w:rPr>
                <w:rFonts w:hint="default" w:eastAsia="宋体"/>
                <w:color w:val="auto"/>
                <w:szCs w:val="21"/>
                <w:lang w:val="en-US" w:eastAsia="zh-CN"/>
              </w:rPr>
            </w:pPr>
            <w:r>
              <w:rPr>
                <w:rFonts w:hint="eastAsia"/>
                <w:color w:val="auto"/>
                <w:szCs w:val="21"/>
                <w:lang w:val="en-US" w:eastAsia="zh-CN"/>
              </w:rPr>
              <w:t>0.011</w:t>
            </w:r>
          </w:p>
        </w:tc>
      </w:tr>
      <w:tr w14:paraId="05DC9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 w:type="pct"/>
            <w:tcBorders>
              <w:tl2br w:val="nil"/>
              <w:tr2bl w:val="nil"/>
            </w:tcBorders>
            <w:vAlign w:val="center"/>
          </w:tcPr>
          <w:p w14:paraId="52116A51">
            <w:pPr>
              <w:pStyle w:val="141"/>
              <w:rPr>
                <w:rFonts w:hint="eastAsia" w:eastAsia="宋体" w:cs="Times New Roman"/>
                <w:b w:val="0"/>
                <w:bCs/>
                <w:color w:val="auto"/>
                <w:szCs w:val="21"/>
                <w:lang w:val="en-US" w:eastAsia="zh-CN"/>
              </w:rPr>
            </w:pPr>
            <w:r>
              <w:rPr>
                <w:rFonts w:hint="eastAsia" w:cs="Times New Roman"/>
                <w:b w:val="0"/>
                <w:bCs/>
                <w:color w:val="auto"/>
                <w:szCs w:val="21"/>
                <w:lang w:val="en-US" w:eastAsia="zh-CN"/>
              </w:rPr>
              <w:t>2</w:t>
            </w:r>
          </w:p>
        </w:tc>
        <w:tc>
          <w:tcPr>
            <w:tcW w:w="489" w:type="pct"/>
            <w:tcBorders>
              <w:tl2br w:val="nil"/>
              <w:tr2bl w:val="nil"/>
            </w:tcBorders>
            <w:vAlign w:val="center"/>
          </w:tcPr>
          <w:p w14:paraId="59253DCB">
            <w:pPr>
              <w:pStyle w:val="105"/>
              <w:kinsoku w:val="0"/>
              <w:overflowPunct w:val="0"/>
              <w:adjustRightInd w:val="0"/>
              <w:snapToGrid w:val="0"/>
              <w:spacing w:before="24" w:after="24"/>
              <w:rPr>
                <w:rFonts w:hint="eastAsia" w:eastAsia="宋体"/>
                <w:bCs/>
                <w:color w:val="auto"/>
                <w:sz w:val="21"/>
                <w:szCs w:val="21"/>
                <w:lang w:val="en-US" w:eastAsia="zh-CN"/>
              </w:rPr>
            </w:pPr>
            <w:r>
              <w:rPr>
                <w:rFonts w:hint="eastAsia"/>
                <w:bCs/>
                <w:color w:val="auto"/>
                <w:sz w:val="21"/>
                <w:szCs w:val="21"/>
                <w:lang w:val="en-US" w:eastAsia="zh-CN"/>
              </w:rPr>
              <w:t>生产车间（拉毛区域）</w:t>
            </w:r>
          </w:p>
        </w:tc>
        <w:tc>
          <w:tcPr>
            <w:tcW w:w="1655" w:type="dxa"/>
            <w:tcBorders>
              <w:tl2br w:val="nil"/>
              <w:tr2bl w:val="nil"/>
            </w:tcBorders>
            <w:vAlign w:val="center"/>
          </w:tcPr>
          <w:p w14:paraId="73BF91F1">
            <w:pPr>
              <w:pStyle w:val="141"/>
              <w:rPr>
                <w:rFonts w:hint="eastAsia" w:ascii="Times New Roman" w:hAnsi="Times New Roman" w:eastAsia="宋体" w:cs="Times New Roman"/>
                <w:b w:val="0"/>
                <w:bCs/>
                <w:color w:val="auto"/>
                <w:szCs w:val="21"/>
                <w:lang w:eastAsia="zh-CN"/>
              </w:rPr>
            </w:pPr>
            <w:r>
              <w:rPr>
                <w:rFonts w:hint="eastAsia" w:ascii="Times New Roman" w:hAnsi="Times New Roman" w:eastAsia="宋体" w:cs="Times New Roman"/>
                <w:b w:val="0"/>
                <w:bCs/>
                <w:color w:val="auto"/>
                <w:szCs w:val="21"/>
                <w:lang w:eastAsia="zh-CN"/>
              </w:rPr>
              <w:t>120.649431</w:t>
            </w:r>
          </w:p>
        </w:tc>
        <w:tc>
          <w:tcPr>
            <w:tcW w:w="1602" w:type="dxa"/>
            <w:tcBorders>
              <w:tl2br w:val="nil"/>
              <w:tr2bl w:val="nil"/>
            </w:tcBorders>
            <w:vAlign w:val="center"/>
          </w:tcPr>
          <w:p w14:paraId="03FDDF0D">
            <w:pPr>
              <w:pStyle w:val="141"/>
              <w:rPr>
                <w:rFonts w:hint="eastAsia" w:ascii="Times New Roman" w:hAnsi="Times New Roman" w:eastAsia="宋体" w:cs="Times New Roman"/>
                <w:b w:val="0"/>
                <w:bCs/>
                <w:color w:val="auto"/>
                <w:szCs w:val="21"/>
                <w:lang w:eastAsia="zh-CN"/>
              </w:rPr>
            </w:pPr>
            <w:r>
              <w:rPr>
                <w:rFonts w:hint="eastAsia" w:ascii="Times New Roman" w:hAnsi="Times New Roman" w:eastAsia="宋体" w:cs="Times New Roman"/>
                <w:b w:val="0"/>
                <w:bCs/>
                <w:color w:val="auto"/>
                <w:szCs w:val="21"/>
                <w:lang w:eastAsia="zh-CN"/>
              </w:rPr>
              <w:t>32.139392</w:t>
            </w:r>
          </w:p>
        </w:tc>
        <w:tc>
          <w:tcPr>
            <w:tcW w:w="427" w:type="pct"/>
            <w:tcBorders>
              <w:tl2br w:val="nil"/>
              <w:tr2bl w:val="nil"/>
            </w:tcBorders>
            <w:vAlign w:val="center"/>
          </w:tcPr>
          <w:p w14:paraId="2DDAE100">
            <w:pPr>
              <w:pStyle w:val="141"/>
              <w:rPr>
                <w:rFonts w:hint="eastAsia" w:eastAsia="宋体" w:cs="Times New Roman"/>
                <w:b w:val="0"/>
                <w:bCs/>
                <w:color w:val="auto"/>
                <w:szCs w:val="21"/>
                <w:lang w:val="en-US" w:eastAsia="zh-CN"/>
              </w:rPr>
            </w:pPr>
            <w:r>
              <w:rPr>
                <w:rFonts w:hint="eastAsia" w:cs="Times New Roman"/>
                <w:b w:val="0"/>
                <w:bCs/>
                <w:color w:val="auto"/>
                <w:szCs w:val="21"/>
                <w:lang w:val="en-US" w:eastAsia="zh-CN"/>
              </w:rPr>
              <w:t>5</w:t>
            </w:r>
          </w:p>
        </w:tc>
        <w:tc>
          <w:tcPr>
            <w:tcW w:w="521" w:type="pct"/>
            <w:tcBorders>
              <w:tl2br w:val="nil"/>
              <w:tr2bl w:val="nil"/>
            </w:tcBorders>
            <w:vAlign w:val="center"/>
          </w:tcPr>
          <w:p w14:paraId="266887FB">
            <w:pPr>
              <w:pStyle w:val="105"/>
              <w:kinsoku w:val="0"/>
              <w:overflowPunct w:val="0"/>
              <w:adjustRightInd w:val="0"/>
              <w:snapToGrid w:val="0"/>
              <w:spacing w:before="24" w:after="24"/>
              <w:rPr>
                <w:rFonts w:hint="default" w:eastAsia="宋体"/>
                <w:bCs/>
                <w:color w:val="auto"/>
                <w:sz w:val="21"/>
                <w:szCs w:val="21"/>
                <w:lang w:val="en-US" w:eastAsia="zh-CN"/>
              </w:rPr>
            </w:pPr>
            <w:r>
              <w:rPr>
                <w:rFonts w:hint="eastAsia"/>
                <w:bCs/>
                <w:color w:val="auto"/>
                <w:sz w:val="21"/>
                <w:szCs w:val="21"/>
                <w:lang w:val="en-US" w:eastAsia="zh-CN"/>
              </w:rPr>
              <w:t>20</w:t>
            </w:r>
          </w:p>
        </w:tc>
        <w:tc>
          <w:tcPr>
            <w:tcW w:w="452" w:type="pct"/>
            <w:tcBorders>
              <w:tl2br w:val="nil"/>
              <w:tr2bl w:val="nil"/>
            </w:tcBorders>
            <w:vAlign w:val="center"/>
          </w:tcPr>
          <w:p w14:paraId="0748651A">
            <w:pPr>
              <w:adjustRightInd w:val="0"/>
              <w:snapToGrid w:val="0"/>
              <w:jc w:val="center"/>
              <w:rPr>
                <w:rFonts w:hint="default" w:eastAsia="宋体"/>
                <w:bCs/>
                <w:color w:val="auto"/>
                <w:szCs w:val="21"/>
                <w:lang w:val="en-US" w:eastAsia="zh-CN"/>
              </w:rPr>
            </w:pPr>
            <w:r>
              <w:rPr>
                <w:rFonts w:hint="eastAsia"/>
                <w:bCs/>
                <w:color w:val="auto"/>
                <w:szCs w:val="21"/>
                <w:lang w:val="en-US" w:eastAsia="zh-CN"/>
              </w:rPr>
              <w:t>10</w:t>
            </w:r>
          </w:p>
        </w:tc>
        <w:tc>
          <w:tcPr>
            <w:tcW w:w="517" w:type="pct"/>
            <w:tcBorders>
              <w:tl2br w:val="nil"/>
              <w:tr2bl w:val="nil"/>
            </w:tcBorders>
            <w:vAlign w:val="center"/>
          </w:tcPr>
          <w:p w14:paraId="7414E87A">
            <w:pPr>
              <w:pStyle w:val="128"/>
              <w:spacing w:line="240" w:lineRule="exact"/>
              <w:rPr>
                <w:rFonts w:hint="eastAsia" w:eastAsia="宋体"/>
                <w:color w:val="auto"/>
                <w:lang w:val="en-US" w:eastAsia="zh-CN"/>
              </w:rPr>
            </w:pPr>
            <w:r>
              <w:rPr>
                <w:rFonts w:hint="eastAsia"/>
                <w:color w:val="auto"/>
                <w:lang w:val="en-US" w:eastAsia="zh-CN"/>
              </w:rPr>
              <w:t>5</w:t>
            </w:r>
          </w:p>
        </w:tc>
        <w:tc>
          <w:tcPr>
            <w:tcW w:w="294" w:type="pct"/>
            <w:tcBorders>
              <w:tl2br w:val="nil"/>
              <w:tr2bl w:val="nil"/>
            </w:tcBorders>
            <w:vAlign w:val="center"/>
          </w:tcPr>
          <w:p w14:paraId="6B539184">
            <w:pPr>
              <w:pStyle w:val="141"/>
              <w:rPr>
                <w:rFonts w:hint="eastAsia" w:eastAsia="宋体" w:cs="Times New Roman"/>
                <w:b w:val="0"/>
                <w:bCs/>
                <w:color w:val="auto"/>
                <w:szCs w:val="21"/>
                <w:lang w:val="en-US" w:eastAsia="zh-CN"/>
              </w:rPr>
            </w:pPr>
            <w:r>
              <w:rPr>
                <w:rFonts w:hint="eastAsia" w:cs="Times New Roman"/>
                <w:b w:val="0"/>
                <w:bCs/>
                <w:color w:val="auto"/>
                <w:szCs w:val="21"/>
                <w:lang w:val="en-US" w:eastAsia="zh-CN"/>
              </w:rPr>
              <w:t>正常</w:t>
            </w:r>
          </w:p>
        </w:tc>
        <w:tc>
          <w:tcPr>
            <w:tcW w:w="600" w:type="pct"/>
            <w:tcBorders>
              <w:top w:val="single" w:color="auto" w:sz="4" w:space="0"/>
              <w:bottom w:val="single" w:color="auto" w:sz="12" w:space="0"/>
            </w:tcBorders>
            <w:vAlign w:val="center"/>
          </w:tcPr>
          <w:p w14:paraId="7D8F1F51">
            <w:pPr>
              <w:pStyle w:val="105"/>
              <w:spacing w:line="240" w:lineRule="exact"/>
              <w:rPr>
                <w:rFonts w:hint="eastAsia" w:eastAsia="宋体"/>
                <w:bCs/>
                <w:color w:val="auto"/>
                <w:sz w:val="21"/>
                <w:szCs w:val="21"/>
                <w:lang w:val="en-US" w:eastAsia="zh-CN"/>
              </w:rPr>
            </w:pPr>
            <w:r>
              <w:rPr>
                <w:rFonts w:hint="eastAsia"/>
                <w:bCs/>
                <w:color w:val="auto"/>
                <w:sz w:val="21"/>
                <w:szCs w:val="21"/>
                <w:lang w:val="en-US" w:eastAsia="zh-CN"/>
              </w:rPr>
              <w:t>颗粒物</w:t>
            </w:r>
          </w:p>
        </w:tc>
        <w:tc>
          <w:tcPr>
            <w:tcW w:w="370" w:type="pct"/>
            <w:tcBorders>
              <w:top w:val="single" w:color="auto" w:sz="4" w:space="0"/>
              <w:bottom w:val="single" w:color="auto" w:sz="12" w:space="0"/>
            </w:tcBorders>
            <w:vAlign w:val="center"/>
          </w:tcPr>
          <w:p w14:paraId="18AD9CEC">
            <w:pPr>
              <w:kinsoku w:val="0"/>
              <w:overflowPunct w:val="0"/>
              <w:adjustRightInd w:val="0"/>
              <w:snapToGrid w:val="0"/>
              <w:jc w:val="center"/>
              <w:textAlignment w:val="center"/>
              <w:rPr>
                <w:rFonts w:hint="default"/>
                <w:color w:val="auto"/>
                <w:szCs w:val="21"/>
                <w:lang w:val="en-US" w:eastAsia="zh-CN"/>
              </w:rPr>
            </w:pPr>
            <w:r>
              <w:rPr>
                <w:rFonts w:hint="eastAsia"/>
                <w:color w:val="auto"/>
                <w:szCs w:val="21"/>
                <w:lang w:val="en-US" w:eastAsia="zh-CN"/>
              </w:rPr>
              <w:t>0.0003</w:t>
            </w:r>
          </w:p>
        </w:tc>
      </w:tr>
    </w:tbl>
    <w:p w14:paraId="7F944C09">
      <w:pPr>
        <w:keepNext w:val="0"/>
        <w:keepLines w:val="0"/>
        <w:pageBreakBefore w:val="0"/>
        <w:widowControl/>
        <w:kinsoku/>
        <w:wordWrap/>
        <w:overflowPunct/>
        <w:topLinePunct w:val="0"/>
        <w:autoSpaceDE/>
        <w:autoSpaceDN/>
        <w:bidi w:val="0"/>
        <w:adjustRightInd w:val="0"/>
        <w:snapToGrid w:val="0"/>
        <w:jc w:val="both"/>
        <w:textAlignment w:val="auto"/>
        <w:rPr>
          <w:rFonts w:hint="default" w:eastAsia="宋体"/>
          <w:b/>
          <w:bCs w:val="0"/>
          <w:color w:val="auto"/>
          <w:sz w:val="18"/>
          <w:szCs w:val="13"/>
          <w:lang w:val="en-US" w:eastAsia="zh-CN"/>
        </w:rPr>
      </w:pPr>
      <w:r>
        <w:rPr>
          <w:rFonts w:hint="eastAsia"/>
          <w:b/>
          <w:bCs w:val="0"/>
          <w:color w:val="auto"/>
          <w:sz w:val="18"/>
          <w:szCs w:val="13"/>
          <w:lang w:val="en-US" w:eastAsia="zh-CN"/>
        </w:rPr>
        <w:t>注：危废仓库废气产生量极少，忽略不计，因此面源不考虑危废仓库</w:t>
      </w:r>
    </w:p>
    <w:p w14:paraId="58DC0881">
      <w:pPr>
        <w:widowControl/>
        <w:adjustRightInd w:val="0"/>
        <w:snapToGrid w:val="0"/>
        <w:spacing w:before="120" w:beforeLines="50"/>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lang w:val="en-US" w:eastAsia="zh-CN"/>
        </w:rPr>
        <w:t>5</w:t>
      </w:r>
      <w:r>
        <w:rPr>
          <w:b/>
          <w:color w:val="auto"/>
          <w:sz w:val="24"/>
        </w:rPr>
        <w:t xml:space="preserve">  非正常排放参数表</w:t>
      </w:r>
    </w:p>
    <w:tbl>
      <w:tblPr>
        <w:tblStyle w:val="37"/>
        <w:tblW w:w="496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750"/>
        <w:gridCol w:w="3374"/>
        <w:gridCol w:w="2267"/>
        <w:gridCol w:w="2711"/>
        <w:gridCol w:w="1981"/>
        <w:gridCol w:w="1781"/>
      </w:tblGrid>
      <w:tr w14:paraId="6483B4E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tcBorders>
              <w:tl2br w:val="nil"/>
              <w:tr2bl w:val="nil"/>
            </w:tcBorders>
            <w:vAlign w:val="center"/>
          </w:tcPr>
          <w:p w14:paraId="027E8704">
            <w:pPr>
              <w:widowControl/>
              <w:adjustRightInd w:val="0"/>
              <w:snapToGrid w:val="0"/>
              <w:jc w:val="center"/>
              <w:rPr>
                <w:b/>
                <w:color w:val="auto"/>
                <w:kern w:val="0"/>
                <w:szCs w:val="21"/>
              </w:rPr>
            </w:pPr>
            <w:r>
              <w:rPr>
                <w:b/>
                <w:color w:val="auto"/>
                <w:kern w:val="0"/>
                <w:szCs w:val="21"/>
                <w:lang w:bidi="ar"/>
              </w:rPr>
              <w:t>非正常排放源</w:t>
            </w:r>
          </w:p>
        </w:tc>
        <w:tc>
          <w:tcPr>
            <w:tcW w:w="1216" w:type="pct"/>
            <w:tcBorders>
              <w:tl2br w:val="nil"/>
              <w:tr2bl w:val="nil"/>
            </w:tcBorders>
            <w:vAlign w:val="center"/>
          </w:tcPr>
          <w:p w14:paraId="0DAB98CF">
            <w:pPr>
              <w:widowControl/>
              <w:adjustRightInd w:val="0"/>
              <w:snapToGrid w:val="0"/>
              <w:jc w:val="center"/>
              <w:rPr>
                <w:b/>
                <w:color w:val="auto"/>
                <w:kern w:val="0"/>
                <w:szCs w:val="21"/>
                <w:lang w:bidi="ar"/>
              </w:rPr>
            </w:pPr>
            <w:r>
              <w:rPr>
                <w:b/>
                <w:color w:val="auto"/>
                <w:kern w:val="0"/>
                <w:szCs w:val="21"/>
                <w:lang w:bidi="ar"/>
              </w:rPr>
              <w:t>非正常排放原因</w:t>
            </w:r>
          </w:p>
        </w:tc>
        <w:tc>
          <w:tcPr>
            <w:tcW w:w="817" w:type="pct"/>
            <w:tcBorders>
              <w:tl2br w:val="nil"/>
              <w:tr2bl w:val="nil"/>
            </w:tcBorders>
            <w:vAlign w:val="center"/>
          </w:tcPr>
          <w:p w14:paraId="35030E79">
            <w:pPr>
              <w:widowControl/>
              <w:adjustRightInd w:val="0"/>
              <w:snapToGrid w:val="0"/>
              <w:jc w:val="center"/>
              <w:rPr>
                <w:b/>
                <w:color w:val="auto"/>
                <w:kern w:val="0"/>
                <w:szCs w:val="21"/>
              </w:rPr>
            </w:pPr>
            <w:r>
              <w:rPr>
                <w:b/>
                <w:color w:val="auto"/>
                <w:kern w:val="0"/>
                <w:szCs w:val="21"/>
                <w:lang w:bidi="ar"/>
              </w:rPr>
              <w:t>污染物</w:t>
            </w:r>
          </w:p>
        </w:tc>
        <w:tc>
          <w:tcPr>
            <w:tcW w:w="977" w:type="pct"/>
            <w:tcBorders>
              <w:tl2br w:val="nil"/>
              <w:tr2bl w:val="nil"/>
            </w:tcBorders>
            <w:vAlign w:val="center"/>
          </w:tcPr>
          <w:p w14:paraId="6E141D68">
            <w:pPr>
              <w:widowControl/>
              <w:adjustRightInd w:val="0"/>
              <w:snapToGrid w:val="0"/>
              <w:jc w:val="center"/>
              <w:rPr>
                <w:b/>
                <w:color w:val="auto"/>
                <w:kern w:val="0"/>
                <w:szCs w:val="21"/>
                <w:lang w:bidi="ar"/>
              </w:rPr>
            </w:pPr>
            <w:r>
              <w:rPr>
                <w:b/>
                <w:color w:val="auto"/>
                <w:kern w:val="0"/>
                <w:szCs w:val="21"/>
                <w:lang w:bidi="ar"/>
              </w:rPr>
              <w:t>非正常排放速率（kg/h）</w:t>
            </w:r>
          </w:p>
        </w:tc>
        <w:tc>
          <w:tcPr>
            <w:tcW w:w="714" w:type="pct"/>
            <w:tcBorders>
              <w:tl2br w:val="nil"/>
              <w:tr2bl w:val="nil"/>
            </w:tcBorders>
            <w:vAlign w:val="center"/>
          </w:tcPr>
          <w:p w14:paraId="7EDCBCB1">
            <w:pPr>
              <w:widowControl/>
              <w:adjustRightInd w:val="0"/>
              <w:snapToGrid w:val="0"/>
              <w:jc w:val="center"/>
              <w:rPr>
                <w:b/>
                <w:color w:val="auto"/>
                <w:kern w:val="0"/>
                <w:szCs w:val="21"/>
              </w:rPr>
            </w:pPr>
            <w:r>
              <w:rPr>
                <w:b/>
                <w:color w:val="auto"/>
                <w:kern w:val="0"/>
                <w:szCs w:val="21"/>
                <w:lang w:bidi="ar"/>
              </w:rPr>
              <w:t>单次持续时间（h）</w:t>
            </w:r>
          </w:p>
        </w:tc>
        <w:tc>
          <w:tcPr>
            <w:tcW w:w="642" w:type="pct"/>
            <w:tcBorders>
              <w:tl2br w:val="nil"/>
              <w:tr2bl w:val="nil"/>
            </w:tcBorders>
            <w:vAlign w:val="center"/>
          </w:tcPr>
          <w:p w14:paraId="0E2EF28B">
            <w:pPr>
              <w:widowControl/>
              <w:adjustRightInd w:val="0"/>
              <w:snapToGrid w:val="0"/>
              <w:jc w:val="center"/>
              <w:rPr>
                <w:b/>
                <w:color w:val="auto"/>
                <w:kern w:val="0"/>
                <w:szCs w:val="21"/>
              </w:rPr>
            </w:pPr>
            <w:r>
              <w:rPr>
                <w:b/>
                <w:color w:val="auto"/>
                <w:kern w:val="0"/>
                <w:szCs w:val="21"/>
                <w:lang w:bidi="ar"/>
              </w:rPr>
              <w:t>年发生频次（次）</w:t>
            </w:r>
          </w:p>
        </w:tc>
      </w:tr>
      <w:tr w14:paraId="5E08B66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restart"/>
            <w:tcBorders>
              <w:tl2br w:val="nil"/>
              <w:tr2bl w:val="nil"/>
            </w:tcBorders>
            <w:vAlign w:val="center"/>
          </w:tcPr>
          <w:p w14:paraId="1DA58E7A">
            <w:pPr>
              <w:widowControl/>
              <w:jc w:val="center"/>
              <w:rPr>
                <w:color w:val="auto"/>
                <w:szCs w:val="21"/>
              </w:rPr>
            </w:pPr>
            <w:r>
              <w:rPr>
                <w:rFonts w:hint="eastAsia"/>
                <w:color w:val="auto"/>
                <w:kern w:val="0"/>
                <w:szCs w:val="21"/>
                <w:lang w:val="en-US" w:eastAsia="zh-CN"/>
              </w:rPr>
              <w:t>DA001</w:t>
            </w:r>
          </w:p>
        </w:tc>
        <w:tc>
          <w:tcPr>
            <w:tcW w:w="1216" w:type="pct"/>
            <w:vMerge w:val="restart"/>
            <w:tcBorders>
              <w:tl2br w:val="nil"/>
              <w:tr2bl w:val="nil"/>
            </w:tcBorders>
            <w:vAlign w:val="center"/>
          </w:tcPr>
          <w:p w14:paraId="7F3A5CD3">
            <w:pPr>
              <w:widowControl/>
              <w:adjustRightInd w:val="0"/>
              <w:snapToGrid w:val="0"/>
              <w:jc w:val="center"/>
              <w:rPr>
                <w:color w:val="auto"/>
                <w:szCs w:val="21"/>
              </w:rPr>
            </w:pPr>
            <w:r>
              <w:rPr>
                <w:rFonts w:hint="eastAsia"/>
                <w:color w:val="auto"/>
                <w:kern w:val="0"/>
                <w:szCs w:val="21"/>
              </w:rPr>
              <w:t>废气处理设施故障</w:t>
            </w:r>
          </w:p>
        </w:tc>
        <w:tc>
          <w:tcPr>
            <w:tcW w:w="817" w:type="pct"/>
            <w:tcBorders>
              <w:tl2br w:val="nil"/>
              <w:tr2bl w:val="nil"/>
            </w:tcBorders>
            <w:vAlign w:val="center"/>
          </w:tcPr>
          <w:p w14:paraId="3AEA8046">
            <w:pPr>
              <w:pStyle w:val="105"/>
              <w:spacing w:line="240" w:lineRule="exact"/>
              <w:rPr>
                <w:color w:val="auto"/>
                <w:kern w:val="0"/>
                <w:sz w:val="21"/>
                <w:szCs w:val="21"/>
              </w:rPr>
            </w:pPr>
            <w:r>
              <w:rPr>
                <w:rFonts w:hint="eastAsia"/>
                <w:color w:val="auto"/>
                <w:kern w:val="0"/>
                <w:sz w:val="21"/>
                <w:szCs w:val="21"/>
                <w:lang w:val="en-US" w:eastAsia="zh-CN"/>
              </w:rPr>
              <w:t>颗粒物</w:t>
            </w:r>
          </w:p>
        </w:tc>
        <w:tc>
          <w:tcPr>
            <w:tcW w:w="2753" w:type="dxa"/>
            <w:tcBorders>
              <w:tl2br w:val="nil"/>
              <w:tr2bl w:val="nil"/>
            </w:tcBorders>
            <w:vAlign w:val="center"/>
          </w:tcPr>
          <w:p w14:paraId="7CABC34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w:t>
            </w:r>
          </w:p>
        </w:tc>
        <w:tc>
          <w:tcPr>
            <w:tcW w:w="714" w:type="pct"/>
            <w:vMerge w:val="restart"/>
            <w:tcBorders>
              <w:tl2br w:val="nil"/>
              <w:tr2bl w:val="nil"/>
            </w:tcBorders>
            <w:vAlign w:val="center"/>
          </w:tcPr>
          <w:p w14:paraId="0502A5BA">
            <w:pPr>
              <w:jc w:val="center"/>
              <w:rPr>
                <w:color w:val="auto"/>
                <w:szCs w:val="21"/>
              </w:rPr>
            </w:pPr>
            <w:r>
              <w:rPr>
                <w:color w:val="auto"/>
                <w:szCs w:val="21"/>
              </w:rPr>
              <w:t>0.5</w:t>
            </w:r>
          </w:p>
        </w:tc>
        <w:tc>
          <w:tcPr>
            <w:tcW w:w="642" w:type="pct"/>
            <w:vMerge w:val="restart"/>
            <w:tcBorders>
              <w:tl2br w:val="nil"/>
              <w:tr2bl w:val="nil"/>
            </w:tcBorders>
            <w:vAlign w:val="center"/>
          </w:tcPr>
          <w:p w14:paraId="7AD81C25">
            <w:pPr>
              <w:widowControl/>
              <w:adjustRightInd w:val="0"/>
              <w:snapToGrid w:val="0"/>
              <w:jc w:val="center"/>
              <w:rPr>
                <w:color w:val="auto"/>
                <w:szCs w:val="21"/>
              </w:rPr>
            </w:pPr>
            <w:r>
              <w:rPr>
                <w:color w:val="auto"/>
                <w:szCs w:val="21"/>
              </w:rPr>
              <w:t>不超过2次</w:t>
            </w:r>
          </w:p>
        </w:tc>
      </w:tr>
      <w:tr w14:paraId="12F8F33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218791B6">
            <w:pPr>
              <w:widowControl/>
              <w:jc w:val="center"/>
              <w:rPr>
                <w:color w:val="auto"/>
                <w:kern w:val="0"/>
                <w:szCs w:val="21"/>
              </w:rPr>
            </w:pPr>
          </w:p>
        </w:tc>
        <w:tc>
          <w:tcPr>
            <w:tcW w:w="1216" w:type="pct"/>
            <w:vMerge w:val="continue"/>
            <w:tcBorders>
              <w:tl2br w:val="nil"/>
              <w:tr2bl w:val="nil"/>
            </w:tcBorders>
            <w:vAlign w:val="center"/>
          </w:tcPr>
          <w:p w14:paraId="3F7EB13A">
            <w:pPr>
              <w:widowControl/>
              <w:adjustRightInd w:val="0"/>
              <w:snapToGrid w:val="0"/>
              <w:jc w:val="center"/>
              <w:rPr>
                <w:color w:val="auto"/>
                <w:kern w:val="0"/>
                <w:szCs w:val="21"/>
              </w:rPr>
            </w:pPr>
          </w:p>
        </w:tc>
        <w:tc>
          <w:tcPr>
            <w:tcW w:w="817" w:type="pct"/>
            <w:tcBorders>
              <w:tl2br w:val="nil"/>
              <w:tr2bl w:val="nil"/>
            </w:tcBorders>
            <w:vAlign w:val="center"/>
          </w:tcPr>
          <w:p w14:paraId="7CC88D1B">
            <w:pPr>
              <w:pStyle w:val="105"/>
              <w:spacing w:line="240" w:lineRule="exact"/>
              <w:rPr>
                <w:rFonts w:hint="eastAsia" w:eastAsia="宋体"/>
                <w:color w:val="auto"/>
                <w:kern w:val="0"/>
                <w:sz w:val="21"/>
                <w:szCs w:val="21"/>
                <w:lang w:eastAsia="zh-CN"/>
              </w:rPr>
            </w:pPr>
            <w:r>
              <w:rPr>
                <w:color w:val="auto"/>
                <w:kern w:val="0"/>
                <w:sz w:val="21"/>
                <w:szCs w:val="21"/>
              </w:rPr>
              <w:t>非甲烷总烃</w:t>
            </w:r>
          </w:p>
        </w:tc>
        <w:tc>
          <w:tcPr>
            <w:tcW w:w="2753" w:type="dxa"/>
            <w:tcBorders>
              <w:tl2br w:val="nil"/>
              <w:tr2bl w:val="nil"/>
            </w:tcBorders>
            <w:vAlign w:val="center"/>
          </w:tcPr>
          <w:p w14:paraId="1F8991F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0.225</w:t>
            </w:r>
          </w:p>
        </w:tc>
        <w:tc>
          <w:tcPr>
            <w:tcW w:w="714" w:type="pct"/>
            <w:vMerge w:val="continue"/>
            <w:tcBorders>
              <w:tl2br w:val="nil"/>
              <w:tr2bl w:val="nil"/>
            </w:tcBorders>
            <w:vAlign w:val="center"/>
          </w:tcPr>
          <w:p w14:paraId="3FCAE6D2">
            <w:pPr>
              <w:jc w:val="center"/>
              <w:rPr>
                <w:color w:val="auto"/>
                <w:szCs w:val="21"/>
              </w:rPr>
            </w:pPr>
          </w:p>
        </w:tc>
        <w:tc>
          <w:tcPr>
            <w:tcW w:w="642" w:type="pct"/>
            <w:vMerge w:val="continue"/>
            <w:tcBorders>
              <w:tl2br w:val="nil"/>
              <w:tr2bl w:val="nil"/>
            </w:tcBorders>
            <w:vAlign w:val="center"/>
          </w:tcPr>
          <w:p w14:paraId="49B5A172">
            <w:pPr>
              <w:widowControl/>
              <w:adjustRightInd w:val="0"/>
              <w:snapToGrid w:val="0"/>
              <w:jc w:val="center"/>
              <w:rPr>
                <w:color w:val="auto"/>
                <w:szCs w:val="21"/>
              </w:rPr>
            </w:pPr>
          </w:p>
        </w:tc>
      </w:tr>
      <w:tr w14:paraId="05EAD40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restart"/>
            <w:tcBorders>
              <w:tl2br w:val="nil"/>
              <w:tr2bl w:val="nil"/>
            </w:tcBorders>
            <w:vAlign w:val="center"/>
          </w:tcPr>
          <w:p w14:paraId="62535D4C">
            <w:pPr>
              <w:widowControl/>
              <w:jc w:val="center"/>
              <w:rPr>
                <w:color w:val="auto"/>
                <w:kern w:val="0"/>
                <w:szCs w:val="21"/>
              </w:rPr>
            </w:pPr>
            <w:r>
              <w:rPr>
                <w:rFonts w:hint="eastAsia"/>
                <w:color w:val="auto"/>
                <w:kern w:val="0"/>
                <w:szCs w:val="21"/>
                <w:lang w:val="en-US" w:eastAsia="zh-CN"/>
              </w:rPr>
              <w:t>DA002</w:t>
            </w:r>
          </w:p>
        </w:tc>
        <w:tc>
          <w:tcPr>
            <w:tcW w:w="1216" w:type="pct"/>
            <w:vMerge w:val="restart"/>
            <w:tcBorders>
              <w:tl2br w:val="nil"/>
              <w:tr2bl w:val="nil"/>
            </w:tcBorders>
            <w:vAlign w:val="center"/>
          </w:tcPr>
          <w:p w14:paraId="465B317A">
            <w:pPr>
              <w:widowControl/>
              <w:adjustRightInd w:val="0"/>
              <w:snapToGrid w:val="0"/>
              <w:jc w:val="center"/>
              <w:rPr>
                <w:color w:val="auto"/>
                <w:szCs w:val="21"/>
              </w:rPr>
            </w:pPr>
            <w:r>
              <w:rPr>
                <w:rFonts w:hint="eastAsia"/>
                <w:color w:val="auto"/>
                <w:kern w:val="0"/>
                <w:szCs w:val="21"/>
              </w:rPr>
              <w:t>废气处理设施故障</w:t>
            </w:r>
          </w:p>
        </w:tc>
        <w:tc>
          <w:tcPr>
            <w:tcW w:w="817" w:type="pct"/>
            <w:tcBorders>
              <w:tl2br w:val="nil"/>
              <w:tr2bl w:val="nil"/>
            </w:tcBorders>
            <w:vAlign w:val="center"/>
          </w:tcPr>
          <w:p w14:paraId="7A10D0E9">
            <w:pPr>
              <w:pStyle w:val="105"/>
              <w:spacing w:line="240" w:lineRule="exact"/>
              <w:rPr>
                <w:color w:val="auto"/>
                <w:kern w:val="0"/>
                <w:sz w:val="21"/>
                <w:szCs w:val="21"/>
              </w:rPr>
            </w:pPr>
            <w:r>
              <w:rPr>
                <w:color w:val="auto"/>
                <w:kern w:val="0"/>
                <w:sz w:val="21"/>
                <w:szCs w:val="21"/>
              </w:rPr>
              <w:t>颗粒物</w:t>
            </w:r>
          </w:p>
        </w:tc>
        <w:tc>
          <w:tcPr>
            <w:tcW w:w="2753" w:type="dxa"/>
            <w:tcBorders>
              <w:tl2br w:val="nil"/>
              <w:tr2bl w:val="nil"/>
            </w:tcBorders>
            <w:vAlign w:val="center"/>
          </w:tcPr>
          <w:p w14:paraId="053672F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0.485</w:t>
            </w:r>
          </w:p>
        </w:tc>
        <w:tc>
          <w:tcPr>
            <w:tcW w:w="714" w:type="pct"/>
            <w:vMerge w:val="restart"/>
            <w:tcBorders>
              <w:tl2br w:val="nil"/>
              <w:tr2bl w:val="nil"/>
            </w:tcBorders>
            <w:vAlign w:val="center"/>
          </w:tcPr>
          <w:p w14:paraId="3F76DCB5">
            <w:pPr>
              <w:jc w:val="center"/>
              <w:rPr>
                <w:color w:val="auto"/>
                <w:szCs w:val="21"/>
              </w:rPr>
            </w:pPr>
            <w:r>
              <w:rPr>
                <w:color w:val="auto"/>
                <w:szCs w:val="21"/>
              </w:rPr>
              <w:t>0.5</w:t>
            </w:r>
          </w:p>
        </w:tc>
        <w:tc>
          <w:tcPr>
            <w:tcW w:w="642" w:type="pct"/>
            <w:vMerge w:val="restart"/>
            <w:tcBorders>
              <w:tl2br w:val="nil"/>
              <w:tr2bl w:val="nil"/>
            </w:tcBorders>
            <w:vAlign w:val="center"/>
          </w:tcPr>
          <w:p w14:paraId="0B26639F">
            <w:pPr>
              <w:widowControl/>
              <w:adjustRightInd w:val="0"/>
              <w:snapToGrid w:val="0"/>
              <w:jc w:val="center"/>
              <w:rPr>
                <w:color w:val="auto"/>
                <w:szCs w:val="21"/>
              </w:rPr>
            </w:pPr>
            <w:r>
              <w:rPr>
                <w:color w:val="auto"/>
                <w:szCs w:val="21"/>
              </w:rPr>
              <w:t>不超过2次</w:t>
            </w:r>
          </w:p>
        </w:tc>
      </w:tr>
      <w:tr w14:paraId="58AC0D9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772F2066">
            <w:pPr>
              <w:widowControl/>
              <w:jc w:val="center"/>
              <w:rPr>
                <w:color w:val="auto"/>
                <w:kern w:val="0"/>
                <w:szCs w:val="21"/>
              </w:rPr>
            </w:pPr>
          </w:p>
        </w:tc>
        <w:tc>
          <w:tcPr>
            <w:tcW w:w="1216" w:type="pct"/>
            <w:vMerge w:val="continue"/>
            <w:tcBorders>
              <w:tl2br w:val="nil"/>
              <w:tr2bl w:val="nil"/>
            </w:tcBorders>
            <w:vAlign w:val="center"/>
          </w:tcPr>
          <w:p w14:paraId="3F4F50CC">
            <w:pPr>
              <w:widowControl/>
              <w:adjustRightInd w:val="0"/>
              <w:snapToGrid w:val="0"/>
              <w:jc w:val="center"/>
              <w:rPr>
                <w:color w:val="auto"/>
                <w:kern w:val="0"/>
                <w:szCs w:val="21"/>
              </w:rPr>
            </w:pPr>
          </w:p>
        </w:tc>
        <w:tc>
          <w:tcPr>
            <w:tcW w:w="817" w:type="pct"/>
            <w:tcBorders>
              <w:tl2br w:val="nil"/>
              <w:tr2bl w:val="nil"/>
            </w:tcBorders>
            <w:vAlign w:val="center"/>
          </w:tcPr>
          <w:p w14:paraId="6C3D9FB5">
            <w:pPr>
              <w:pStyle w:val="105"/>
              <w:spacing w:line="240" w:lineRule="exact"/>
              <w:rPr>
                <w:rFonts w:hint="default" w:eastAsia="宋体"/>
                <w:color w:val="auto"/>
                <w:kern w:val="0"/>
                <w:sz w:val="21"/>
                <w:szCs w:val="21"/>
                <w:lang w:val="en-US" w:eastAsia="zh-CN"/>
              </w:rPr>
            </w:pPr>
            <w:r>
              <w:rPr>
                <w:rFonts w:hint="eastAsia"/>
                <w:color w:val="auto"/>
                <w:kern w:val="0"/>
                <w:sz w:val="21"/>
                <w:szCs w:val="21"/>
                <w:lang w:val="en-US" w:eastAsia="zh-CN"/>
              </w:rPr>
              <w:t>SO</w:t>
            </w:r>
            <w:r>
              <w:rPr>
                <w:rFonts w:hint="eastAsia"/>
                <w:color w:val="auto"/>
                <w:kern w:val="0"/>
                <w:sz w:val="21"/>
                <w:szCs w:val="21"/>
                <w:vertAlign w:val="subscript"/>
                <w:lang w:val="en-US" w:eastAsia="zh-CN"/>
              </w:rPr>
              <w:t>2</w:t>
            </w:r>
          </w:p>
        </w:tc>
        <w:tc>
          <w:tcPr>
            <w:tcW w:w="2753" w:type="dxa"/>
            <w:tcBorders>
              <w:tl2br w:val="nil"/>
              <w:tr2bl w:val="nil"/>
            </w:tcBorders>
            <w:vAlign w:val="center"/>
          </w:tcPr>
          <w:p w14:paraId="3934F71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0.33</w:t>
            </w:r>
          </w:p>
        </w:tc>
        <w:tc>
          <w:tcPr>
            <w:tcW w:w="714" w:type="pct"/>
            <w:vMerge w:val="continue"/>
            <w:tcBorders>
              <w:tl2br w:val="nil"/>
              <w:tr2bl w:val="nil"/>
            </w:tcBorders>
            <w:vAlign w:val="center"/>
          </w:tcPr>
          <w:p w14:paraId="64EBC5DD">
            <w:pPr>
              <w:jc w:val="center"/>
              <w:rPr>
                <w:color w:val="auto"/>
                <w:szCs w:val="21"/>
              </w:rPr>
            </w:pPr>
          </w:p>
        </w:tc>
        <w:tc>
          <w:tcPr>
            <w:tcW w:w="642" w:type="pct"/>
            <w:vMerge w:val="continue"/>
            <w:tcBorders>
              <w:tl2br w:val="nil"/>
              <w:tr2bl w:val="nil"/>
            </w:tcBorders>
            <w:vAlign w:val="center"/>
          </w:tcPr>
          <w:p w14:paraId="6CEBE8D2">
            <w:pPr>
              <w:widowControl/>
              <w:adjustRightInd w:val="0"/>
              <w:snapToGrid w:val="0"/>
              <w:jc w:val="center"/>
              <w:rPr>
                <w:color w:val="auto"/>
                <w:szCs w:val="21"/>
              </w:rPr>
            </w:pPr>
          </w:p>
        </w:tc>
      </w:tr>
      <w:tr w14:paraId="2B22B1C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28F704D9">
            <w:pPr>
              <w:widowControl/>
              <w:jc w:val="center"/>
              <w:rPr>
                <w:color w:val="auto"/>
                <w:kern w:val="0"/>
                <w:szCs w:val="21"/>
              </w:rPr>
            </w:pPr>
          </w:p>
        </w:tc>
        <w:tc>
          <w:tcPr>
            <w:tcW w:w="1216" w:type="pct"/>
            <w:vMerge w:val="continue"/>
            <w:tcBorders>
              <w:tl2br w:val="nil"/>
              <w:tr2bl w:val="nil"/>
            </w:tcBorders>
            <w:vAlign w:val="center"/>
          </w:tcPr>
          <w:p w14:paraId="4B74669C">
            <w:pPr>
              <w:widowControl/>
              <w:adjustRightInd w:val="0"/>
              <w:snapToGrid w:val="0"/>
              <w:jc w:val="center"/>
              <w:rPr>
                <w:color w:val="auto"/>
                <w:kern w:val="0"/>
                <w:szCs w:val="21"/>
              </w:rPr>
            </w:pPr>
          </w:p>
        </w:tc>
        <w:tc>
          <w:tcPr>
            <w:tcW w:w="817" w:type="pct"/>
            <w:tcBorders>
              <w:tl2br w:val="nil"/>
              <w:tr2bl w:val="nil"/>
            </w:tcBorders>
            <w:vAlign w:val="center"/>
          </w:tcPr>
          <w:p w14:paraId="493F3D38">
            <w:pPr>
              <w:pStyle w:val="105"/>
              <w:spacing w:line="240" w:lineRule="exact"/>
              <w:rPr>
                <w:rFonts w:hint="default" w:eastAsia="宋体"/>
                <w:color w:val="auto"/>
                <w:kern w:val="0"/>
                <w:sz w:val="21"/>
                <w:szCs w:val="21"/>
                <w:lang w:val="en-US" w:eastAsia="zh-CN"/>
              </w:rPr>
            </w:pPr>
            <w:r>
              <w:rPr>
                <w:rFonts w:hint="eastAsia"/>
                <w:color w:val="auto"/>
                <w:kern w:val="0"/>
                <w:sz w:val="21"/>
                <w:szCs w:val="21"/>
                <w:lang w:val="en-US" w:eastAsia="zh-CN"/>
              </w:rPr>
              <w:t>NO</w:t>
            </w:r>
            <w:r>
              <w:rPr>
                <w:rFonts w:hint="eastAsia"/>
                <w:color w:val="auto"/>
                <w:kern w:val="0"/>
                <w:sz w:val="21"/>
                <w:szCs w:val="21"/>
                <w:vertAlign w:val="subscript"/>
                <w:lang w:val="en-US" w:eastAsia="zh-CN"/>
              </w:rPr>
              <w:t>x</w:t>
            </w:r>
          </w:p>
        </w:tc>
        <w:tc>
          <w:tcPr>
            <w:tcW w:w="2753" w:type="dxa"/>
            <w:tcBorders>
              <w:tl2br w:val="nil"/>
              <w:tr2bl w:val="nil"/>
            </w:tcBorders>
            <w:vAlign w:val="center"/>
          </w:tcPr>
          <w:p w14:paraId="2D15A12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6</w:t>
            </w:r>
            <w:r>
              <w:rPr>
                <w:rFonts w:hint="eastAsia" w:ascii="Times New Roman" w:hAnsi="Times New Roman" w:eastAsia="宋体" w:cs="Times New Roman"/>
                <w:color w:val="auto"/>
                <w:szCs w:val="21"/>
                <w:lang w:val="en-US" w:eastAsia="zh-CN"/>
              </w:rPr>
              <w:t>9</w:t>
            </w:r>
          </w:p>
        </w:tc>
        <w:tc>
          <w:tcPr>
            <w:tcW w:w="714" w:type="pct"/>
            <w:vMerge w:val="continue"/>
            <w:tcBorders>
              <w:tl2br w:val="nil"/>
              <w:tr2bl w:val="nil"/>
            </w:tcBorders>
            <w:vAlign w:val="center"/>
          </w:tcPr>
          <w:p w14:paraId="4C8C2B4D">
            <w:pPr>
              <w:jc w:val="center"/>
              <w:rPr>
                <w:color w:val="auto"/>
                <w:szCs w:val="21"/>
              </w:rPr>
            </w:pPr>
          </w:p>
        </w:tc>
        <w:tc>
          <w:tcPr>
            <w:tcW w:w="642" w:type="pct"/>
            <w:vMerge w:val="continue"/>
            <w:tcBorders>
              <w:tl2br w:val="nil"/>
              <w:tr2bl w:val="nil"/>
            </w:tcBorders>
            <w:vAlign w:val="center"/>
          </w:tcPr>
          <w:p w14:paraId="1A576BE5">
            <w:pPr>
              <w:widowControl/>
              <w:adjustRightInd w:val="0"/>
              <w:snapToGrid w:val="0"/>
              <w:jc w:val="center"/>
              <w:rPr>
                <w:color w:val="auto"/>
                <w:szCs w:val="21"/>
              </w:rPr>
            </w:pPr>
          </w:p>
        </w:tc>
      </w:tr>
      <w:tr w14:paraId="3E1F335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61CF550B">
            <w:pPr>
              <w:widowControl/>
              <w:jc w:val="center"/>
              <w:rPr>
                <w:color w:val="auto"/>
                <w:kern w:val="0"/>
                <w:szCs w:val="21"/>
              </w:rPr>
            </w:pPr>
          </w:p>
        </w:tc>
        <w:tc>
          <w:tcPr>
            <w:tcW w:w="1216" w:type="pct"/>
            <w:vMerge w:val="continue"/>
            <w:tcBorders>
              <w:tl2br w:val="nil"/>
              <w:tr2bl w:val="nil"/>
            </w:tcBorders>
            <w:vAlign w:val="center"/>
          </w:tcPr>
          <w:p w14:paraId="0E25296E">
            <w:pPr>
              <w:widowControl/>
              <w:adjustRightInd w:val="0"/>
              <w:snapToGrid w:val="0"/>
              <w:jc w:val="center"/>
              <w:rPr>
                <w:color w:val="auto"/>
                <w:kern w:val="0"/>
                <w:szCs w:val="21"/>
              </w:rPr>
            </w:pPr>
          </w:p>
        </w:tc>
        <w:tc>
          <w:tcPr>
            <w:tcW w:w="817" w:type="pct"/>
            <w:tcBorders>
              <w:tl2br w:val="nil"/>
              <w:tr2bl w:val="nil"/>
            </w:tcBorders>
            <w:vAlign w:val="center"/>
          </w:tcPr>
          <w:p w14:paraId="506753ED">
            <w:pPr>
              <w:pStyle w:val="105"/>
              <w:spacing w:line="240" w:lineRule="exact"/>
              <w:rPr>
                <w:rFonts w:hint="eastAsia" w:eastAsia="宋体"/>
                <w:color w:val="auto"/>
                <w:kern w:val="0"/>
                <w:sz w:val="21"/>
                <w:szCs w:val="21"/>
                <w:lang w:eastAsia="zh-CN"/>
              </w:rPr>
            </w:pPr>
            <w:r>
              <w:rPr>
                <w:rFonts w:hint="eastAsia"/>
                <w:color w:val="auto"/>
                <w:kern w:val="0"/>
                <w:sz w:val="21"/>
                <w:szCs w:val="21"/>
                <w:lang w:eastAsia="zh-CN"/>
              </w:rPr>
              <w:t>汞</w:t>
            </w:r>
          </w:p>
        </w:tc>
        <w:tc>
          <w:tcPr>
            <w:tcW w:w="2753" w:type="dxa"/>
            <w:tcBorders>
              <w:tl2br w:val="nil"/>
              <w:tr2bl w:val="nil"/>
            </w:tcBorders>
            <w:vAlign w:val="center"/>
          </w:tcPr>
          <w:p w14:paraId="663DB83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4</w:t>
            </w:r>
          </w:p>
        </w:tc>
        <w:tc>
          <w:tcPr>
            <w:tcW w:w="714" w:type="pct"/>
            <w:vMerge w:val="continue"/>
            <w:tcBorders>
              <w:tl2br w:val="nil"/>
              <w:tr2bl w:val="nil"/>
            </w:tcBorders>
            <w:vAlign w:val="center"/>
          </w:tcPr>
          <w:p w14:paraId="3214CCC1">
            <w:pPr>
              <w:jc w:val="center"/>
              <w:rPr>
                <w:color w:val="auto"/>
                <w:szCs w:val="21"/>
              </w:rPr>
            </w:pPr>
          </w:p>
        </w:tc>
        <w:tc>
          <w:tcPr>
            <w:tcW w:w="642" w:type="pct"/>
            <w:vMerge w:val="continue"/>
            <w:tcBorders>
              <w:tl2br w:val="nil"/>
              <w:tr2bl w:val="nil"/>
            </w:tcBorders>
            <w:vAlign w:val="center"/>
          </w:tcPr>
          <w:p w14:paraId="788D69F7">
            <w:pPr>
              <w:widowControl/>
              <w:adjustRightInd w:val="0"/>
              <w:snapToGrid w:val="0"/>
              <w:jc w:val="center"/>
              <w:rPr>
                <w:color w:val="auto"/>
                <w:szCs w:val="21"/>
              </w:rPr>
            </w:pPr>
          </w:p>
        </w:tc>
      </w:tr>
      <w:tr w14:paraId="138CC90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restart"/>
            <w:tcBorders>
              <w:tl2br w:val="nil"/>
              <w:tr2bl w:val="nil"/>
            </w:tcBorders>
            <w:vAlign w:val="center"/>
          </w:tcPr>
          <w:p w14:paraId="653291C4">
            <w:pPr>
              <w:widowControl/>
              <w:jc w:val="center"/>
              <w:rPr>
                <w:rFonts w:hint="default" w:eastAsia="宋体"/>
                <w:color w:val="auto"/>
                <w:kern w:val="0"/>
                <w:szCs w:val="21"/>
                <w:lang w:val="en-US" w:eastAsia="zh-CN"/>
              </w:rPr>
            </w:pPr>
            <w:r>
              <w:rPr>
                <w:rFonts w:hint="eastAsia"/>
                <w:color w:val="auto"/>
                <w:kern w:val="0"/>
                <w:szCs w:val="21"/>
                <w:lang w:val="en-US" w:eastAsia="zh-CN"/>
              </w:rPr>
              <w:t>DA003</w:t>
            </w:r>
          </w:p>
        </w:tc>
        <w:tc>
          <w:tcPr>
            <w:tcW w:w="1216" w:type="pct"/>
            <w:vMerge w:val="restart"/>
            <w:tcBorders>
              <w:tl2br w:val="nil"/>
              <w:tr2bl w:val="nil"/>
            </w:tcBorders>
            <w:vAlign w:val="center"/>
          </w:tcPr>
          <w:p w14:paraId="38059E5B">
            <w:pPr>
              <w:widowControl/>
              <w:adjustRightInd w:val="0"/>
              <w:snapToGrid w:val="0"/>
              <w:jc w:val="center"/>
              <w:rPr>
                <w:color w:val="auto"/>
                <w:kern w:val="0"/>
                <w:szCs w:val="21"/>
              </w:rPr>
            </w:pPr>
            <w:r>
              <w:rPr>
                <w:rFonts w:hint="eastAsia"/>
                <w:color w:val="auto"/>
                <w:kern w:val="0"/>
                <w:szCs w:val="21"/>
              </w:rPr>
              <w:t>废气处理设施故障</w:t>
            </w:r>
          </w:p>
        </w:tc>
        <w:tc>
          <w:tcPr>
            <w:tcW w:w="817" w:type="pct"/>
            <w:tcBorders>
              <w:tl2br w:val="nil"/>
              <w:tr2bl w:val="nil"/>
            </w:tcBorders>
            <w:shd w:val="clear" w:color="auto" w:fill="auto"/>
            <w:vAlign w:val="center"/>
          </w:tcPr>
          <w:p w14:paraId="6E607344">
            <w:pPr>
              <w:pStyle w:val="105"/>
              <w:spacing w:line="240" w:lineRule="exact"/>
              <w:rPr>
                <w:rFonts w:hint="eastAsia" w:ascii="Times New Roman" w:hAnsi="Times New Roman" w:eastAsia="宋体" w:cs="Times New Roman"/>
                <w:color w:val="auto"/>
                <w:kern w:val="0"/>
                <w:sz w:val="21"/>
                <w:szCs w:val="21"/>
                <w:lang w:val="en-US" w:eastAsia="zh-CN" w:bidi="ar-SA"/>
              </w:rPr>
            </w:pPr>
            <w:r>
              <w:rPr>
                <w:color w:val="auto"/>
                <w:kern w:val="0"/>
                <w:sz w:val="21"/>
                <w:szCs w:val="21"/>
              </w:rPr>
              <w:t>颗粒物</w:t>
            </w:r>
          </w:p>
        </w:tc>
        <w:tc>
          <w:tcPr>
            <w:tcW w:w="2753" w:type="dxa"/>
            <w:tcBorders>
              <w:tl2br w:val="nil"/>
              <w:tr2bl w:val="nil"/>
            </w:tcBorders>
            <w:vAlign w:val="center"/>
          </w:tcPr>
          <w:p w14:paraId="4D2E648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0.485</w:t>
            </w:r>
          </w:p>
        </w:tc>
        <w:tc>
          <w:tcPr>
            <w:tcW w:w="714" w:type="pct"/>
            <w:vMerge w:val="restart"/>
            <w:tcBorders>
              <w:tl2br w:val="nil"/>
              <w:tr2bl w:val="nil"/>
            </w:tcBorders>
            <w:shd w:val="clear" w:color="auto" w:fill="auto"/>
            <w:vAlign w:val="center"/>
          </w:tcPr>
          <w:p w14:paraId="6EC4AB96">
            <w:pPr>
              <w:jc w:val="center"/>
              <w:rPr>
                <w:rFonts w:ascii="Times New Roman" w:hAnsi="Times New Roman" w:eastAsia="宋体" w:cs="Times New Roman"/>
                <w:color w:val="auto"/>
                <w:kern w:val="2"/>
                <w:sz w:val="21"/>
                <w:szCs w:val="21"/>
                <w:lang w:val="en-US" w:eastAsia="zh-CN" w:bidi="ar-SA"/>
              </w:rPr>
            </w:pPr>
            <w:r>
              <w:rPr>
                <w:color w:val="auto"/>
                <w:szCs w:val="21"/>
              </w:rPr>
              <w:t>0.5</w:t>
            </w:r>
          </w:p>
        </w:tc>
        <w:tc>
          <w:tcPr>
            <w:tcW w:w="642" w:type="pct"/>
            <w:vMerge w:val="restart"/>
            <w:tcBorders>
              <w:tl2br w:val="nil"/>
              <w:tr2bl w:val="nil"/>
            </w:tcBorders>
            <w:shd w:val="clear" w:color="auto" w:fill="auto"/>
            <w:vAlign w:val="center"/>
          </w:tcPr>
          <w:p w14:paraId="0A0F8049">
            <w:pPr>
              <w:widowControl/>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不超过2次</w:t>
            </w:r>
          </w:p>
        </w:tc>
      </w:tr>
      <w:tr w14:paraId="2E1F5C4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66139AFD">
            <w:pPr>
              <w:widowControl/>
              <w:jc w:val="center"/>
              <w:rPr>
                <w:color w:val="auto"/>
                <w:kern w:val="0"/>
                <w:szCs w:val="21"/>
              </w:rPr>
            </w:pPr>
          </w:p>
        </w:tc>
        <w:tc>
          <w:tcPr>
            <w:tcW w:w="1216" w:type="pct"/>
            <w:vMerge w:val="continue"/>
            <w:tcBorders>
              <w:tl2br w:val="nil"/>
              <w:tr2bl w:val="nil"/>
            </w:tcBorders>
            <w:vAlign w:val="center"/>
          </w:tcPr>
          <w:p w14:paraId="37EAF2FA">
            <w:pPr>
              <w:widowControl/>
              <w:adjustRightInd w:val="0"/>
              <w:snapToGrid w:val="0"/>
              <w:jc w:val="center"/>
              <w:rPr>
                <w:color w:val="auto"/>
                <w:kern w:val="0"/>
                <w:szCs w:val="21"/>
              </w:rPr>
            </w:pPr>
          </w:p>
        </w:tc>
        <w:tc>
          <w:tcPr>
            <w:tcW w:w="817" w:type="pct"/>
            <w:tcBorders>
              <w:tl2br w:val="nil"/>
              <w:tr2bl w:val="nil"/>
            </w:tcBorders>
            <w:shd w:val="clear" w:color="auto" w:fill="auto"/>
            <w:vAlign w:val="center"/>
          </w:tcPr>
          <w:p w14:paraId="5272495A">
            <w:pPr>
              <w:pStyle w:val="105"/>
              <w:spacing w:line="240" w:lineRule="exact"/>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SO</w:t>
            </w:r>
            <w:r>
              <w:rPr>
                <w:rFonts w:hint="eastAsia"/>
                <w:color w:val="auto"/>
                <w:kern w:val="0"/>
                <w:sz w:val="21"/>
                <w:szCs w:val="21"/>
                <w:vertAlign w:val="subscript"/>
                <w:lang w:val="en-US" w:eastAsia="zh-CN"/>
              </w:rPr>
              <w:t>2</w:t>
            </w:r>
          </w:p>
        </w:tc>
        <w:tc>
          <w:tcPr>
            <w:tcW w:w="2753" w:type="dxa"/>
            <w:tcBorders>
              <w:tl2br w:val="nil"/>
              <w:tr2bl w:val="nil"/>
            </w:tcBorders>
            <w:vAlign w:val="center"/>
          </w:tcPr>
          <w:p w14:paraId="7EE6BBD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0.33</w:t>
            </w:r>
          </w:p>
        </w:tc>
        <w:tc>
          <w:tcPr>
            <w:tcW w:w="714" w:type="pct"/>
            <w:vMerge w:val="continue"/>
            <w:tcBorders>
              <w:tl2br w:val="nil"/>
              <w:tr2bl w:val="nil"/>
            </w:tcBorders>
            <w:vAlign w:val="center"/>
          </w:tcPr>
          <w:p w14:paraId="2FA5FAD4">
            <w:pPr>
              <w:jc w:val="center"/>
              <w:rPr>
                <w:color w:val="auto"/>
                <w:szCs w:val="21"/>
              </w:rPr>
            </w:pPr>
          </w:p>
        </w:tc>
        <w:tc>
          <w:tcPr>
            <w:tcW w:w="642" w:type="pct"/>
            <w:vMerge w:val="continue"/>
            <w:tcBorders>
              <w:tl2br w:val="nil"/>
              <w:tr2bl w:val="nil"/>
            </w:tcBorders>
            <w:vAlign w:val="center"/>
          </w:tcPr>
          <w:p w14:paraId="756468BE">
            <w:pPr>
              <w:widowControl/>
              <w:adjustRightInd w:val="0"/>
              <w:snapToGrid w:val="0"/>
              <w:jc w:val="center"/>
              <w:rPr>
                <w:color w:val="auto"/>
                <w:szCs w:val="21"/>
              </w:rPr>
            </w:pPr>
          </w:p>
        </w:tc>
      </w:tr>
      <w:tr w14:paraId="7351713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31B92220">
            <w:pPr>
              <w:widowControl/>
              <w:jc w:val="center"/>
              <w:rPr>
                <w:color w:val="auto"/>
                <w:kern w:val="0"/>
                <w:szCs w:val="21"/>
              </w:rPr>
            </w:pPr>
          </w:p>
        </w:tc>
        <w:tc>
          <w:tcPr>
            <w:tcW w:w="1216" w:type="pct"/>
            <w:vMerge w:val="continue"/>
            <w:tcBorders>
              <w:tl2br w:val="nil"/>
              <w:tr2bl w:val="nil"/>
            </w:tcBorders>
            <w:vAlign w:val="center"/>
          </w:tcPr>
          <w:p w14:paraId="3F195CD6">
            <w:pPr>
              <w:widowControl/>
              <w:adjustRightInd w:val="0"/>
              <w:snapToGrid w:val="0"/>
              <w:jc w:val="center"/>
              <w:rPr>
                <w:color w:val="auto"/>
                <w:kern w:val="0"/>
                <w:szCs w:val="21"/>
              </w:rPr>
            </w:pPr>
          </w:p>
        </w:tc>
        <w:tc>
          <w:tcPr>
            <w:tcW w:w="817" w:type="pct"/>
            <w:tcBorders>
              <w:tl2br w:val="nil"/>
              <w:tr2bl w:val="nil"/>
            </w:tcBorders>
            <w:shd w:val="clear" w:color="auto" w:fill="auto"/>
            <w:vAlign w:val="center"/>
          </w:tcPr>
          <w:p w14:paraId="36947311">
            <w:pPr>
              <w:pStyle w:val="105"/>
              <w:spacing w:line="240" w:lineRule="exact"/>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NO</w:t>
            </w:r>
            <w:r>
              <w:rPr>
                <w:rFonts w:hint="eastAsia"/>
                <w:color w:val="auto"/>
                <w:kern w:val="0"/>
                <w:sz w:val="21"/>
                <w:szCs w:val="21"/>
                <w:vertAlign w:val="subscript"/>
                <w:lang w:val="en-US" w:eastAsia="zh-CN"/>
              </w:rPr>
              <w:t>x</w:t>
            </w:r>
          </w:p>
        </w:tc>
        <w:tc>
          <w:tcPr>
            <w:tcW w:w="2753" w:type="dxa"/>
            <w:tcBorders>
              <w:tl2br w:val="nil"/>
              <w:tr2bl w:val="nil"/>
            </w:tcBorders>
            <w:vAlign w:val="center"/>
          </w:tcPr>
          <w:p w14:paraId="136C626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6</w:t>
            </w:r>
            <w:r>
              <w:rPr>
                <w:rFonts w:hint="eastAsia" w:ascii="Times New Roman" w:hAnsi="Times New Roman" w:eastAsia="宋体" w:cs="Times New Roman"/>
                <w:color w:val="auto"/>
                <w:szCs w:val="21"/>
                <w:lang w:val="en-US" w:eastAsia="zh-CN"/>
              </w:rPr>
              <w:t>9</w:t>
            </w:r>
          </w:p>
        </w:tc>
        <w:tc>
          <w:tcPr>
            <w:tcW w:w="714" w:type="pct"/>
            <w:vMerge w:val="continue"/>
            <w:tcBorders>
              <w:tl2br w:val="nil"/>
              <w:tr2bl w:val="nil"/>
            </w:tcBorders>
            <w:vAlign w:val="center"/>
          </w:tcPr>
          <w:p w14:paraId="0045B7B3">
            <w:pPr>
              <w:jc w:val="center"/>
              <w:rPr>
                <w:color w:val="auto"/>
                <w:szCs w:val="21"/>
              </w:rPr>
            </w:pPr>
          </w:p>
        </w:tc>
        <w:tc>
          <w:tcPr>
            <w:tcW w:w="642" w:type="pct"/>
            <w:vMerge w:val="continue"/>
            <w:tcBorders>
              <w:tl2br w:val="nil"/>
              <w:tr2bl w:val="nil"/>
            </w:tcBorders>
            <w:vAlign w:val="center"/>
          </w:tcPr>
          <w:p w14:paraId="14B9799E">
            <w:pPr>
              <w:widowControl/>
              <w:adjustRightInd w:val="0"/>
              <w:snapToGrid w:val="0"/>
              <w:jc w:val="center"/>
              <w:rPr>
                <w:color w:val="auto"/>
                <w:szCs w:val="21"/>
              </w:rPr>
            </w:pPr>
          </w:p>
        </w:tc>
      </w:tr>
      <w:tr w14:paraId="23F0CA1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19EE0A4E">
            <w:pPr>
              <w:widowControl/>
              <w:jc w:val="center"/>
              <w:rPr>
                <w:color w:val="auto"/>
                <w:kern w:val="0"/>
                <w:szCs w:val="21"/>
              </w:rPr>
            </w:pPr>
          </w:p>
        </w:tc>
        <w:tc>
          <w:tcPr>
            <w:tcW w:w="1216" w:type="pct"/>
            <w:vMerge w:val="continue"/>
            <w:tcBorders>
              <w:tl2br w:val="nil"/>
              <w:tr2bl w:val="nil"/>
            </w:tcBorders>
            <w:vAlign w:val="center"/>
          </w:tcPr>
          <w:p w14:paraId="1B66CF2B">
            <w:pPr>
              <w:widowControl/>
              <w:adjustRightInd w:val="0"/>
              <w:snapToGrid w:val="0"/>
              <w:jc w:val="center"/>
              <w:rPr>
                <w:color w:val="auto"/>
                <w:kern w:val="0"/>
                <w:szCs w:val="21"/>
              </w:rPr>
            </w:pPr>
          </w:p>
        </w:tc>
        <w:tc>
          <w:tcPr>
            <w:tcW w:w="817" w:type="pct"/>
            <w:tcBorders>
              <w:tl2br w:val="nil"/>
              <w:tr2bl w:val="nil"/>
            </w:tcBorders>
            <w:shd w:val="clear" w:color="auto" w:fill="auto"/>
            <w:vAlign w:val="center"/>
          </w:tcPr>
          <w:p w14:paraId="44A46AFA">
            <w:pPr>
              <w:pStyle w:val="105"/>
              <w:spacing w:line="240" w:lineRule="exact"/>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汞</w:t>
            </w:r>
          </w:p>
        </w:tc>
        <w:tc>
          <w:tcPr>
            <w:tcW w:w="2753" w:type="dxa"/>
            <w:tcBorders>
              <w:tl2br w:val="nil"/>
              <w:tr2bl w:val="nil"/>
            </w:tcBorders>
            <w:vAlign w:val="center"/>
          </w:tcPr>
          <w:p w14:paraId="5B10C74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4</w:t>
            </w:r>
          </w:p>
        </w:tc>
        <w:tc>
          <w:tcPr>
            <w:tcW w:w="714" w:type="pct"/>
            <w:vMerge w:val="continue"/>
            <w:tcBorders>
              <w:tl2br w:val="nil"/>
              <w:tr2bl w:val="nil"/>
            </w:tcBorders>
            <w:vAlign w:val="center"/>
          </w:tcPr>
          <w:p w14:paraId="0AE22063">
            <w:pPr>
              <w:jc w:val="center"/>
              <w:rPr>
                <w:color w:val="auto"/>
                <w:szCs w:val="21"/>
              </w:rPr>
            </w:pPr>
          </w:p>
        </w:tc>
        <w:tc>
          <w:tcPr>
            <w:tcW w:w="642" w:type="pct"/>
            <w:vMerge w:val="continue"/>
            <w:tcBorders>
              <w:tl2br w:val="nil"/>
              <w:tr2bl w:val="nil"/>
            </w:tcBorders>
            <w:vAlign w:val="center"/>
          </w:tcPr>
          <w:p w14:paraId="7E423CAE">
            <w:pPr>
              <w:widowControl/>
              <w:adjustRightInd w:val="0"/>
              <w:snapToGrid w:val="0"/>
              <w:jc w:val="center"/>
              <w:rPr>
                <w:color w:val="auto"/>
                <w:szCs w:val="21"/>
              </w:rPr>
            </w:pPr>
          </w:p>
        </w:tc>
      </w:tr>
    </w:tbl>
    <w:p w14:paraId="0677234B">
      <w:pPr>
        <w:spacing w:line="460" w:lineRule="exact"/>
        <w:rPr>
          <w:color w:val="auto"/>
          <w:sz w:val="24"/>
          <w:szCs w:val="24"/>
        </w:rPr>
        <w:sectPr>
          <w:pgSz w:w="16839" w:h="11907" w:orient="landscape"/>
          <w:pgMar w:top="1797" w:right="1440" w:bottom="1797" w:left="1440" w:header="1134" w:footer="992" w:gutter="0"/>
          <w:pgBorders>
            <w:top w:val="none" w:sz="0" w:space="0"/>
            <w:left w:val="none" w:sz="0" w:space="0"/>
            <w:bottom w:val="none" w:sz="0" w:space="0"/>
            <w:right w:val="none" w:sz="0" w:space="0"/>
          </w:pgBorders>
          <w:cols w:space="720" w:num="1"/>
          <w:docGrid w:linePitch="312" w:charSpace="0"/>
        </w:sectPr>
      </w:pPr>
    </w:p>
    <w:p w14:paraId="4B7B0E02">
      <w:pPr>
        <w:pStyle w:val="3"/>
        <w:spacing w:before="0" w:after="0" w:line="460" w:lineRule="exact"/>
        <w:rPr>
          <w:rFonts w:eastAsia="宋体"/>
          <w:color w:val="auto"/>
          <w:kern w:val="0"/>
          <w:szCs w:val="28"/>
        </w:rPr>
      </w:pPr>
      <w:bookmarkStart w:id="72" w:name="_Toc29541"/>
      <w:bookmarkStart w:id="73" w:name="_Toc9832"/>
      <w:r>
        <w:rPr>
          <w:rFonts w:hint="eastAsia" w:eastAsia="宋体"/>
          <w:color w:val="auto"/>
          <w:kern w:val="0"/>
          <w:szCs w:val="28"/>
        </w:rPr>
        <w:t>4.3评价</w:t>
      </w:r>
      <w:r>
        <w:rPr>
          <w:rFonts w:eastAsia="宋体"/>
          <w:color w:val="auto"/>
          <w:kern w:val="0"/>
          <w:szCs w:val="28"/>
        </w:rPr>
        <w:t>因子</w:t>
      </w:r>
      <w:bookmarkEnd w:id="72"/>
      <w:r>
        <w:rPr>
          <w:rFonts w:hint="eastAsia" w:eastAsia="宋体"/>
          <w:color w:val="auto"/>
          <w:kern w:val="0"/>
          <w:szCs w:val="28"/>
        </w:rPr>
        <w:t>和标准</w:t>
      </w:r>
      <w:bookmarkEnd w:id="73"/>
    </w:p>
    <w:p w14:paraId="20FCB3D6">
      <w:pPr>
        <w:snapToGrid w:val="0"/>
        <w:spacing w:line="460" w:lineRule="exact"/>
        <w:ind w:firstLine="480" w:firstLineChars="200"/>
        <w:rPr>
          <w:b/>
          <w:color w:val="auto"/>
          <w:sz w:val="24"/>
          <w:szCs w:val="32"/>
        </w:rPr>
      </w:pPr>
      <w:r>
        <w:rPr>
          <w:rFonts w:hint="eastAsia"/>
          <w:color w:val="auto"/>
          <w:sz w:val="24"/>
        </w:rPr>
        <w:t>根据《环境影响评价技术导则 大气》（HJ/T2.</w:t>
      </w:r>
      <w:r>
        <w:rPr>
          <w:color w:val="auto"/>
          <w:sz w:val="24"/>
        </w:rPr>
        <w:t>2</w:t>
      </w:r>
      <w:r>
        <w:rPr>
          <w:rFonts w:hint="eastAsia"/>
          <w:color w:val="auto"/>
          <w:sz w:val="24"/>
        </w:rPr>
        <w:t>-2018）的要求，本项目</w:t>
      </w:r>
      <w:r>
        <w:rPr>
          <w:color w:val="auto"/>
          <w:kern w:val="0"/>
          <w:sz w:val="24"/>
        </w:rPr>
        <w:t>评价因子和评价标准见表</w:t>
      </w:r>
      <w:r>
        <w:rPr>
          <w:rFonts w:hint="eastAsia"/>
          <w:color w:val="auto"/>
          <w:kern w:val="0"/>
          <w:sz w:val="24"/>
        </w:rPr>
        <w:t>4</w:t>
      </w:r>
      <w:r>
        <w:rPr>
          <w:color w:val="auto"/>
          <w:kern w:val="0"/>
          <w:sz w:val="24"/>
        </w:rPr>
        <w:t>-</w:t>
      </w:r>
      <w:r>
        <w:rPr>
          <w:rFonts w:hint="eastAsia"/>
          <w:color w:val="auto"/>
          <w:kern w:val="0"/>
          <w:sz w:val="24"/>
          <w:lang w:val="en-US" w:eastAsia="zh-CN"/>
        </w:rPr>
        <w:t>6</w:t>
      </w:r>
      <w:r>
        <w:rPr>
          <w:color w:val="auto"/>
          <w:kern w:val="0"/>
          <w:sz w:val="24"/>
        </w:rPr>
        <w:t>。</w:t>
      </w:r>
    </w:p>
    <w:p w14:paraId="62111AFF">
      <w:pPr>
        <w:adjustRightInd w:val="0"/>
        <w:snapToGrid w:val="0"/>
        <w:jc w:val="center"/>
        <w:rPr>
          <w:rFonts w:hint="eastAsia" w:eastAsia="宋体"/>
          <w:color w:val="auto"/>
          <w:kern w:val="0"/>
          <w:szCs w:val="28"/>
        </w:rPr>
      </w:pPr>
      <w:r>
        <w:rPr>
          <w:b/>
          <w:color w:val="auto"/>
          <w:sz w:val="24"/>
          <w:szCs w:val="32"/>
        </w:rPr>
        <w:t>表</w:t>
      </w:r>
      <w:r>
        <w:rPr>
          <w:rFonts w:hint="eastAsia"/>
          <w:b/>
          <w:color w:val="auto"/>
          <w:sz w:val="24"/>
          <w:szCs w:val="32"/>
        </w:rPr>
        <w:t>4</w:t>
      </w:r>
      <w:r>
        <w:rPr>
          <w:b/>
          <w:color w:val="auto"/>
          <w:sz w:val="24"/>
          <w:szCs w:val="32"/>
        </w:rPr>
        <w:t>-</w:t>
      </w:r>
      <w:r>
        <w:rPr>
          <w:rFonts w:hint="eastAsia"/>
          <w:b/>
          <w:color w:val="auto"/>
          <w:sz w:val="24"/>
          <w:szCs w:val="32"/>
          <w:lang w:val="en-US" w:eastAsia="zh-CN"/>
        </w:rPr>
        <w:t>6</w:t>
      </w:r>
      <w:r>
        <w:rPr>
          <w:b/>
          <w:color w:val="auto"/>
          <w:sz w:val="24"/>
          <w:szCs w:val="32"/>
        </w:rPr>
        <w:t xml:space="preserve">  评价因子和评价标准表</w:t>
      </w:r>
      <w:bookmarkStart w:id="74" w:name="_Toc27349"/>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54"/>
        <w:gridCol w:w="1345"/>
        <w:gridCol w:w="943"/>
        <w:gridCol w:w="1061"/>
        <w:gridCol w:w="3409"/>
      </w:tblGrid>
      <w:tr w14:paraId="2636F9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tcBorders>
              <w:tl2br w:val="nil"/>
              <w:tr2bl w:val="nil"/>
            </w:tcBorders>
            <w:vAlign w:val="center"/>
          </w:tcPr>
          <w:p w14:paraId="32A7F940">
            <w:pPr>
              <w:pStyle w:val="128"/>
              <w:rPr>
                <w:b/>
                <w:bCs/>
                <w:color w:val="auto"/>
                <w:kern w:val="2"/>
              </w:rPr>
            </w:pPr>
            <w:r>
              <w:rPr>
                <w:b/>
                <w:bCs/>
                <w:color w:val="auto"/>
                <w:kern w:val="2"/>
              </w:rPr>
              <w:t>评价因子</w:t>
            </w:r>
          </w:p>
        </w:tc>
        <w:tc>
          <w:tcPr>
            <w:tcW w:w="1380" w:type="dxa"/>
            <w:tcBorders>
              <w:tl2br w:val="nil"/>
              <w:tr2bl w:val="nil"/>
            </w:tcBorders>
            <w:vAlign w:val="center"/>
          </w:tcPr>
          <w:p w14:paraId="3ED33AA2">
            <w:pPr>
              <w:pStyle w:val="128"/>
              <w:rPr>
                <w:b/>
                <w:bCs/>
                <w:color w:val="auto"/>
                <w:kern w:val="2"/>
              </w:rPr>
            </w:pPr>
            <w:r>
              <w:rPr>
                <w:b/>
                <w:bCs/>
                <w:color w:val="auto"/>
                <w:kern w:val="2"/>
              </w:rPr>
              <w:t>取值时间</w:t>
            </w:r>
          </w:p>
        </w:tc>
        <w:tc>
          <w:tcPr>
            <w:tcW w:w="967" w:type="dxa"/>
            <w:tcBorders>
              <w:tl2br w:val="nil"/>
              <w:tr2bl w:val="nil"/>
            </w:tcBorders>
            <w:vAlign w:val="center"/>
          </w:tcPr>
          <w:p w14:paraId="3A3C3818">
            <w:pPr>
              <w:pStyle w:val="128"/>
              <w:rPr>
                <w:b/>
                <w:bCs/>
                <w:color w:val="auto"/>
                <w:kern w:val="2"/>
              </w:rPr>
            </w:pPr>
            <w:r>
              <w:rPr>
                <w:b/>
                <w:bCs/>
                <w:color w:val="auto"/>
                <w:kern w:val="2"/>
              </w:rPr>
              <w:t>单位</w:t>
            </w:r>
          </w:p>
        </w:tc>
        <w:tc>
          <w:tcPr>
            <w:tcW w:w="1089" w:type="dxa"/>
            <w:tcBorders>
              <w:tl2br w:val="nil"/>
              <w:tr2bl w:val="nil"/>
            </w:tcBorders>
            <w:vAlign w:val="center"/>
          </w:tcPr>
          <w:p w14:paraId="1AF8948D">
            <w:pPr>
              <w:pStyle w:val="128"/>
              <w:rPr>
                <w:b/>
                <w:bCs/>
                <w:color w:val="auto"/>
                <w:kern w:val="2"/>
              </w:rPr>
            </w:pPr>
            <w:r>
              <w:rPr>
                <w:b/>
                <w:bCs/>
                <w:color w:val="auto"/>
                <w:kern w:val="2"/>
              </w:rPr>
              <w:t>标准限值</w:t>
            </w:r>
          </w:p>
        </w:tc>
        <w:tc>
          <w:tcPr>
            <w:tcW w:w="3498" w:type="dxa"/>
            <w:tcBorders>
              <w:tl2br w:val="nil"/>
              <w:tr2bl w:val="nil"/>
            </w:tcBorders>
            <w:vAlign w:val="center"/>
          </w:tcPr>
          <w:p w14:paraId="1659A8A4">
            <w:pPr>
              <w:pStyle w:val="128"/>
              <w:rPr>
                <w:b/>
                <w:bCs/>
                <w:color w:val="auto"/>
                <w:kern w:val="2"/>
              </w:rPr>
            </w:pPr>
            <w:r>
              <w:rPr>
                <w:b/>
                <w:bCs/>
                <w:color w:val="auto"/>
                <w:kern w:val="2"/>
              </w:rPr>
              <w:t>执行标准</w:t>
            </w:r>
          </w:p>
        </w:tc>
      </w:tr>
      <w:tr w14:paraId="5C7891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restart"/>
            <w:tcBorders>
              <w:tl2br w:val="nil"/>
              <w:tr2bl w:val="nil"/>
            </w:tcBorders>
            <w:vAlign w:val="center"/>
          </w:tcPr>
          <w:p w14:paraId="69B16E8F">
            <w:pPr>
              <w:pStyle w:val="128"/>
              <w:rPr>
                <w:color w:val="auto"/>
                <w:kern w:val="2"/>
              </w:rPr>
            </w:pPr>
            <w:r>
              <w:rPr>
                <w:color w:val="auto"/>
                <w:kern w:val="2"/>
              </w:rPr>
              <w:t>SO</w:t>
            </w:r>
            <w:r>
              <w:rPr>
                <w:color w:val="auto"/>
                <w:kern w:val="2"/>
                <w:vertAlign w:val="subscript"/>
              </w:rPr>
              <w:t>2</w:t>
            </w:r>
          </w:p>
        </w:tc>
        <w:tc>
          <w:tcPr>
            <w:tcW w:w="1380" w:type="dxa"/>
            <w:tcBorders>
              <w:tl2br w:val="nil"/>
              <w:tr2bl w:val="nil"/>
            </w:tcBorders>
            <w:vAlign w:val="center"/>
          </w:tcPr>
          <w:p w14:paraId="2C17EBD1">
            <w:pPr>
              <w:pStyle w:val="128"/>
              <w:rPr>
                <w:color w:val="auto"/>
                <w:kern w:val="2"/>
              </w:rPr>
            </w:pPr>
            <w:r>
              <w:rPr>
                <w:color w:val="auto"/>
                <w:kern w:val="2"/>
              </w:rPr>
              <w:t>年平均</w:t>
            </w:r>
          </w:p>
        </w:tc>
        <w:tc>
          <w:tcPr>
            <w:tcW w:w="967" w:type="dxa"/>
            <w:tcBorders>
              <w:tl2br w:val="nil"/>
              <w:tr2bl w:val="nil"/>
            </w:tcBorders>
            <w:vAlign w:val="center"/>
          </w:tcPr>
          <w:p w14:paraId="369AACEA">
            <w:pPr>
              <w:pStyle w:val="128"/>
              <w:rPr>
                <w:color w:val="auto"/>
                <w:kern w:val="2"/>
              </w:rPr>
            </w:pPr>
            <w:r>
              <w:rPr>
                <w:color w:val="auto"/>
                <w:kern w:val="2"/>
              </w:rPr>
              <w:t>μg/ m</w:t>
            </w:r>
            <w:r>
              <w:rPr>
                <w:color w:val="auto"/>
                <w:kern w:val="2"/>
                <w:vertAlign w:val="superscript"/>
              </w:rPr>
              <w:t>3</w:t>
            </w:r>
          </w:p>
        </w:tc>
        <w:tc>
          <w:tcPr>
            <w:tcW w:w="1089" w:type="dxa"/>
            <w:tcBorders>
              <w:tl2br w:val="nil"/>
              <w:tr2bl w:val="nil"/>
            </w:tcBorders>
            <w:vAlign w:val="center"/>
          </w:tcPr>
          <w:p w14:paraId="09A678CC">
            <w:pPr>
              <w:pStyle w:val="128"/>
              <w:rPr>
                <w:color w:val="auto"/>
                <w:kern w:val="2"/>
              </w:rPr>
            </w:pPr>
            <w:r>
              <w:rPr>
                <w:color w:val="auto"/>
                <w:kern w:val="2"/>
              </w:rPr>
              <w:t>60</w:t>
            </w:r>
          </w:p>
        </w:tc>
        <w:tc>
          <w:tcPr>
            <w:tcW w:w="3498" w:type="dxa"/>
            <w:vMerge w:val="restart"/>
            <w:tcBorders>
              <w:tl2br w:val="nil"/>
              <w:tr2bl w:val="nil"/>
            </w:tcBorders>
            <w:vAlign w:val="center"/>
          </w:tcPr>
          <w:p w14:paraId="0089744B">
            <w:pPr>
              <w:pStyle w:val="128"/>
              <w:rPr>
                <w:color w:val="FF0000"/>
                <w:kern w:val="2"/>
              </w:rPr>
            </w:pPr>
            <w:r>
              <w:rPr>
                <w:color w:val="FF0000"/>
                <w:kern w:val="2"/>
              </w:rPr>
              <w:t>《环境空气质量标准》</w:t>
            </w:r>
          </w:p>
          <w:p w14:paraId="03C488E1">
            <w:pPr>
              <w:pStyle w:val="128"/>
              <w:rPr>
                <w:color w:val="auto"/>
                <w:kern w:val="2"/>
              </w:rPr>
            </w:pPr>
            <w:r>
              <w:rPr>
                <w:color w:val="FF0000"/>
                <w:kern w:val="2"/>
              </w:rPr>
              <w:t>（GB3095-</w:t>
            </w:r>
            <w:r>
              <w:rPr>
                <w:rFonts w:hint="eastAsia"/>
                <w:color w:val="FF0000"/>
                <w:kern w:val="2"/>
                <w:lang w:val="en-US" w:eastAsia="zh-CN"/>
              </w:rPr>
              <w:t>2026</w:t>
            </w:r>
            <w:r>
              <w:rPr>
                <w:color w:val="FF0000"/>
                <w:kern w:val="2"/>
              </w:rPr>
              <w:t>）</w:t>
            </w:r>
            <w:r>
              <w:rPr>
                <w:rFonts w:hint="eastAsia"/>
                <w:color w:val="FF0000"/>
                <w:lang w:val="en-US" w:eastAsia="zh-CN"/>
              </w:rPr>
              <w:t>过渡阶段浓度限制</w:t>
            </w:r>
            <w:r>
              <w:rPr>
                <w:color w:val="FF0000"/>
                <w:kern w:val="2"/>
              </w:rPr>
              <w:t>二级标准</w:t>
            </w:r>
          </w:p>
        </w:tc>
      </w:tr>
      <w:tr w14:paraId="7F3FD4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continue"/>
            <w:tcBorders>
              <w:tl2br w:val="nil"/>
              <w:tr2bl w:val="nil"/>
            </w:tcBorders>
            <w:vAlign w:val="center"/>
          </w:tcPr>
          <w:p w14:paraId="2343798D">
            <w:pPr>
              <w:widowControl/>
              <w:jc w:val="center"/>
              <w:rPr>
                <w:color w:val="auto"/>
                <w:szCs w:val="21"/>
              </w:rPr>
            </w:pPr>
          </w:p>
        </w:tc>
        <w:tc>
          <w:tcPr>
            <w:tcW w:w="1380" w:type="dxa"/>
            <w:tcBorders>
              <w:tl2br w:val="nil"/>
              <w:tr2bl w:val="nil"/>
            </w:tcBorders>
            <w:vAlign w:val="center"/>
          </w:tcPr>
          <w:p w14:paraId="2C78F66C">
            <w:pPr>
              <w:pStyle w:val="128"/>
              <w:rPr>
                <w:color w:val="auto"/>
                <w:kern w:val="2"/>
              </w:rPr>
            </w:pPr>
            <w:r>
              <w:rPr>
                <w:color w:val="auto"/>
                <w:kern w:val="2"/>
              </w:rPr>
              <w:t>日平均</w:t>
            </w:r>
          </w:p>
        </w:tc>
        <w:tc>
          <w:tcPr>
            <w:tcW w:w="967" w:type="dxa"/>
            <w:tcBorders>
              <w:tl2br w:val="nil"/>
              <w:tr2bl w:val="nil"/>
            </w:tcBorders>
            <w:vAlign w:val="center"/>
          </w:tcPr>
          <w:p w14:paraId="25A856B5">
            <w:pPr>
              <w:pStyle w:val="128"/>
              <w:rPr>
                <w:color w:val="auto"/>
                <w:kern w:val="2"/>
              </w:rPr>
            </w:pPr>
            <w:r>
              <w:rPr>
                <w:color w:val="auto"/>
                <w:kern w:val="2"/>
              </w:rPr>
              <w:t>μg/ m</w:t>
            </w:r>
            <w:r>
              <w:rPr>
                <w:color w:val="auto"/>
                <w:kern w:val="2"/>
                <w:vertAlign w:val="superscript"/>
              </w:rPr>
              <w:t>3</w:t>
            </w:r>
          </w:p>
        </w:tc>
        <w:tc>
          <w:tcPr>
            <w:tcW w:w="1089" w:type="dxa"/>
            <w:tcBorders>
              <w:tl2br w:val="nil"/>
              <w:tr2bl w:val="nil"/>
            </w:tcBorders>
            <w:vAlign w:val="center"/>
          </w:tcPr>
          <w:p w14:paraId="0A2F74C2">
            <w:pPr>
              <w:pStyle w:val="128"/>
              <w:rPr>
                <w:color w:val="auto"/>
                <w:kern w:val="2"/>
              </w:rPr>
            </w:pPr>
            <w:r>
              <w:rPr>
                <w:color w:val="auto"/>
                <w:kern w:val="2"/>
              </w:rPr>
              <w:t>150</w:t>
            </w:r>
          </w:p>
        </w:tc>
        <w:tc>
          <w:tcPr>
            <w:tcW w:w="3498" w:type="dxa"/>
            <w:vMerge w:val="continue"/>
            <w:tcBorders>
              <w:tl2br w:val="nil"/>
              <w:tr2bl w:val="nil"/>
            </w:tcBorders>
            <w:vAlign w:val="center"/>
          </w:tcPr>
          <w:p w14:paraId="36EF6B2E">
            <w:pPr>
              <w:widowControl/>
              <w:jc w:val="center"/>
              <w:rPr>
                <w:color w:val="auto"/>
                <w:szCs w:val="21"/>
              </w:rPr>
            </w:pPr>
          </w:p>
        </w:tc>
      </w:tr>
      <w:tr w14:paraId="0DF45F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continue"/>
            <w:tcBorders>
              <w:tl2br w:val="nil"/>
              <w:tr2bl w:val="nil"/>
            </w:tcBorders>
            <w:vAlign w:val="center"/>
          </w:tcPr>
          <w:p w14:paraId="2C1EC74D">
            <w:pPr>
              <w:widowControl/>
              <w:jc w:val="center"/>
              <w:rPr>
                <w:color w:val="auto"/>
                <w:szCs w:val="21"/>
              </w:rPr>
            </w:pPr>
          </w:p>
        </w:tc>
        <w:tc>
          <w:tcPr>
            <w:tcW w:w="1380" w:type="dxa"/>
            <w:tcBorders>
              <w:tl2br w:val="nil"/>
              <w:tr2bl w:val="nil"/>
            </w:tcBorders>
            <w:vAlign w:val="center"/>
          </w:tcPr>
          <w:p w14:paraId="1AF9F70B">
            <w:pPr>
              <w:pStyle w:val="128"/>
              <w:rPr>
                <w:color w:val="auto"/>
                <w:kern w:val="2"/>
              </w:rPr>
            </w:pPr>
            <w:r>
              <w:rPr>
                <w:color w:val="auto"/>
                <w:kern w:val="2"/>
              </w:rPr>
              <w:t>1h平均</w:t>
            </w:r>
          </w:p>
        </w:tc>
        <w:tc>
          <w:tcPr>
            <w:tcW w:w="967" w:type="dxa"/>
            <w:tcBorders>
              <w:tl2br w:val="nil"/>
              <w:tr2bl w:val="nil"/>
            </w:tcBorders>
            <w:vAlign w:val="center"/>
          </w:tcPr>
          <w:p w14:paraId="62A58B0F">
            <w:pPr>
              <w:pStyle w:val="128"/>
              <w:rPr>
                <w:color w:val="auto"/>
                <w:kern w:val="2"/>
              </w:rPr>
            </w:pPr>
            <w:r>
              <w:rPr>
                <w:color w:val="auto"/>
                <w:kern w:val="2"/>
              </w:rPr>
              <w:t>μg/ m</w:t>
            </w:r>
            <w:r>
              <w:rPr>
                <w:color w:val="auto"/>
                <w:kern w:val="2"/>
                <w:vertAlign w:val="superscript"/>
              </w:rPr>
              <w:t>3</w:t>
            </w:r>
          </w:p>
        </w:tc>
        <w:tc>
          <w:tcPr>
            <w:tcW w:w="1089" w:type="dxa"/>
            <w:tcBorders>
              <w:tl2br w:val="nil"/>
              <w:tr2bl w:val="nil"/>
            </w:tcBorders>
            <w:vAlign w:val="center"/>
          </w:tcPr>
          <w:p w14:paraId="7782C44C">
            <w:pPr>
              <w:pStyle w:val="128"/>
              <w:rPr>
                <w:color w:val="auto"/>
                <w:kern w:val="2"/>
              </w:rPr>
            </w:pPr>
            <w:r>
              <w:rPr>
                <w:color w:val="auto"/>
                <w:kern w:val="2"/>
              </w:rPr>
              <w:t>500</w:t>
            </w:r>
          </w:p>
        </w:tc>
        <w:tc>
          <w:tcPr>
            <w:tcW w:w="3498" w:type="dxa"/>
            <w:vMerge w:val="continue"/>
            <w:tcBorders>
              <w:tl2br w:val="nil"/>
              <w:tr2bl w:val="nil"/>
            </w:tcBorders>
            <w:vAlign w:val="center"/>
          </w:tcPr>
          <w:p w14:paraId="79F77F6D">
            <w:pPr>
              <w:widowControl/>
              <w:jc w:val="center"/>
              <w:rPr>
                <w:color w:val="auto"/>
                <w:szCs w:val="21"/>
              </w:rPr>
            </w:pPr>
          </w:p>
        </w:tc>
      </w:tr>
      <w:tr w14:paraId="2CB0C3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restart"/>
            <w:tcBorders>
              <w:tl2br w:val="nil"/>
              <w:tr2bl w:val="nil"/>
            </w:tcBorders>
            <w:vAlign w:val="center"/>
          </w:tcPr>
          <w:p w14:paraId="1E3DC66A">
            <w:pPr>
              <w:pStyle w:val="128"/>
              <w:rPr>
                <w:color w:val="auto"/>
                <w:kern w:val="2"/>
              </w:rPr>
            </w:pPr>
            <w:r>
              <w:rPr>
                <w:color w:val="auto"/>
                <w:kern w:val="2"/>
              </w:rPr>
              <w:t>NOx</w:t>
            </w:r>
          </w:p>
        </w:tc>
        <w:tc>
          <w:tcPr>
            <w:tcW w:w="1380" w:type="dxa"/>
            <w:tcBorders>
              <w:tl2br w:val="nil"/>
              <w:tr2bl w:val="nil"/>
            </w:tcBorders>
            <w:vAlign w:val="center"/>
          </w:tcPr>
          <w:p w14:paraId="722A9397">
            <w:pPr>
              <w:pStyle w:val="128"/>
              <w:rPr>
                <w:color w:val="auto"/>
                <w:kern w:val="2"/>
              </w:rPr>
            </w:pPr>
            <w:r>
              <w:rPr>
                <w:color w:val="auto"/>
                <w:kern w:val="2"/>
              </w:rPr>
              <w:t>年平均</w:t>
            </w:r>
          </w:p>
        </w:tc>
        <w:tc>
          <w:tcPr>
            <w:tcW w:w="967" w:type="dxa"/>
            <w:tcBorders>
              <w:tl2br w:val="nil"/>
              <w:tr2bl w:val="nil"/>
            </w:tcBorders>
            <w:vAlign w:val="center"/>
          </w:tcPr>
          <w:p w14:paraId="157C1FA2">
            <w:pPr>
              <w:pStyle w:val="128"/>
              <w:rPr>
                <w:color w:val="auto"/>
                <w:kern w:val="2"/>
              </w:rPr>
            </w:pPr>
            <w:r>
              <w:rPr>
                <w:color w:val="auto"/>
                <w:kern w:val="2"/>
              </w:rPr>
              <w:t>μg/ m</w:t>
            </w:r>
            <w:r>
              <w:rPr>
                <w:color w:val="auto"/>
                <w:kern w:val="2"/>
                <w:vertAlign w:val="superscript"/>
              </w:rPr>
              <w:t>3</w:t>
            </w:r>
          </w:p>
        </w:tc>
        <w:tc>
          <w:tcPr>
            <w:tcW w:w="1089" w:type="dxa"/>
            <w:tcBorders>
              <w:tl2br w:val="nil"/>
              <w:tr2bl w:val="nil"/>
            </w:tcBorders>
            <w:vAlign w:val="center"/>
          </w:tcPr>
          <w:p w14:paraId="0449A883">
            <w:pPr>
              <w:pStyle w:val="128"/>
              <w:rPr>
                <w:color w:val="auto"/>
                <w:kern w:val="2"/>
              </w:rPr>
            </w:pPr>
            <w:r>
              <w:rPr>
                <w:rFonts w:hint="eastAsia"/>
                <w:color w:val="auto"/>
                <w:kern w:val="2"/>
                <w:lang w:val="en-US" w:eastAsia="zh-CN"/>
              </w:rPr>
              <w:t>40</w:t>
            </w:r>
          </w:p>
        </w:tc>
        <w:tc>
          <w:tcPr>
            <w:tcW w:w="3498" w:type="dxa"/>
            <w:vMerge w:val="continue"/>
            <w:tcBorders>
              <w:tl2br w:val="nil"/>
              <w:tr2bl w:val="nil"/>
            </w:tcBorders>
            <w:vAlign w:val="center"/>
          </w:tcPr>
          <w:p w14:paraId="16EC0760">
            <w:pPr>
              <w:widowControl/>
              <w:jc w:val="center"/>
              <w:rPr>
                <w:color w:val="auto"/>
                <w:szCs w:val="21"/>
              </w:rPr>
            </w:pPr>
          </w:p>
        </w:tc>
      </w:tr>
      <w:tr w14:paraId="0FCCEA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continue"/>
            <w:tcBorders>
              <w:tl2br w:val="nil"/>
              <w:tr2bl w:val="nil"/>
            </w:tcBorders>
            <w:vAlign w:val="center"/>
          </w:tcPr>
          <w:p w14:paraId="0E81F65E">
            <w:pPr>
              <w:widowControl/>
              <w:jc w:val="center"/>
              <w:rPr>
                <w:color w:val="auto"/>
                <w:szCs w:val="21"/>
              </w:rPr>
            </w:pPr>
          </w:p>
        </w:tc>
        <w:tc>
          <w:tcPr>
            <w:tcW w:w="1380" w:type="dxa"/>
            <w:tcBorders>
              <w:tl2br w:val="nil"/>
              <w:tr2bl w:val="nil"/>
            </w:tcBorders>
            <w:vAlign w:val="center"/>
          </w:tcPr>
          <w:p w14:paraId="25AD3FA8">
            <w:pPr>
              <w:pStyle w:val="128"/>
              <w:rPr>
                <w:color w:val="auto"/>
                <w:kern w:val="2"/>
              </w:rPr>
            </w:pPr>
            <w:r>
              <w:rPr>
                <w:color w:val="auto"/>
                <w:kern w:val="2"/>
              </w:rPr>
              <w:t>日平均</w:t>
            </w:r>
          </w:p>
        </w:tc>
        <w:tc>
          <w:tcPr>
            <w:tcW w:w="967" w:type="dxa"/>
            <w:tcBorders>
              <w:tl2br w:val="nil"/>
              <w:tr2bl w:val="nil"/>
            </w:tcBorders>
            <w:vAlign w:val="center"/>
          </w:tcPr>
          <w:p w14:paraId="5D540D06">
            <w:pPr>
              <w:pStyle w:val="128"/>
              <w:rPr>
                <w:color w:val="auto"/>
                <w:kern w:val="2"/>
              </w:rPr>
            </w:pPr>
            <w:r>
              <w:rPr>
                <w:color w:val="auto"/>
                <w:kern w:val="2"/>
              </w:rPr>
              <w:t>μg/ m</w:t>
            </w:r>
            <w:r>
              <w:rPr>
                <w:color w:val="auto"/>
                <w:kern w:val="2"/>
                <w:vertAlign w:val="superscript"/>
              </w:rPr>
              <w:t>3</w:t>
            </w:r>
          </w:p>
        </w:tc>
        <w:tc>
          <w:tcPr>
            <w:tcW w:w="1089" w:type="dxa"/>
            <w:tcBorders>
              <w:tl2br w:val="nil"/>
              <w:tr2bl w:val="nil"/>
            </w:tcBorders>
            <w:vAlign w:val="center"/>
          </w:tcPr>
          <w:p w14:paraId="726AF6DA">
            <w:pPr>
              <w:pStyle w:val="128"/>
              <w:rPr>
                <w:color w:val="auto"/>
                <w:kern w:val="2"/>
              </w:rPr>
            </w:pPr>
            <w:r>
              <w:rPr>
                <w:rFonts w:hint="eastAsia"/>
                <w:color w:val="auto"/>
                <w:kern w:val="2"/>
                <w:lang w:val="en-US" w:eastAsia="zh-CN"/>
              </w:rPr>
              <w:t>7</w:t>
            </w:r>
            <w:r>
              <w:rPr>
                <w:color w:val="auto"/>
                <w:kern w:val="2"/>
              </w:rPr>
              <w:t>0</w:t>
            </w:r>
          </w:p>
        </w:tc>
        <w:tc>
          <w:tcPr>
            <w:tcW w:w="3498" w:type="dxa"/>
            <w:vMerge w:val="continue"/>
            <w:tcBorders>
              <w:tl2br w:val="nil"/>
              <w:tr2bl w:val="nil"/>
            </w:tcBorders>
            <w:vAlign w:val="center"/>
          </w:tcPr>
          <w:p w14:paraId="2D7F8894">
            <w:pPr>
              <w:widowControl/>
              <w:jc w:val="center"/>
              <w:rPr>
                <w:color w:val="auto"/>
                <w:szCs w:val="21"/>
              </w:rPr>
            </w:pPr>
          </w:p>
        </w:tc>
      </w:tr>
      <w:tr w14:paraId="7D11CD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continue"/>
            <w:tcBorders>
              <w:tl2br w:val="nil"/>
              <w:tr2bl w:val="nil"/>
            </w:tcBorders>
            <w:vAlign w:val="center"/>
          </w:tcPr>
          <w:p w14:paraId="4056B4FD">
            <w:pPr>
              <w:widowControl/>
              <w:jc w:val="center"/>
              <w:rPr>
                <w:color w:val="auto"/>
                <w:szCs w:val="21"/>
              </w:rPr>
            </w:pPr>
          </w:p>
        </w:tc>
        <w:tc>
          <w:tcPr>
            <w:tcW w:w="1380" w:type="dxa"/>
            <w:tcBorders>
              <w:tl2br w:val="nil"/>
              <w:tr2bl w:val="nil"/>
            </w:tcBorders>
            <w:vAlign w:val="center"/>
          </w:tcPr>
          <w:p w14:paraId="34219E8B">
            <w:pPr>
              <w:pStyle w:val="128"/>
              <w:rPr>
                <w:color w:val="auto"/>
                <w:kern w:val="2"/>
              </w:rPr>
            </w:pPr>
            <w:r>
              <w:rPr>
                <w:color w:val="auto"/>
                <w:kern w:val="2"/>
              </w:rPr>
              <w:t>1h平均</w:t>
            </w:r>
          </w:p>
        </w:tc>
        <w:tc>
          <w:tcPr>
            <w:tcW w:w="967" w:type="dxa"/>
            <w:tcBorders>
              <w:tl2br w:val="nil"/>
              <w:tr2bl w:val="nil"/>
            </w:tcBorders>
            <w:vAlign w:val="center"/>
          </w:tcPr>
          <w:p w14:paraId="7CBAD3D5">
            <w:pPr>
              <w:pStyle w:val="128"/>
              <w:rPr>
                <w:color w:val="auto"/>
                <w:kern w:val="2"/>
              </w:rPr>
            </w:pPr>
            <w:r>
              <w:rPr>
                <w:color w:val="auto"/>
                <w:kern w:val="2"/>
              </w:rPr>
              <w:t>μg/ m</w:t>
            </w:r>
            <w:r>
              <w:rPr>
                <w:color w:val="auto"/>
                <w:kern w:val="2"/>
                <w:vertAlign w:val="superscript"/>
              </w:rPr>
              <w:t>3</w:t>
            </w:r>
          </w:p>
        </w:tc>
        <w:tc>
          <w:tcPr>
            <w:tcW w:w="1089" w:type="dxa"/>
            <w:tcBorders>
              <w:tl2br w:val="nil"/>
              <w:tr2bl w:val="nil"/>
            </w:tcBorders>
            <w:vAlign w:val="center"/>
          </w:tcPr>
          <w:p w14:paraId="256ED74B">
            <w:pPr>
              <w:pStyle w:val="128"/>
              <w:rPr>
                <w:color w:val="auto"/>
                <w:kern w:val="2"/>
              </w:rPr>
            </w:pPr>
            <w:r>
              <w:rPr>
                <w:color w:val="auto"/>
                <w:kern w:val="2"/>
              </w:rPr>
              <w:t>250</w:t>
            </w:r>
          </w:p>
        </w:tc>
        <w:tc>
          <w:tcPr>
            <w:tcW w:w="3498" w:type="dxa"/>
            <w:vMerge w:val="continue"/>
            <w:tcBorders>
              <w:tl2br w:val="nil"/>
              <w:tr2bl w:val="nil"/>
            </w:tcBorders>
            <w:vAlign w:val="center"/>
          </w:tcPr>
          <w:p w14:paraId="118FD261">
            <w:pPr>
              <w:widowControl/>
              <w:jc w:val="center"/>
              <w:rPr>
                <w:color w:val="auto"/>
                <w:szCs w:val="21"/>
              </w:rPr>
            </w:pPr>
          </w:p>
        </w:tc>
      </w:tr>
      <w:tr w14:paraId="627F53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restart"/>
            <w:tcBorders>
              <w:tl2br w:val="nil"/>
              <w:tr2bl w:val="nil"/>
            </w:tcBorders>
            <w:vAlign w:val="center"/>
          </w:tcPr>
          <w:p w14:paraId="461239D2">
            <w:pPr>
              <w:pStyle w:val="128"/>
              <w:rPr>
                <w:color w:val="auto"/>
                <w:kern w:val="2"/>
              </w:rPr>
            </w:pPr>
            <w:r>
              <w:rPr>
                <w:color w:val="auto"/>
                <w:kern w:val="2"/>
              </w:rPr>
              <w:t>TSP</w:t>
            </w:r>
          </w:p>
        </w:tc>
        <w:tc>
          <w:tcPr>
            <w:tcW w:w="1380" w:type="dxa"/>
            <w:tcBorders>
              <w:tl2br w:val="nil"/>
              <w:tr2bl w:val="nil"/>
            </w:tcBorders>
            <w:vAlign w:val="center"/>
          </w:tcPr>
          <w:p w14:paraId="4CBB1FF7">
            <w:pPr>
              <w:pStyle w:val="128"/>
              <w:rPr>
                <w:color w:val="auto"/>
                <w:kern w:val="2"/>
              </w:rPr>
            </w:pPr>
            <w:r>
              <w:rPr>
                <w:color w:val="auto"/>
                <w:kern w:val="2"/>
              </w:rPr>
              <w:t>年平均</w:t>
            </w:r>
          </w:p>
        </w:tc>
        <w:tc>
          <w:tcPr>
            <w:tcW w:w="967" w:type="dxa"/>
            <w:tcBorders>
              <w:tl2br w:val="nil"/>
              <w:tr2bl w:val="nil"/>
            </w:tcBorders>
            <w:vAlign w:val="center"/>
          </w:tcPr>
          <w:p w14:paraId="74324AAF">
            <w:pPr>
              <w:pStyle w:val="128"/>
              <w:rPr>
                <w:color w:val="auto"/>
                <w:kern w:val="2"/>
              </w:rPr>
            </w:pPr>
            <w:r>
              <w:rPr>
                <w:color w:val="auto"/>
                <w:kern w:val="2"/>
              </w:rPr>
              <w:t>mg/m</w:t>
            </w:r>
            <w:r>
              <w:rPr>
                <w:color w:val="auto"/>
                <w:kern w:val="2"/>
                <w:vertAlign w:val="superscript"/>
              </w:rPr>
              <w:t>3</w:t>
            </w:r>
          </w:p>
        </w:tc>
        <w:tc>
          <w:tcPr>
            <w:tcW w:w="1089" w:type="dxa"/>
            <w:tcBorders>
              <w:tl2br w:val="nil"/>
              <w:tr2bl w:val="nil"/>
            </w:tcBorders>
            <w:vAlign w:val="center"/>
          </w:tcPr>
          <w:p w14:paraId="14660FC8">
            <w:pPr>
              <w:pStyle w:val="128"/>
              <w:rPr>
                <w:color w:val="auto"/>
                <w:kern w:val="2"/>
              </w:rPr>
            </w:pPr>
            <w:r>
              <w:rPr>
                <w:color w:val="auto"/>
                <w:kern w:val="2"/>
              </w:rPr>
              <w:t>0.2</w:t>
            </w:r>
          </w:p>
        </w:tc>
        <w:tc>
          <w:tcPr>
            <w:tcW w:w="3498" w:type="dxa"/>
            <w:vMerge w:val="continue"/>
            <w:tcBorders>
              <w:tl2br w:val="nil"/>
              <w:tr2bl w:val="nil"/>
            </w:tcBorders>
            <w:vAlign w:val="center"/>
          </w:tcPr>
          <w:p w14:paraId="39AD6929">
            <w:pPr>
              <w:widowControl/>
              <w:jc w:val="center"/>
              <w:rPr>
                <w:color w:val="auto"/>
                <w:szCs w:val="21"/>
              </w:rPr>
            </w:pPr>
          </w:p>
        </w:tc>
      </w:tr>
      <w:tr w14:paraId="0FA013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vMerge w:val="continue"/>
            <w:tcBorders>
              <w:tl2br w:val="nil"/>
              <w:tr2bl w:val="nil"/>
            </w:tcBorders>
            <w:vAlign w:val="center"/>
          </w:tcPr>
          <w:p w14:paraId="786DC122">
            <w:pPr>
              <w:widowControl/>
              <w:jc w:val="center"/>
              <w:rPr>
                <w:color w:val="auto"/>
                <w:szCs w:val="21"/>
              </w:rPr>
            </w:pPr>
          </w:p>
        </w:tc>
        <w:tc>
          <w:tcPr>
            <w:tcW w:w="1380" w:type="dxa"/>
            <w:tcBorders>
              <w:tl2br w:val="nil"/>
              <w:tr2bl w:val="nil"/>
            </w:tcBorders>
            <w:vAlign w:val="center"/>
          </w:tcPr>
          <w:p w14:paraId="4EAF8CDE">
            <w:pPr>
              <w:pStyle w:val="128"/>
              <w:rPr>
                <w:color w:val="auto"/>
                <w:kern w:val="2"/>
              </w:rPr>
            </w:pPr>
            <w:r>
              <w:rPr>
                <w:color w:val="auto"/>
                <w:kern w:val="2"/>
              </w:rPr>
              <w:t>日平均</w:t>
            </w:r>
          </w:p>
        </w:tc>
        <w:tc>
          <w:tcPr>
            <w:tcW w:w="967" w:type="dxa"/>
            <w:tcBorders>
              <w:tl2br w:val="nil"/>
              <w:tr2bl w:val="nil"/>
            </w:tcBorders>
            <w:vAlign w:val="center"/>
          </w:tcPr>
          <w:p w14:paraId="69157D08">
            <w:pPr>
              <w:pStyle w:val="128"/>
              <w:rPr>
                <w:color w:val="auto"/>
                <w:kern w:val="2"/>
              </w:rPr>
            </w:pPr>
            <w:r>
              <w:rPr>
                <w:color w:val="auto"/>
                <w:kern w:val="2"/>
              </w:rPr>
              <w:t>mg/m</w:t>
            </w:r>
            <w:r>
              <w:rPr>
                <w:color w:val="auto"/>
                <w:kern w:val="2"/>
                <w:vertAlign w:val="superscript"/>
              </w:rPr>
              <w:t>3</w:t>
            </w:r>
          </w:p>
        </w:tc>
        <w:tc>
          <w:tcPr>
            <w:tcW w:w="1089" w:type="dxa"/>
            <w:tcBorders>
              <w:tl2br w:val="nil"/>
              <w:tr2bl w:val="nil"/>
            </w:tcBorders>
            <w:vAlign w:val="center"/>
          </w:tcPr>
          <w:p w14:paraId="7C221518">
            <w:pPr>
              <w:pStyle w:val="128"/>
              <w:rPr>
                <w:color w:val="auto"/>
                <w:kern w:val="2"/>
              </w:rPr>
            </w:pPr>
            <w:r>
              <w:rPr>
                <w:color w:val="auto"/>
                <w:kern w:val="2"/>
              </w:rPr>
              <w:t>0.3</w:t>
            </w:r>
          </w:p>
        </w:tc>
        <w:tc>
          <w:tcPr>
            <w:tcW w:w="3498" w:type="dxa"/>
            <w:vMerge w:val="continue"/>
            <w:tcBorders>
              <w:tl2br w:val="nil"/>
              <w:tr2bl w:val="nil"/>
            </w:tcBorders>
            <w:vAlign w:val="center"/>
          </w:tcPr>
          <w:p w14:paraId="3F8EC64C">
            <w:pPr>
              <w:widowControl/>
              <w:jc w:val="center"/>
              <w:rPr>
                <w:color w:val="auto"/>
                <w:szCs w:val="21"/>
              </w:rPr>
            </w:pPr>
          </w:p>
        </w:tc>
      </w:tr>
      <w:tr w14:paraId="124F42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tcBorders>
              <w:tl2br w:val="nil"/>
              <w:tr2bl w:val="nil"/>
            </w:tcBorders>
            <w:vAlign w:val="center"/>
          </w:tcPr>
          <w:p w14:paraId="19BBA8C5">
            <w:pPr>
              <w:jc w:val="center"/>
              <w:rPr>
                <w:color w:val="auto"/>
                <w:szCs w:val="21"/>
              </w:rPr>
            </w:pPr>
            <w:r>
              <w:rPr>
                <w:color w:val="auto"/>
                <w:szCs w:val="21"/>
              </w:rPr>
              <w:t>非甲烷总烃</w:t>
            </w:r>
          </w:p>
        </w:tc>
        <w:tc>
          <w:tcPr>
            <w:tcW w:w="1380" w:type="dxa"/>
            <w:tcBorders>
              <w:tl2br w:val="nil"/>
              <w:tr2bl w:val="nil"/>
            </w:tcBorders>
            <w:vAlign w:val="center"/>
          </w:tcPr>
          <w:p w14:paraId="653DC339">
            <w:pPr>
              <w:jc w:val="center"/>
              <w:rPr>
                <w:color w:val="auto"/>
                <w:szCs w:val="21"/>
              </w:rPr>
            </w:pPr>
            <w:r>
              <w:rPr>
                <w:color w:val="auto"/>
                <w:szCs w:val="21"/>
              </w:rPr>
              <w:t>1h值</w:t>
            </w:r>
          </w:p>
        </w:tc>
        <w:tc>
          <w:tcPr>
            <w:tcW w:w="967" w:type="dxa"/>
            <w:tcBorders>
              <w:tl2br w:val="nil"/>
              <w:tr2bl w:val="nil"/>
            </w:tcBorders>
            <w:vAlign w:val="center"/>
          </w:tcPr>
          <w:p w14:paraId="7221735D">
            <w:pPr>
              <w:jc w:val="center"/>
              <w:rPr>
                <w:color w:val="auto"/>
                <w:szCs w:val="21"/>
              </w:rPr>
            </w:pPr>
            <w:r>
              <w:rPr>
                <w:rFonts w:hint="eastAsia"/>
                <w:color w:val="auto"/>
                <w:szCs w:val="21"/>
              </w:rPr>
              <w:t>m</w:t>
            </w:r>
            <w:r>
              <w:rPr>
                <w:color w:val="auto"/>
                <w:szCs w:val="21"/>
              </w:rPr>
              <w:t>g/ m</w:t>
            </w:r>
            <w:r>
              <w:rPr>
                <w:color w:val="auto"/>
                <w:szCs w:val="21"/>
                <w:vertAlign w:val="superscript"/>
              </w:rPr>
              <w:t>3</w:t>
            </w:r>
          </w:p>
        </w:tc>
        <w:tc>
          <w:tcPr>
            <w:tcW w:w="1089" w:type="dxa"/>
            <w:tcBorders>
              <w:tl2br w:val="nil"/>
              <w:tr2bl w:val="nil"/>
            </w:tcBorders>
            <w:vAlign w:val="center"/>
          </w:tcPr>
          <w:p w14:paraId="13375DB6">
            <w:pPr>
              <w:jc w:val="center"/>
              <w:rPr>
                <w:color w:val="auto"/>
                <w:szCs w:val="21"/>
              </w:rPr>
            </w:pPr>
            <w:r>
              <w:rPr>
                <w:color w:val="auto"/>
                <w:szCs w:val="21"/>
              </w:rPr>
              <w:t>2</w:t>
            </w:r>
            <w:r>
              <w:rPr>
                <w:rFonts w:hint="eastAsia"/>
                <w:color w:val="auto"/>
                <w:szCs w:val="21"/>
              </w:rPr>
              <w:t>.0</w:t>
            </w:r>
          </w:p>
        </w:tc>
        <w:tc>
          <w:tcPr>
            <w:tcW w:w="3498" w:type="dxa"/>
            <w:tcBorders>
              <w:tl2br w:val="nil"/>
              <w:tr2bl w:val="nil"/>
            </w:tcBorders>
            <w:vAlign w:val="center"/>
          </w:tcPr>
          <w:p w14:paraId="2F10EFCE">
            <w:pPr>
              <w:pStyle w:val="128"/>
              <w:rPr>
                <w:color w:val="auto"/>
              </w:rPr>
            </w:pPr>
            <w:r>
              <w:rPr>
                <w:color w:val="auto"/>
                <w:kern w:val="2"/>
              </w:rPr>
              <w:t>《大气污染物综合排放标准详解》</w:t>
            </w:r>
          </w:p>
        </w:tc>
      </w:tr>
      <w:tr w14:paraId="4B2845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95" w:type="dxa"/>
            <w:tcBorders>
              <w:tl2br w:val="nil"/>
              <w:tr2bl w:val="nil"/>
            </w:tcBorders>
            <w:shd w:val="clear" w:color="auto" w:fill="auto"/>
            <w:vAlign w:val="center"/>
          </w:tcPr>
          <w:p w14:paraId="2580E525">
            <w:pPr>
              <w:pStyle w:val="14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汞</w:t>
            </w:r>
          </w:p>
        </w:tc>
        <w:tc>
          <w:tcPr>
            <w:tcW w:w="1380" w:type="dxa"/>
            <w:tcBorders>
              <w:tl2br w:val="nil"/>
              <w:tr2bl w:val="nil"/>
            </w:tcBorders>
            <w:shd w:val="clear" w:color="auto" w:fill="auto"/>
            <w:vAlign w:val="center"/>
          </w:tcPr>
          <w:p w14:paraId="1EA1E904">
            <w:pPr>
              <w:pStyle w:val="128"/>
              <w:rPr>
                <w:rFonts w:hint="default" w:ascii="Times New Roman" w:hAnsi="Times New Roman" w:eastAsia="宋体" w:cs="Times New Roman"/>
                <w:color w:val="auto"/>
                <w:kern w:val="2"/>
                <w:sz w:val="21"/>
                <w:szCs w:val="21"/>
                <w:lang w:val="en-US" w:eastAsia="zh-CN" w:bidi="ar-SA"/>
              </w:rPr>
            </w:pPr>
            <w:r>
              <w:rPr>
                <w:color w:val="auto"/>
                <w:kern w:val="2"/>
              </w:rPr>
              <w:t>年平均</w:t>
            </w:r>
          </w:p>
        </w:tc>
        <w:tc>
          <w:tcPr>
            <w:tcW w:w="967" w:type="dxa"/>
            <w:tcBorders>
              <w:tl2br w:val="nil"/>
              <w:tr2bl w:val="nil"/>
            </w:tcBorders>
            <w:shd w:val="clear" w:color="auto" w:fill="auto"/>
            <w:vAlign w:val="center"/>
          </w:tcPr>
          <w:p w14:paraId="15D3D49F">
            <w:pPr>
              <w:pStyle w:val="128"/>
              <w:rPr>
                <w:rFonts w:hint="default" w:ascii="Times New Roman" w:hAnsi="Times New Roman" w:eastAsia="宋体" w:cs="Times New Roman"/>
                <w:color w:val="auto"/>
                <w:kern w:val="2"/>
                <w:sz w:val="21"/>
                <w:szCs w:val="21"/>
                <w:lang w:val="en-US" w:eastAsia="zh-CN" w:bidi="ar-SA"/>
              </w:rPr>
            </w:pPr>
            <w:r>
              <w:rPr>
                <w:color w:val="auto"/>
                <w:kern w:val="2"/>
              </w:rPr>
              <w:t>μg/ m</w:t>
            </w:r>
            <w:r>
              <w:rPr>
                <w:color w:val="auto"/>
                <w:kern w:val="2"/>
                <w:vertAlign w:val="superscript"/>
              </w:rPr>
              <w:t>3</w:t>
            </w:r>
          </w:p>
        </w:tc>
        <w:tc>
          <w:tcPr>
            <w:tcW w:w="1089" w:type="dxa"/>
            <w:tcBorders>
              <w:tl2br w:val="nil"/>
              <w:tr2bl w:val="nil"/>
            </w:tcBorders>
            <w:shd w:val="clear" w:color="auto" w:fill="auto"/>
            <w:vAlign w:val="center"/>
          </w:tcPr>
          <w:p w14:paraId="6E72A621">
            <w:pPr>
              <w:pStyle w:val="14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0.05</w:t>
            </w:r>
          </w:p>
        </w:tc>
        <w:tc>
          <w:tcPr>
            <w:tcW w:w="3498" w:type="dxa"/>
            <w:tcBorders>
              <w:tl2br w:val="nil"/>
              <w:tr2bl w:val="nil"/>
            </w:tcBorders>
            <w:vAlign w:val="center"/>
          </w:tcPr>
          <w:p w14:paraId="137EE50B">
            <w:pPr>
              <w:pStyle w:val="128"/>
              <w:rPr>
                <w:rFonts w:hint="default" w:ascii="Times New Roman" w:hAnsi="Times New Roman" w:eastAsia="宋体" w:cs="Times New Roman"/>
                <w:lang w:val="en-US"/>
              </w:rPr>
            </w:pPr>
            <w:r>
              <w:rPr>
                <w:rFonts w:hint="default" w:ascii="Times New Roman" w:hAnsi="Times New Roman" w:eastAsia="宋体" w:cs="Times New Roman"/>
                <w:lang w:eastAsia="zh-CN"/>
              </w:rPr>
              <w:t>《环境空气质量标准》（GB3095-20</w:t>
            </w:r>
            <w:r>
              <w:rPr>
                <w:rFonts w:hint="default" w:ascii="Times New Roman" w:hAnsi="Times New Roman" w:eastAsia="宋体" w:cs="Times New Roman"/>
                <w:lang w:val="en-US" w:eastAsia="zh-CN"/>
              </w:rPr>
              <w:t>26</w:t>
            </w:r>
            <w:r>
              <w:rPr>
                <w:rFonts w:hint="default" w:ascii="Times New Roman" w:hAnsi="Times New Roman" w:eastAsia="宋体" w:cs="Times New Roman"/>
                <w:lang w:eastAsia="zh-CN"/>
              </w:rPr>
              <w:t>）</w:t>
            </w:r>
            <w:r>
              <w:rPr>
                <w:rFonts w:hint="eastAsia" w:ascii="Times New Roman" w:hAnsi="Times New Roman" w:eastAsia="宋体" w:cs="Times New Roman"/>
                <w:lang w:val="en-US" w:eastAsia="zh-CN"/>
              </w:rPr>
              <w:t>附录A</w:t>
            </w:r>
          </w:p>
        </w:tc>
      </w:tr>
    </w:tbl>
    <w:p w14:paraId="55AE5EB3">
      <w:pPr>
        <w:pStyle w:val="3"/>
        <w:spacing w:before="0" w:after="0" w:line="460" w:lineRule="exact"/>
        <w:rPr>
          <w:rFonts w:eastAsia="宋体"/>
          <w:color w:val="auto"/>
          <w:kern w:val="0"/>
          <w:szCs w:val="28"/>
        </w:rPr>
      </w:pPr>
      <w:bookmarkStart w:id="75" w:name="_Toc14580"/>
      <w:r>
        <w:rPr>
          <w:rFonts w:hint="eastAsia" w:eastAsia="宋体"/>
          <w:color w:val="auto"/>
          <w:kern w:val="0"/>
          <w:szCs w:val="28"/>
        </w:rPr>
        <w:t>4.4</w:t>
      </w:r>
      <w:r>
        <w:rPr>
          <w:rFonts w:eastAsia="宋体"/>
          <w:color w:val="auto"/>
          <w:kern w:val="0"/>
          <w:szCs w:val="28"/>
        </w:rPr>
        <w:t>预测结果</w:t>
      </w:r>
      <w:bookmarkEnd w:id="74"/>
      <w:bookmarkEnd w:id="75"/>
    </w:p>
    <w:p w14:paraId="374F8249">
      <w:pPr>
        <w:spacing w:line="460" w:lineRule="exact"/>
        <w:ind w:firstLine="480" w:firstLineChars="200"/>
        <w:rPr>
          <w:color w:val="auto"/>
          <w:sz w:val="24"/>
          <w:szCs w:val="24"/>
        </w:rPr>
      </w:pPr>
      <w:r>
        <w:rPr>
          <w:rFonts w:hint="eastAsia"/>
          <w:color w:val="auto"/>
          <w:sz w:val="24"/>
          <w:szCs w:val="24"/>
        </w:rPr>
        <w:t>（1）正常工况</w:t>
      </w:r>
    </w:p>
    <w:p w14:paraId="41071120">
      <w:pPr>
        <w:spacing w:line="460" w:lineRule="exact"/>
        <w:ind w:firstLine="480" w:firstLineChars="200"/>
        <w:rPr>
          <w:color w:val="auto"/>
          <w:sz w:val="24"/>
          <w:szCs w:val="24"/>
        </w:rPr>
      </w:pPr>
      <w:r>
        <w:rPr>
          <w:color w:val="auto"/>
          <w:sz w:val="24"/>
          <w:szCs w:val="24"/>
        </w:rPr>
        <w:t>根据《大气环境影响评价技术导则 大气环境》（HJ2.2-2018）导则推荐的估算模型AERSCREEN，选取</w:t>
      </w:r>
      <w:r>
        <w:rPr>
          <w:rFonts w:hint="eastAsia"/>
          <w:color w:val="auto"/>
          <w:kern w:val="0"/>
          <w:sz w:val="24"/>
          <w:szCs w:val="24"/>
          <w:lang w:val="en-US" w:eastAsia="zh-CN"/>
        </w:rPr>
        <w:t>TSP</w:t>
      </w:r>
      <w:r>
        <w:rPr>
          <w:rFonts w:hint="eastAsia"/>
          <w:color w:val="auto"/>
          <w:kern w:val="0"/>
          <w:sz w:val="24"/>
          <w:szCs w:val="24"/>
        </w:rPr>
        <w:t>、非甲烷总烃、SO</w:t>
      </w:r>
      <w:r>
        <w:rPr>
          <w:rFonts w:hint="eastAsia"/>
          <w:color w:val="auto"/>
          <w:kern w:val="0"/>
          <w:sz w:val="24"/>
          <w:szCs w:val="24"/>
          <w:vertAlign w:val="subscript"/>
        </w:rPr>
        <w:t>2</w:t>
      </w:r>
      <w:r>
        <w:rPr>
          <w:rFonts w:hint="eastAsia"/>
          <w:color w:val="auto"/>
          <w:kern w:val="0"/>
          <w:sz w:val="24"/>
          <w:szCs w:val="24"/>
        </w:rPr>
        <w:t>、NO</w:t>
      </w:r>
      <w:r>
        <w:rPr>
          <w:rFonts w:hint="eastAsia"/>
          <w:color w:val="auto"/>
          <w:kern w:val="0"/>
          <w:sz w:val="24"/>
          <w:szCs w:val="24"/>
          <w:vertAlign w:val="subscript"/>
        </w:rPr>
        <w:t>x</w:t>
      </w:r>
      <w:r>
        <w:rPr>
          <w:rFonts w:hint="eastAsia"/>
          <w:color w:val="auto"/>
          <w:kern w:val="0"/>
          <w:sz w:val="24"/>
          <w:szCs w:val="24"/>
        </w:rPr>
        <w:t>、</w:t>
      </w:r>
      <w:r>
        <w:rPr>
          <w:rFonts w:hint="eastAsia"/>
          <w:color w:val="auto"/>
          <w:kern w:val="0"/>
          <w:sz w:val="24"/>
          <w:szCs w:val="24"/>
          <w:lang w:val="en-US" w:eastAsia="zh-CN"/>
        </w:rPr>
        <w:t>汞</w:t>
      </w:r>
      <w:r>
        <w:rPr>
          <w:rFonts w:hint="eastAsia"/>
          <w:color w:val="auto"/>
          <w:kern w:val="0"/>
          <w:sz w:val="24"/>
          <w:szCs w:val="24"/>
        </w:rPr>
        <w:t>进行</w:t>
      </w:r>
      <w:r>
        <w:rPr>
          <w:color w:val="auto"/>
          <w:sz w:val="24"/>
          <w:szCs w:val="24"/>
        </w:rPr>
        <w:t>大气环境影响预测。</w:t>
      </w:r>
    </w:p>
    <w:p w14:paraId="1FAA9CEC">
      <w:pPr>
        <w:jc w:val="center"/>
        <w:rPr>
          <w:b/>
          <w:color w:val="auto"/>
          <w:sz w:val="24"/>
          <w:szCs w:val="24"/>
        </w:rPr>
      </w:pPr>
      <w:r>
        <w:rPr>
          <w:rFonts w:hint="eastAsia"/>
          <w:b/>
          <w:color w:val="auto"/>
          <w:sz w:val="24"/>
          <w:szCs w:val="24"/>
        </w:rPr>
        <w:t>表4-</w:t>
      </w:r>
      <w:r>
        <w:rPr>
          <w:rFonts w:hint="eastAsia"/>
          <w:b/>
          <w:color w:val="auto"/>
          <w:sz w:val="24"/>
          <w:szCs w:val="24"/>
          <w:lang w:val="en-US" w:eastAsia="zh-CN"/>
        </w:rPr>
        <w:t>7  DA001</w:t>
      </w:r>
      <w:r>
        <w:rPr>
          <w:rFonts w:hint="eastAsia"/>
          <w:b/>
          <w:color w:val="auto"/>
          <w:sz w:val="24"/>
          <w:szCs w:val="24"/>
        </w:rPr>
        <w:t>排气筒估算模式预测结果</w:t>
      </w:r>
    </w:p>
    <w:tbl>
      <w:tblPr>
        <w:tblStyle w:val="37"/>
        <w:tblW w:w="4998" w:type="pct"/>
        <w:jc w:val="center"/>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739"/>
        <w:gridCol w:w="1528"/>
        <w:gridCol w:w="1631"/>
        <w:gridCol w:w="1634"/>
      </w:tblGrid>
      <w:tr w14:paraId="3500668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Merge w:val="restart"/>
            <w:vAlign w:val="center"/>
          </w:tcPr>
          <w:p w14:paraId="21425DB0">
            <w:pPr>
              <w:widowControl/>
              <w:adjustRightInd w:val="0"/>
              <w:snapToGrid w:val="0"/>
              <w:jc w:val="center"/>
              <w:rPr>
                <w:b/>
                <w:bCs/>
                <w:color w:val="auto"/>
                <w:kern w:val="0"/>
                <w:sz w:val="21"/>
                <w:szCs w:val="21"/>
              </w:rPr>
            </w:pPr>
            <w:r>
              <w:rPr>
                <w:b/>
                <w:bCs/>
                <w:color w:val="auto"/>
                <w:kern w:val="0"/>
                <w:sz w:val="21"/>
                <w:szCs w:val="21"/>
              </w:rPr>
              <w:t>距源中心下风向距离D（m）</w:t>
            </w:r>
          </w:p>
        </w:tc>
        <w:tc>
          <w:tcPr>
            <w:tcW w:w="1965" w:type="pct"/>
            <w:gridSpan w:val="2"/>
            <w:vAlign w:val="center"/>
          </w:tcPr>
          <w:p w14:paraId="56D395A0">
            <w:pPr>
              <w:widowControl/>
              <w:adjustRightInd w:val="0"/>
              <w:snapToGrid w:val="0"/>
              <w:jc w:val="center"/>
              <w:rPr>
                <w:rFonts w:hint="eastAsia" w:eastAsia="宋体"/>
                <w:b/>
                <w:bCs/>
                <w:color w:val="auto"/>
                <w:kern w:val="0"/>
                <w:sz w:val="21"/>
                <w:szCs w:val="21"/>
                <w:lang w:eastAsia="zh-CN"/>
              </w:rPr>
            </w:pPr>
            <w:r>
              <w:rPr>
                <w:rFonts w:hint="eastAsia"/>
                <w:b/>
                <w:color w:val="auto"/>
                <w:sz w:val="21"/>
                <w:szCs w:val="21"/>
                <w:lang w:val="en-US" w:eastAsia="zh-CN"/>
              </w:rPr>
              <w:t>颗粒物</w:t>
            </w:r>
          </w:p>
        </w:tc>
        <w:tc>
          <w:tcPr>
            <w:tcW w:w="1964" w:type="pct"/>
            <w:gridSpan w:val="2"/>
            <w:vAlign w:val="center"/>
          </w:tcPr>
          <w:p w14:paraId="41C44180">
            <w:pPr>
              <w:widowControl/>
              <w:adjustRightInd w:val="0"/>
              <w:snapToGrid w:val="0"/>
              <w:jc w:val="center"/>
              <w:rPr>
                <w:rFonts w:hint="eastAsia" w:eastAsia="宋体"/>
                <w:b/>
                <w:color w:val="auto"/>
                <w:sz w:val="21"/>
                <w:szCs w:val="21"/>
                <w:lang w:eastAsia="zh-CN"/>
              </w:rPr>
            </w:pPr>
            <w:r>
              <w:rPr>
                <w:rFonts w:hint="eastAsia"/>
                <w:b/>
                <w:color w:val="auto"/>
                <w:sz w:val="21"/>
                <w:szCs w:val="21"/>
                <w:lang w:val="en-US" w:eastAsia="zh-CN"/>
              </w:rPr>
              <w:t>非甲烷总烃</w:t>
            </w:r>
          </w:p>
        </w:tc>
      </w:tr>
      <w:tr w14:paraId="019BE88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Merge w:val="continue"/>
            <w:tcBorders>
              <w:bottom w:val="single" w:color="auto" w:sz="12" w:space="0"/>
            </w:tcBorders>
            <w:vAlign w:val="center"/>
          </w:tcPr>
          <w:p w14:paraId="349469D1">
            <w:pPr>
              <w:widowControl/>
              <w:jc w:val="center"/>
              <w:rPr>
                <w:b/>
                <w:bCs/>
                <w:color w:val="auto"/>
                <w:kern w:val="0"/>
                <w:sz w:val="21"/>
                <w:szCs w:val="21"/>
              </w:rPr>
            </w:pPr>
          </w:p>
        </w:tc>
        <w:tc>
          <w:tcPr>
            <w:tcW w:w="1046" w:type="pct"/>
            <w:tcBorders>
              <w:bottom w:val="single" w:color="auto" w:sz="12" w:space="0"/>
            </w:tcBorders>
            <w:vAlign w:val="center"/>
          </w:tcPr>
          <w:p w14:paraId="294AD592">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18" w:type="pct"/>
            <w:tcBorders>
              <w:bottom w:val="single" w:color="auto" w:sz="12" w:space="0"/>
            </w:tcBorders>
            <w:vAlign w:val="center"/>
          </w:tcPr>
          <w:p w14:paraId="7C049EEB">
            <w:pPr>
              <w:widowControl/>
              <w:adjustRightInd w:val="0"/>
              <w:snapToGrid w:val="0"/>
              <w:jc w:val="center"/>
              <w:rPr>
                <w:b/>
                <w:bCs/>
                <w:color w:val="auto"/>
                <w:kern w:val="0"/>
                <w:sz w:val="21"/>
                <w:szCs w:val="21"/>
                <w:highlight w:val="yellow"/>
              </w:rPr>
            </w:pPr>
            <w:r>
              <w:rPr>
                <w:b/>
                <w:bCs/>
                <w:color w:val="auto"/>
                <w:kern w:val="0"/>
                <w:sz w:val="21"/>
                <w:szCs w:val="21"/>
              </w:rPr>
              <w:t>浓度占标率（%）</w:t>
            </w:r>
          </w:p>
        </w:tc>
        <w:tc>
          <w:tcPr>
            <w:tcW w:w="981" w:type="pct"/>
            <w:tcBorders>
              <w:bottom w:val="single" w:color="auto" w:sz="12" w:space="0"/>
            </w:tcBorders>
            <w:vAlign w:val="center"/>
          </w:tcPr>
          <w:p w14:paraId="4E9C06F3">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83" w:type="pct"/>
            <w:tcBorders>
              <w:bottom w:val="single" w:color="auto" w:sz="12" w:space="0"/>
            </w:tcBorders>
            <w:vAlign w:val="center"/>
          </w:tcPr>
          <w:p w14:paraId="2FA89CA9">
            <w:pPr>
              <w:widowControl/>
              <w:adjustRightInd w:val="0"/>
              <w:snapToGrid w:val="0"/>
              <w:jc w:val="center"/>
              <w:rPr>
                <w:b/>
                <w:bCs/>
                <w:color w:val="auto"/>
                <w:kern w:val="0"/>
                <w:sz w:val="21"/>
                <w:szCs w:val="21"/>
              </w:rPr>
            </w:pPr>
            <w:r>
              <w:rPr>
                <w:b/>
                <w:bCs/>
                <w:color w:val="auto"/>
                <w:kern w:val="0"/>
                <w:sz w:val="21"/>
                <w:szCs w:val="21"/>
              </w:rPr>
              <w:t>浓度占标率（%）</w:t>
            </w:r>
          </w:p>
        </w:tc>
      </w:tr>
      <w:tr w14:paraId="1C88846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tcBorders>
              <w:top w:val="single" w:color="auto" w:sz="12" w:space="0"/>
            </w:tcBorders>
            <w:vAlign w:val="center"/>
          </w:tcPr>
          <w:p w14:paraId="1DAF6CC2">
            <w:pPr>
              <w:widowControl/>
              <w:adjustRightInd w:val="0"/>
              <w:snapToGrid w:val="0"/>
              <w:jc w:val="center"/>
              <w:rPr>
                <w:color w:val="auto"/>
                <w:sz w:val="21"/>
                <w:szCs w:val="21"/>
              </w:rPr>
            </w:pPr>
            <w:r>
              <w:rPr>
                <w:color w:val="auto"/>
                <w:sz w:val="21"/>
                <w:szCs w:val="21"/>
              </w:rPr>
              <w:t>1.0</w:t>
            </w:r>
          </w:p>
        </w:tc>
        <w:tc>
          <w:tcPr>
            <w:tcW w:w="1046" w:type="pct"/>
            <w:tcBorders>
              <w:top w:val="single" w:color="auto" w:sz="12" w:space="0"/>
            </w:tcBorders>
            <w:vAlign w:val="center"/>
          </w:tcPr>
          <w:p w14:paraId="1A6551F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0.0022</w:t>
            </w:r>
          </w:p>
        </w:tc>
        <w:tc>
          <w:tcPr>
            <w:tcW w:w="918" w:type="pct"/>
            <w:tcBorders>
              <w:top w:val="single" w:color="auto" w:sz="12" w:space="0"/>
            </w:tcBorders>
            <w:vAlign w:val="center"/>
          </w:tcPr>
          <w:p w14:paraId="2E25ABDF">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0.0002</w:t>
            </w:r>
          </w:p>
        </w:tc>
        <w:tc>
          <w:tcPr>
            <w:tcW w:w="981" w:type="pct"/>
            <w:tcBorders>
              <w:top w:val="single" w:color="auto" w:sz="12" w:space="0"/>
            </w:tcBorders>
            <w:vAlign w:val="center"/>
          </w:tcPr>
          <w:p w14:paraId="1694D0E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0.0057</w:t>
            </w:r>
          </w:p>
        </w:tc>
        <w:tc>
          <w:tcPr>
            <w:tcW w:w="983" w:type="pct"/>
            <w:tcBorders>
              <w:top w:val="single" w:color="auto" w:sz="12" w:space="0"/>
            </w:tcBorders>
            <w:vAlign w:val="center"/>
          </w:tcPr>
          <w:p w14:paraId="09DF0E94">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0.0003</w:t>
            </w:r>
          </w:p>
        </w:tc>
      </w:tr>
      <w:tr w14:paraId="2057CAE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05FBCD12">
            <w:pPr>
              <w:widowControl/>
              <w:adjustRightInd w:val="0"/>
              <w:snapToGrid w:val="0"/>
              <w:jc w:val="center"/>
              <w:rPr>
                <w:color w:val="auto"/>
                <w:sz w:val="21"/>
                <w:szCs w:val="21"/>
              </w:rPr>
            </w:pPr>
            <w:r>
              <w:rPr>
                <w:color w:val="auto"/>
                <w:sz w:val="21"/>
                <w:szCs w:val="21"/>
              </w:rPr>
              <w:t>25.0</w:t>
            </w:r>
          </w:p>
        </w:tc>
        <w:tc>
          <w:tcPr>
            <w:tcW w:w="1046" w:type="pct"/>
            <w:vAlign w:val="center"/>
          </w:tcPr>
          <w:p w14:paraId="1FE06B7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0.0766</w:t>
            </w:r>
          </w:p>
        </w:tc>
        <w:tc>
          <w:tcPr>
            <w:tcW w:w="918" w:type="pct"/>
            <w:vAlign w:val="center"/>
          </w:tcPr>
          <w:p w14:paraId="394FDD47">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0.0085</w:t>
            </w:r>
          </w:p>
        </w:tc>
        <w:tc>
          <w:tcPr>
            <w:tcW w:w="981" w:type="pct"/>
            <w:vAlign w:val="center"/>
          </w:tcPr>
          <w:p w14:paraId="58D24F29">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0.1997</w:t>
            </w:r>
          </w:p>
        </w:tc>
        <w:tc>
          <w:tcPr>
            <w:tcW w:w="983" w:type="pct"/>
            <w:vAlign w:val="center"/>
          </w:tcPr>
          <w:p w14:paraId="53F90B4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0.0100</w:t>
            </w:r>
          </w:p>
        </w:tc>
      </w:tr>
      <w:tr w14:paraId="085E923C">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53F3364E">
            <w:pPr>
              <w:widowControl/>
              <w:adjustRightInd w:val="0"/>
              <w:snapToGrid w:val="0"/>
              <w:jc w:val="center"/>
              <w:rPr>
                <w:color w:val="auto"/>
                <w:sz w:val="21"/>
                <w:szCs w:val="21"/>
              </w:rPr>
            </w:pPr>
            <w:r>
              <w:rPr>
                <w:color w:val="auto"/>
                <w:sz w:val="21"/>
                <w:szCs w:val="21"/>
              </w:rPr>
              <w:t>50.0</w:t>
            </w:r>
          </w:p>
        </w:tc>
        <w:tc>
          <w:tcPr>
            <w:tcW w:w="1046" w:type="pct"/>
            <w:vAlign w:val="center"/>
          </w:tcPr>
          <w:p w14:paraId="3F10379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0.0891</w:t>
            </w:r>
          </w:p>
        </w:tc>
        <w:tc>
          <w:tcPr>
            <w:tcW w:w="918" w:type="pct"/>
            <w:vAlign w:val="center"/>
          </w:tcPr>
          <w:p w14:paraId="6887577F">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0.0099</w:t>
            </w:r>
          </w:p>
        </w:tc>
        <w:tc>
          <w:tcPr>
            <w:tcW w:w="981" w:type="pct"/>
            <w:vAlign w:val="center"/>
          </w:tcPr>
          <w:p w14:paraId="6F190CDB">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0.2321</w:t>
            </w:r>
          </w:p>
        </w:tc>
        <w:tc>
          <w:tcPr>
            <w:tcW w:w="983" w:type="pct"/>
            <w:vAlign w:val="center"/>
          </w:tcPr>
          <w:p w14:paraId="37AAC5A1">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0.0116</w:t>
            </w:r>
          </w:p>
        </w:tc>
      </w:tr>
      <w:tr w14:paraId="0B326A7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6E91BB89">
            <w:pPr>
              <w:widowControl/>
              <w:adjustRightInd w:val="0"/>
              <w:snapToGrid w:val="0"/>
              <w:jc w:val="center"/>
              <w:rPr>
                <w:color w:val="auto"/>
                <w:sz w:val="21"/>
                <w:szCs w:val="21"/>
              </w:rPr>
            </w:pPr>
            <w:r>
              <w:rPr>
                <w:color w:val="auto"/>
                <w:sz w:val="21"/>
                <w:szCs w:val="21"/>
              </w:rPr>
              <w:t>75.0</w:t>
            </w:r>
          </w:p>
        </w:tc>
        <w:tc>
          <w:tcPr>
            <w:tcW w:w="1046" w:type="pct"/>
            <w:vAlign w:val="center"/>
          </w:tcPr>
          <w:p w14:paraId="47DB99DC">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0.1009</w:t>
            </w:r>
          </w:p>
        </w:tc>
        <w:tc>
          <w:tcPr>
            <w:tcW w:w="918" w:type="pct"/>
            <w:vAlign w:val="center"/>
          </w:tcPr>
          <w:p w14:paraId="00301C20">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0.0112</w:t>
            </w:r>
          </w:p>
        </w:tc>
        <w:tc>
          <w:tcPr>
            <w:tcW w:w="981" w:type="pct"/>
            <w:vAlign w:val="center"/>
          </w:tcPr>
          <w:p w14:paraId="17163251">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0.2631</w:t>
            </w:r>
          </w:p>
        </w:tc>
        <w:tc>
          <w:tcPr>
            <w:tcW w:w="983" w:type="pct"/>
            <w:vAlign w:val="center"/>
          </w:tcPr>
          <w:p w14:paraId="084CB2F8">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0.0132</w:t>
            </w:r>
          </w:p>
        </w:tc>
      </w:tr>
      <w:tr w14:paraId="188E4E15">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638C20A7">
            <w:pPr>
              <w:widowControl/>
              <w:adjustRightInd w:val="0"/>
              <w:snapToGrid w:val="0"/>
              <w:jc w:val="center"/>
              <w:rPr>
                <w:color w:val="auto"/>
                <w:sz w:val="21"/>
                <w:szCs w:val="21"/>
              </w:rPr>
            </w:pPr>
            <w:r>
              <w:rPr>
                <w:color w:val="auto"/>
                <w:sz w:val="21"/>
                <w:szCs w:val="21"/>
              </w:rPr>
              <w:t>100.0</w:t>
            </w:r>
          </w:p>
        </w:tc>
        <w:tc>
          <w:tcPr>
            <w:tcW w:w="1046" w:type="pct"/>
            <w:vAlign w:val="center"/>
          </w:tcPr>
          <w:p w14:paraId="378467BB">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0.1271</w:t>
            </w:r>
          </w:p>
        </w:tc>
        <w:tc>
          <w:tcPr>
            <w:tcW w:w="918" w:type="pct"/>
            <w:vAlign w:val="center"/>
          </w:tcPr>
          <w:p w14:paraId="74B702D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0.0141</w:t>
            </w:r>
          </w:p>
        </w:tc>
        <w:tc>
          <w:tcPr>
            <w:tcW w:w="981" w:type="pct"/>
            <w:vAlign w:val="center"/>
          </w:tcPr>
          <w:p w14:paraId="4334A7FE">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0.3313</w:t>
            </w:r>
          </w:p>
        </w:tc>
        <w:tc>
          <w:tcPr>
            <w:tcW w:w="983" w:type="pct"/>
            <w:vAlign w:val="center"/>
          </w:tcPr>
          <w:p w14:paraId="6017DAA3">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0.0166</w:t>
            </w:r>
          </w:p>
        </w:tc>
      </w:tr>
      <w:tr w14:paraId="32A68B4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0129B727">
            <w:pPr>
              <w:widowControl/>
              <w:adjustRightInd w:val="0"/>
              <w:snapToGrid w:val="0"/>
              <w:jc w:val="center"/>
              <w:rPr>
                <w:color w:val="auto"/>
                <w:sz w:val="21"/>
                <w:szCs w:val="21"/>
              </w:rPr>
            </w:pPr>
            <w:r>
              <w:rPr>
                <w:color w:val="auto"/>
                <w:sz w:val="21"/>
                <w:szCs w:val="21"/>
              </w:rPr>
              <w:t>200.0</w:t>
            </w:r>
          </w:p>
        </w:tc>
        <w:tc>
          <w:tcPr>
            <w:tcW w:w="1046" w:type="pct"/>
            <w:shd w:val="clear" w:color="auto" w:fill="auto"/>
            <w:vAlign w:val="center"/>
          </w:tcPr>
          <w:p w14:paraId="0FD1EA92">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0.1562</w:t>
            </w:r>
          </w:p>
        </w:tc>
        <w:tc>
          <w:tcPr>
            <w:tcW w:w="918" w:type="pct"/>
            <w:shd w:val="clear" w:color="auto" w:fill="auto"/>
            <w:vAlign w:val="center"/>
          </w:tcPr>
          <w:p w14:paraId="18A7D3ED">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0.0174</w:t>
            </w:r>
          </w:p>
        </w:tc>
        <w:tc>
          <w:tcPr>
            <w:tcW w:w="981" w:type="pct"/>
            <w:shd w:val="clear" w:color="auto" w:fill="auto"/>
            <w:vAlign w:val="center"/>
          </w:tcPr>
          <w:p w14:paraId="2D68B04F">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0.4070</w:t>
            </w:r>
          </w:p>
        </w:tc>
        <w:tc>
          <w:tcPr>
            <w:tcW w:w="983" w:type="pct"/>
            <w:shd w:val="clear" w:color="auto" w:fill="auto"/>
            <w:vAlign w:val="center"/>
          </w:tcPr>
          <w:p w14:paraId="362F245C">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0.0203</w:t>
            </w:r>
          </w:p>
        </w:tc>
      </w:tr>
      <w:tr w14:paraId="49324D4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34E4C6AD">
            <w:pPr>
              <w:widowControl/>
              <w:adjustRightInd w:val="0"/>
              <w:snapToGrid w:val="0"/>
              <w:jc w:val="center"/>
              <w:rPr>
                <w:color w:val="auto"/>
                <w:sz w:val="21"/>
                <w:szCs w:val="21"/>
              </w:rPr>
            </w:pPr>
            <w:r>
              <w:rPr>
                <w:color w:val="auto"/>
                <w:sz w:val="21"/>
                <w:szCs w:val="21"/>
              </w:rPr>
              <w:t>300.0</w:t>
            </w:r>
          </w:p>
        </w:tc>
        <w:tc>
          <w:tcPr>
            <w:tcW w:w="1046" w:type="pct"/>
            <w:shd w:val="clear" w:color="auto" w:fill="auto"/>
            <w:vAlign w:val="center"/>
          </w:tcPr>
          <w:p w14:paraId="171BBAD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0.1273</w:t>
            </w:r>
          </w:p>
        </w:tc>
        <w:tc>
          <w:tcPr>
            <w:tcW w:w="918" w:type="pct"/>
            <w:shd w:val="clear" w:color="auto" w:fill="auto"/>
            <w:vAlign w:val="center"/>
          </w:tcPr>
          <w:p w14:paraId="26B2F831">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0.0141</w:t>
            </w:r>
          </w:p>
        </w:tc>
        <w:tc>
          <w:tcPr>
            <w:tcW w:w="981" w:type="pct"/>
            <w:shd w:val="clear" w:color="auto" w:fill="auto"/>
            <w:vAlign w:val="center"/>
          </w:tcPr>
          <w:p w14:paraId="4335A014">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0.3316</w:t>
            </w:r>
          </w:p>
        </w:tc>
        <w:tc>
          <w:tcPr>
            <w:tcW w:w="983" w:type="pct"/>
            <w:shd w:val="clear" w:color="auto" w:fill="auto"/>
            <w:vAlign w:val="center"/>
          </w:tcPr>
          <w:p w14:paraId="642BD15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0.0166</w:t>
            </w:r>
          </w:p>
        </w:tc>
      </w:tr>
      <w:tr w14:paraId="4EA7AC2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56032BB3">
            <w:pPr>
              <w:widowControl/>
              <w:adjustRightInd w:val="0"/>
              <w:snapToGrid w:val="0"/>
              <w:jc w:val="center"/>
              <w:rPr>
                <w:color w:val="auto"/>
                <w:sz w:val="21"/>
                <w:szCs w:val="21"/>
              </w:rPr>
            </w:pPr>
            <w:r>
              <w:rPr>
                <w:color w:val="auto"/>
                <w:sz w:val="21"/>
                <w:szCs w:val="21"/>
              </w:rPr>
              <w:t>400.0</w:t>
            </w:r>
          </w:p>
        </w:tc>
        <w:tc>
          <w:tcPr>
            <w:tcW w:w="1046" w:type="pct"/>
            <w:shd w:val="clear" w:color="auto" w:fill="auto"/>
            <w:vAlign w:val="center"/>
          </w:tcPr>
          <w:p w14:paraId="40605B22">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0.1217</w:t>
            </w:r>
          </w:p>
        </w:tc>
        <w:tc>
          <w:tcPr>
            <w:tcW w:w="918" w:type="pct"/>
            <w:shd w:val="clear" w:color="auto" w:fill="auto"/>
            <w:vAlign w:val="center"/>
          </w:tcPr>
          <w:p w14:paraId="3325F832">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0.0135</w:t>
            </w:r>
          </w:p>
        </w:tc>
        <w:tc>
          <w:tcPr>
            <w:tcW w:w="981" w:type="pct"/>
            <w:shd w:val="clear" w:color="auto" w:fill="auto"/>
            <w:vAlign w:val="center"/>
          </w:tcPr>
          <w:p w14:paraId="62697C0E">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0.3171</w:t>
            </w:r>
          </w:p>
        </w:tc>
        <w:tc>
          <w:tcPr>
            <w:tcW w:w="983" w:type="pct"/>
            <w:shd w:val="clear" w:color="auto" w:fill="auto"/>
            <w:vAlign w:val="center"/>
          </w:tcPr>
          <w:p w14:paraId="0276E297">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0.0159</w:t>
            </w:r>
          </w:p>
        </w:tc>
      </w:tr>
      <w:tr w14:paraId="7D173CB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070" w:type="pct"/>
            <w:vAlign w:val="center"/>
          </w:tcPr>
          <w:p w14:paraId="29584FC4">
            <w:pPr>
              <w:widowControl/>
              <w:adjustRightInd w:val="0"/>
              <w:snapToGrid w:val="0"/>
              <w:jc w:val="center"/>
              <w:rPr>
                <w:color w:val="auto"/>
                <w:sz w:val="21"/>
                <w:szCs w:val="21"/>
              </w:rPr>
            </w:pPr>
            <w:r>
              <w:rPr>
                <w:color w:val="auto"/>
                <w:sz w:val="21"/>
                <w:szCs w:val="21"/>
              </w:rPr>
              <w:t>500.0</w:t>
            </w:r>
          </w:p>
        </w:tc>
        <w:tc>
          <w:tcPr>
            <w:tcW w:w="1046" w:type="pct"/>
            <w:shd w:val="clear" w:color="auto" w:fill="auto"/>
            <w:vAlign w:val="center"/>
          </w:tcPr>
          <w:p w14:paraId="41584F2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0.1220</w:t>
            </w:r>
          </w:p>
        </w:tc>
        <w:tc>
          <w:tcPr>
            <w:tcW w:w="918" w:type="pct"/>
            <w:shd w:val="clear" w:color="auto" w:fill="auto"/>
            <w:vAlign w:val="center"/>
          </w:tcPr>
          <w:p w14:paraId="31362DEC">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0.0136</w:t>
            </w:r>
          </w:p>
        </w:tc>
        <w:tc>
          <w:tcPr>
            <w:tcW w:w="981" w:type="pct"/>
            <w:shd w:val="clear" w:color="auto" w:fill="auto"/>
            <w:vAlign w:val="center"/>
          </w:tcPr>
          <w:p w14:paraId="0D134CDC">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0.3179</w:t>
            </w:r>
          </w:p>
        </w:tc>
        <w:tc>
          <w:tcPr>
            <w:tcW w:w="983" w:type="pct"/>
            <w:shd w:val="clear" w:color="auto" w:fill="auto"/>
            <w:vAlign w:val="center"/>
          </w:tcPr>
          <w:p w14:paraId="431484ED">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0.0159</w:t>
            </w:r>
          </w:p>
        </w:tc>
      </w:tr>
      <w:tr w14:paraId="44985BD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15C8A3BC">
            <w:pPr>
              <w:widowControl/>
              <w:adjustRightInd w:val="0"/>
              <w:snapToGrid w:val="0"/>
              <w:jc w:val="center"/>
              <w:rPr>
                <w:color w:val="auto"/>
                <w:sz w:val="21"/>
                <w:szCs w:val="21"/>
              </w:rPr>
            </w:pPr>
            <w:r>
              <w:rPr>
                <w:color w:val="auto"/>
                <w:sz w:val="21"/>
                <w:szCs w:val="21"/>
              </w:rPr>
              <w:t>600.0</w:t>
            </w:r>
          </w:p>
        </w:tc>
        <w:tc>
          <w:tcPr>
            <w:tcW w:w="1046" w:type="pct"/>
            <w:shd w:val="clear" w:color="auto" w:fill="auto"/>
            <w:vAlign w:val="center"/>
          </w:tcPr>
          <w:p w14:paraId="38325178">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0.1160</w:t>
            </w:r>
          </w:p>
        </w:tc>
        <w:tc>
          <w:tcPr>
            <w:tcW w:w="918" w:type="pct"/>
            <w:shd w:val="clear" w:color="auto" w:fill="auto"/>
            <w:vAlign w:val="center"/>
          </w:tcPr>
          <w:p w14:paraId="4BBA7EA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0.0129</w:t>
            </w:r>
          </w:p>
        </w:tc>
        <w:tc>
          <w:tcPr>
            <w:tcW w:w="981" w:type="pct"/>
            <w:shd w:val="clear" w:color="auto" w:fill="auto"/>
            <w:vAlign w:val="center"/>
          </w:tcPr>
          <w:p w14:paraId="6F1544FF">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0.3024</w:t>
            </w:r>
          </w:p>
        </w:tc>
        <w:tc>
          <w:tcPr>
            <w:tcW w:w="983" w:type="pct"/>
            <w:shd w:val="clear" w:color="auto" w:fill="auto"/>
            <w:vAlign w:val="center"/>
          </w:tcPr>
          <w:p w14:paraId="63E05A10">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0.0151</w:t>
            </w:r>
          </w:p>
        </w:tc>
      </w:tr>
      <w:tr w14:paraId="53173BF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0DE3433D">
            <w:pPr>
              <w:widowControl/>
              <w:adjustRightInd w:val="0"/>
              <w:snapToGrid w:val="0"/>
              <w:jc w:val="center"/>
              <w:rPr>
                <w:color w:val="auto"/>
                <w:sz w:val="21"/>
                <w:szCs w:val="21"/>
              </w:rPr>
            </w:pPr>
            <w:r>
              <w:rPr>
                <w:color w:val="auto"/>
                <w:sz w:val="21"/>
                <w:szCs w:val="21"/>
              </w:rPr>
              <w:t>700.0</w:t>
            </w:r>
          </w:p>
        </w:tc>
        <w:tc>
          <w:tcPr>
            <w:tcW w:w="1046" w:type="pct"/>
            <w:shd w:val="clear" w:color="auto" w:fill="auto"/>
            <w:vAlign w:val="center"/>
          </w:tcPr>
          <w:p w14:paraId="0408D2D3">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0.1088</w:t>
            </w:r>
          </w:p>
        </w:tc>
        <w:tc>
          <w:tcPr>
            <w:tcW w:w="918" w:type="pct"/>
            <w:shd w:val="clear" w:color="auto" w:fill="auto"/>
            <w:vAlign w:val="center"/>
          </w:tcPr>
          <w:p w14:paraId="3FD81EB8">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0.0121</w:t>
            </w:r>
          </w:p>
        </w:tc>
        <w:tc>
          <w:tcPr>
            <w:tcW w:w="981" w:type="pct"/>
            <w:shd w:val="clear" w:color="auto" w:fill="auto"/>
            <w:vAlign w:val="center"/>
          </w:tcPr>
          <w:p w14:paraId="109E566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0.2834</w:t>
            </w:r>
          </w:p>
        </w:tc>
        <w:tc>
          <w:tcPr>
            <w:tcW w:w="983" w:type="pct"/>
            <w:shd w:val="clear" w:color="auto" w:fill="auto"/>
            <w:vAlign w:val="center"/>
          </w:tcPr>
          <w:p w14:paraId="747DE9BD">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0.0142</w:t>
            </w:r>
          </w:p>
        </w:tc>
      </w:tr>
      <w:tr w14:paraId="64EEF15E">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005BB282">
            <w:pPr>
              <w:widowControl/>
              <w:adjustRightInd w:val="0"/>
              <w:snapToGrid w:val="0"/>
              <w:jc w:val="center"/>
              <w:rPr>
                <w:color w:val="auto"/>
                <w:sz w:val="21"/>
                <w:szCs w:val="21"/>
              </w:rPr>
            </w:pPr>
            <w:r>
              <w:rPr>
                <w:color w:val="auto"/>
                <w:sz w:val="21"/>
                <w:szCs w:val="21"/>
              </w:rPr>
              <w:t>800.0</w:t>
            </w:r>
          </w:p>
        </w:tc>
        <w:tc>
          <w:tcPr>
            <w:tcW w:w="1046" w:type="pct"/>
            <w:shd w:val="clear" w:color="auto" w:fill="auto"/>
            <w:vAlign w:val="center"/>
          </w:tcPr>
          <w:p w14:paraId="67CE6D9E">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0.1016</w:t>
            </w:r>
          </w:p>
        </w:tc>
        <w:tc>
          <w:tcPr>
            <w:tcW w:w="918" w:type="pct"/>
            <w:shd w:val="clear" w:color="auto" w:fill="auto"/>
            <w:vAlign w:val="center"/>
          </w:tcPr>
          <w:p w14:paraId="4A85C2C8">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0.0113</w:t>
            </w:r>
          </w:p>
        </w:tc>
        <w:tc>
          <w:tcPr>
            <w:tcW w:w="981" w:type="pct"/>
            <w:shd w:val="clear" w:color="auto" w:fill="auto"/>
            <w:vAlign w:val="center"/>
          </w:tcPr>
          <w:p w14:paraId="3335EA67">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0.2647</w:t>
            </w:r>
          </w:p>
        </w:tc>
        <w:tc>
          <w:tcPr>
            <w:tcW w:w="983" w:type="pct"/>
            <w:shd w:val="clear" w:color="auto" w:fill="auto"/>
            <w:vAlign w:val="center"/>
          </w:tcPr>
          <w:p w14:paraId="76D7E90C">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0.0132</w:t>
            </w:r>
          </w:p>
        </w:tc>
      </w:tr>
      <w:tr w14:paraId="61DF4C63">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75C1E51B">
            <w:pPr>
              <w:widowControl/>
              <w:adjustRightInd w:val="0"/>
              <w:snapToGrid w:val="0"/>
              <w:jc w:val="center"/>
              <w:rPr>
                <w:color w:val="auto"/>
                <w:sz w:val="21"/>
                <w:szCs w:val="21"/>
              </w:rPr>
            </w:pPr>
            <w:r>
              <w:rPr>
                <w:color w:val="auto"/>
                <w:sz w:val="21"/>
                <w:szCs w:val="21"/>
              </w:rPr>
              <w:t>900.0</w:t>
            </w:r>
          </w:p>
        </w:tc>
        <w:tc>
          <w:tcPr>
            <w:tcW w:w="1046" w:type="pct"/>
            <w:shd w:val="clear" w:color="auto" w:fill="auto"/>
            <w:vAlign w:val="center"/>
          </w:tcPr>
          <w:p w14:paraId="63EB2B51">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0.0949</w:t>
            </w:r>
          </w:p>
        </w:tc>
        <w:tc>
          <w:tcPr>
            <w:tcW w:w="918" w:type="pct"/>
            <w:shd w:val="clear" w:color="auto" w:fill="auto"/>
            <w:vAlign w:val="center"/>
          </w:tcPr>
          <w:p w14:paraId="34801E83">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0.0105</w:t>
            </w:r>
          </w:p>
        </w:tc>
        <w:tc>
          <w:tcPr>
            <w:tcW w:w="981" w:type="pct"/>
            <w:shd w:val="clear" w:color="auto" w:fill="auto"/>
            <w:vAlign w:val="center"/>
          </w:tcPr>
          <w:p w14:paraId="31568A84">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0.2474</w:t>
            </w:r>
          </w:p>
        </w:tc>
        <w:tc>
          <w:tcPr>
            <w:tcW w:w="983" w:type="pct"/>
            <w:shd w:val="clear" w:color="auto" w:fill="auto"/>
            <w:vAlign w:val="center"/>
          </w:tcPr>
          <w:p w14:paraId="40D826F9">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0.0124</w:t>
            </w:r>
          </w:p>
        </w:tc>
      </w:tr>
      <w:tr w14:paraId="5FDC174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37FAADF0">
            <w:pPr>
              <w:widowControl/>
              <w:adjustRightInd w:val="0"/>
              <w:snapToGrid w:val="0"/>
              <w:jc w:val="center"/>
              <w:rPr>
                <w:color w:val="auto"/>
                <w:sz w:val="21"/>
                <w:szCs w:val="21"/>
              </w:rPr>
            </w:pPr>
            <w:r>
              <w:rPr>
                <w:color w:val="auto"/>
                <w:sz w:val="21"/>
                <w:szCs w:val="21"/>
              </w:rPr>
              <w:t>1000.0</w:t>
            </w:r>
          </w:p>
        </w:tc>
        <w:tc>
          <w:tcPr>
            <w:tcW w:w="1784" w:type="dxa"/>
            <w:shd w:val="clear" w:color="auto" w:fill="auto"/>
            <w:vAlign w:val="center"/>
          </w:tcPr>
          <w:p w14:paraId="2E6F337B">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0.0895</w:t>
            </w:r>
          </w:p>
        </w:tc>
        <w:tc>
          <w:tcPr>
            <w:tcW w:w="1567" w:type="dxa"/>
            <w:shd w:val="clear" w:color="auto" w:fill="auto"/>
            <w:vAlign w:val="center"/>
          </w:tcPr>
          <w:p w14:paraId="1C038CA0">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0.0099</w:t>
            </w:r>
          </w:p>
        </w:tc>
        <w:tc>
          <w:tcPr>
            <w:tcW w:w="1673" w:type="dxa"/>
            <w:shd w:val="clear" w:color="auto" w:fill="auto"/>
            <w:vAlign w:val="center"/>
          </w:tcPr>
          <w:p w14:paraId="5285BBBF">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0.2331</w:t>
            </w:r>
          </w:p>
        </w:tc>
        <w:tc>
          <w:tcPr>
            <w:tcW w:w="1677" w:type="dxa"/>
            <w:shd w:val="clear" w:color="auto" w:fill="auto"/>
            <w:vAlign w:val="center"/>
          </w:tcPr>
          <w:p w14:paraId="2BD90E37">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0.0117</w:t>
            </w:r>
          </w:p>
        </w:tc>
      </w:tr>
      <w:tr w14:paraId="344B3E5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shd w:val="clear" w:color="auto" w:fill="auto"/>
            <w:vAlign w:val="center"/>
          </w:tcPr>
          <w:p w14:paraId="37EF4A6A">
            <w:pPr>
              <w:widowControl/>
              <w:adjustRightInd w:val="0"/>
              <w:snapToGrid w:val="0"/>
              <w:jc w:val="center"/>
              <w:rPr>
                <w:color w:val="auto"/>
                <w:sz w:val="21"/>
                <w:szCs w:val="21"/>
                <w:lang w:val="en-US" w:eastAsia="zh-CN"/>
              </w:rPr>
            </w:pPr>
            <w:r>
              <w:rPr>
                <w:color w:val="auto"/>
                <w:sz w:val="21"/>
                <w:szCs w:val="21"/>
              </w:rPr>
              <w:t>2000.0</w:t>
            </w:r>
          </w:p>
        </w:tc>
        <w:tc>
          <w:tcPr>
            <w:tcW w:w="1784" w:type="dxa"/>
            <w:shd w:val="clear" w:color="auto" w:fill="auto"/>
            <w:vAlign w:val="center"/>
          </w:tcPr>
          <w:p w14:paraId="316C353E">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0.0595</w:t>
            </w:r>
          </w:p>
        </w:tc>
        <w:tc>
          <w:tcPr>
            <w:tcW w:w="1567" w:type="dxa"/>
            <w:shd w:val="clear" w:color="auto" w:fill="auto"/>
            <w:vAlign w:val="center"/>
          </w:tcPr>
          <w:p w14:paraId="46CFE798">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0.0066</w:t>
            </w:r>
          </w:p>
        </w:tc>
        <w:tc>
          <w:tcPr>
            <w:tcW w:w="1673" w:type="dxa"/>
            <w:shd w:val="clear" w:color="auto" w:fill="auto"/>
            <w:vAlign w:val="center"/>
          </w:tcPr>
          <w:p w14:paraId="63DC4FE7">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0.1551</w:t>
            </w:r>
          </w:p>
        </w:tc>
        <w:tc>
          <w:tcPr>
            <w:tcW w:w="1677" w:type="dxa"/>
            <w:shd w:val="clear" w:color="auto" w:fill="auto"/>
            <w:vAlign w:val="center"/>
          </w:tcPr>
          <w:p w14:paraId="50314DAB">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0.0078</w:t>
            </w:r>
          </w:p>
        </w:tc>
      </w:tr>
      <w:tr w14:paraId="7A72821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shd w:val="clear" w:color="auto" w:fill="auto"/>
            <w:vAlign w:val="center"/>
          </w:tcPr>
          <w:p w14:paraId="1722F2A2">
            <w:pPr>
              <w:widowControl/>
              <w:adjustRightInd w:val="0"/>
              <w:snapToGrid w:val="0"/>
              <w:jc w:val="center"/>
              <w:rPr>
                <w:color w:val="auto"/>
                <w:sz w:val="21"/>
                <w:szCs w:val="21"/>
                <w:lang w:val="en-US" w:eastAsia="zh-CN"/>
              </w:rPr>
            </w:pPr>
            <w:r>
              <w:rPr>
                <w:color w:val="auto"/>
                <w:sz w:val="21"/>
                <w:szCs w:val="21"/>
              </w:rPr>
              <w:t>3000.0</w:t>
            </w:r>
          </w:p>
        </w:tc>
        <w:tc>
          <w:tcPr>
            <w:tcW w:w="1784" w:type="dxa"/>
            <w:shd w:val="clear" w:color="auto" w:fill="auto"/>
            <w:vAlign w:val="center"/>
          </w:tcPr>
          <w:p w14:paraId="5E5C883E">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0.0472</w:t>
            </w:r>
          </w:p>
        </w:tc>
        <w:tc>
          <w:tcPr>
            <w:tcW w:w="1567" w:type="dxa"/>
            <w:shd w:val="clear" w:color="auto" w:fill="auto"/>
            <w:vAlign w:val="center"/>
          </w:tcPr>
          <w:p w14:paraId="440BD0F0">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0.0052</w:t>
            </w:r>
          </w:p>
        </w:tc>
        <w:tc>
          <w:tcPr>
            <w:tcW w:w="1673" w:type="dxa"/>
            <w:shd w:val="clear" w:color="auto" w:fill="auto"/>
            <w:vAlign w:val="center"/>
          </w:tcPr>
          <w:p w14:paraId="787C80CE">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0.1231</w:t>
            </w:r>
          </w:p>
        </w:tc>
        <w:tc>
          <w:tcPr>
            <w:tcW w:w="1677" w:type="dxa"/>
            <w:shd w:val="clear" w:color="auto" w:fill="auto"/>
            <w:vAlign w:val="center"/>
          </w:tcPr>
          <w:p w14:paraId="7709F95C">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0.0062</w:t>
            </w:r>
          </w:p>
        </w:tc>
      </w:tr>
      <w:tr w14:paraId="3680DF12">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shd w:val="clear" w:color="auto" w:fill="auto"/>
            <w:vAlign w:val="center"/>
          </w:tcPr>
          <w:p w14:paraId="2C92D113">
            <w:pPr>
              <w:widowControl/>
              <w:adjustRightInd w:val="0"/>
              <w:snapToGrid w:val="0"/>
              <w:jc w:val="center"/>
              <w:rPr>
                <w:color w:val="auto"/>
                <w:sz w:val="21"/>
                <w:szCs w:val="21"/>
                <w:lang w:val="en-US" w:eastAsia="zh-CN"/>
              </w:rPr>
            </w:pPr>
            <w:r>
              <w:rPr>
                <w:color w:val="auto"/>
                <w:sz w:val="21"/>
                <w:szCs w:val="21"/>
              </w:rPr>
              <w:t>4000.0</w:t>
            </w:r>
          </w:p>
        </w:tc>
        <w:tc>
          <w:tcPr>
            <w:tcW w:w="1784" w:type="dxa"/>
            <w:shd w:val="clear" w:color="auto" w:fill="auto"/>
            <w:vAlign w:val="center"/>
          </w:tcPr>
          <w:p w14:paraId="533A51EF">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0.0399</w:t>
            </w:r>
          </w:p>
        </w:tc>
        <w:tc>
          <w:tcPr>
            <w:tcW w:w="1567" w:type="dxa"/>
            <w:shd w:val="clear" w:color="auto" w:fill="auto"/>
            <w:vAlign w:val="center"/>
          </w:tcPr>
          <w:p w14:paraId="42E56527">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0.0044</w:t>
            </w:r>
          </w:p>
        </w:tc>
        <w:tc>
          <w:tcPr>
            <w:tcW w:w="1673" w:type="dxa"/>
            <w:shd w:val="clear" w:color="auto" w:fill="auto"/>
            <w:vAlign w:val="center"/>
          </w:tcPr>
          <w:p w14:paraId="7DAD196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0.1040</w:t>
            </w:r>
          </w:p>
        </w:tc>
        <w:tc>
          <w:tcPr>
            <w:tcW w:w="1677" w:type="dxa"/>
            <w:shd w:val="clear" w:color="auto" w:fill="auto"/>
            <w:vAlign w:val="center"/>
          </w:tcPr>
          <w:p w14:paraId="33BCAC01">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0.0052</w:t>
            </w:r>
          </w:p>
        </w:tc>
      </w:tr>
      <w:tr w14:paraId="16EB1D7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shd w:val="clear" w:color="auto" w:fill="auto"/>
            <w:vAlign w:val="center"/>
          </w:tcPr>
          <w:p w14:paraId="4FC4BD17">
            <w:pPr>
              <w:widowControl/>
              <w:adjustRightInd w:val="0"/>
              <w:snapToGrid w:val="0"/>
              <w:jc w:val="center"/>
              <w:rPr>
                <w:color w:val="auto"/>
                <w:sz w:val="21"/>
                <w:szCs w:val="21"/>
                <w:lang w:val="en-US" w:eastAsia="zh-CN"/>
              </w:rPr>
            </w:pPr>
            <w:r>
              <w:rPr>
                <w:color w:val="auto"/>
                <w:sz w:val="21"/>
                <w:szCs w:val="21"/>
              </w:rPr>
              <w:t>5000.0</w:t>
            </w:r>
          </w:p>
        </w:tc>
        <w:tc>
          <w:tcPr>
            <w:tcW w:w="1784" w:type="dxa"/>
            <w:shd w:val="clear" w:color="auto" w:fill="auto"/>
            <w:vAlign w:val="center"/>
          </w:tcPr>
          <w:p w14:paraId="1E92DEDC">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0.0343</w:t>
            </w:r>
          </w:p>
        </w:tc>
        <w:tc>
          <w:tcPr>
            <w:tcW w:w="1567" w:type="dxa"/>
            <w:shd w:val="clear" w:color="auto" w:fill="auto"/>
            <w:vAlign w:val="center"/>
          </w:tcPr>
          <w:p w14:paraId="68E1F457">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0.0038</w:t>
            </w:r>
          </w:p>
        </w:tc>
        <w:tc>
          <w:tcPr>
            <w:tcW w:w="1673" w:type="dxa"/>
            <w:shd w:val="clear" w:color="auto" w:fill="auto"/>
            <w:vAlign w:val="center"/>
          </w:tcPr>
          <w:p w14:paraId="5E993C31">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0.0893</w:t>
            </w:r>
          </w:p>
        </w:tc>
        <w:tc>
          <w:tcPr>
            <w:tcW w:w="1677" w:type="dxa"/>
            <w:shd w:val="clear" w:color="auto" w:fill="auto"/>
            <w:vAlign w:val="center"/>
          </w:tcPr>
          <w:p w14:paraId="1BB586A5">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0.0045</w:t>
            </w:r>
          </w:p>
        </w:tc>
      </w:tr>
      <w:tr w14:paraId="56F6DF14">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1597FF1C">
            <w:pPr>
              <w:widowControl/>
              <w:adjustRightInd w:val="0"/>
              <w:snapToGrid w:val="0"/>
              <w:jc w:val="center"/>
              <w:rPr>
                <w:color w:val="auto"/>
                <w:sz w:val="21"/>
                <w:szCs w:val="21"/>
              </w:rPr>
            </w:pPr>
            <w:r>
              <w:rPr>
                <w:color w:val="auto"/>
                <w:sz w:val="21"/>
                <w:szCs w:val="21"/>
              </w:rPr>
              <w:t>下风向最大浓度</w:t>
            </w:r>
          </w:p>
        </w:tc>
        <w:tc>
          <w:tcPr>
            <w:tcW w:w="1784" w:type="dxa"/>
            <w:vAlign w:val="center"/>
          </w:tcPr>
          <w:p w14:paraId="5B28D8B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0.1676</w:t>
            </w:r>
          </w:p>
        </w:tc>
        <w:tc>
          <w:tcPr>
            <w:tcW w:w="1567" w:type="dxa"/>
            <w:vAlign w:val="center"/>
          </w:tcPr>
          <w:p w14:paraId="5BEB412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0.0186</w:t>
            </w:r>
          </w:p>
        </w:tc>
        <w:tc>
          <w:tcPr>
            <w:tcW w:w="1673" w:type="dxa"/>
            <w:vAlign w:val="center"/>
          </w:tcPr>
          <w:p w14:paraId="194FF804">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0.4366</w:t>
            </w:r>
          </w:p>
        </w:tc>
        <w:tc>
          <w:tcPr>
            <w:tcW w:w="1677" w:type="dxa"/>
            <w:vAlign w:val="center"/>
          </w:tcPr>
          <w:p w14:paraId="3FF99A4A">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0.0218</w:t>
            </w:r>
          </w:p>
        </w:tc>
      </w:tr>
      <w:tr w14:paraId="6CFC34AE">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7FEF44E7">
            <w:pPr>
              <w:widowControl/>
              <w:adjustRightInd w:val="0"/>
              <w:snapToGrid w:val="0"/>
              <w:jc w:val="center"/>
              <w:rPr>
                <w:color w:val="auto"/>
                <w:sz w:val="21"/>
                <w:szCs w:val="21"/>
              </w:rPr>
            </w:pPr>
            <w:r>
              <w:rPr>
                <w:color w:val="auto"/>
                <w:sz w:val="21"/>
                <w:szCs w:val="21"/>
              </w:rPr>
              <w:t>下风向最大浓度出现距离</w:t>
            </w:r>
          </w:p>
        </w:tc>
        <w:tc>
          <w:tcPr>
            <w:tcW w:w="1784" w:type="dxa"/>
            <w:vAlign w:val="center"/>
          </w:tcPr>
          <w:p w14:paraId="5FB0D3C6">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162.0</w:t>
            </w:r>
          </w:p>
        </w:tc>
        <w:tc>
          <w:tcPr>
            <w:tcW w:w="1567" w:type="dxa"/>
            <w:vAlign w:val="center"/>
          </w:tcPr>
          <w:p w14:paraId="43A1AE23">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162.0</w:t>
            </w:r>
          </w:p>
        </w:tc>
        <w:tc>
          <w:tcPr>
            <w:tcW w:w="1673" w:type="dxa"/>
            <w:vAlign w:val="center"/>
          </w:tcPr>
          <w:p w14:paraId="66F9FE62">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162.0</w:t>
            </w:r>
          </w:p>
        </w:tc>
        <w:tc>
          <w:tcPr>
            <w:tcW w:w="1677" w:type="dxa"/>
            <w:vAlign w:val="center"/>
          </w:tcPr>
          <w:p w14:paraId="0AA9A732">
            <w:pPr>
              <w:widowControl/>
              <w:adjustRightInd w:val="0"/>
              <w:snapToGrid w:val="0"/>
              <w:jc w:val="center"/>
              <w:rPr>
                <w:rFonts w:eastAsia="宋体"/>
                <w:color w:val="auto"/>
                <w:sz w:val="21"/>
                <w:szCs w:val="21"/>
                <w:lang w:val="en-US" w:eastAsia="zh-CN"/>
              </w:rPr>
            </w:pPr>
            <w:r>
              <w:rPr>
                <w:rFonts w:eastAsia="宋体"/>
                <w:color w:val="auto"/>
                <w:sz w:val="21"/>
                <w:szCs w:val="21"/>
                <w:lang w:val="en-US" w:eastAsia="zh-CN"/>
              </w:rPr>
              <w:t>162.0</w:t>
            </w:r>
          </w:p>
        </w:tc>
      </w:tr>
      <w:tr w14:paraId="55C15C3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pct"/>
            <w:vAlign w:val="center"/>
          </w:tcPr>
          <w:p w14:paraId="56919E05">
            <w:pPr>
              <w:widowControl/>
              <w:adjustRightInd w:val="0"/>
              <w:snapToGrid w:val="0"/>
              <w:jc w:val="center"/>
              <w:rPr>
                <w:color w:val="auto"/>
                <w:sz w:val="21"/>
                <w:szCs w:val="21"/>
              </w:rPr>
            </w:pPr>
            <w:r>
              <w:rPr>
                <w:color w:val="auto"/>
                <w:sz w:val="21"/>
                <w:szCs w:val="21"/>
              </w:rPr>
              <w:t>D10%最远距离</w:t>
            </w:r>
          </w:p>
        </w:tc>
        <w:tc>
          <w:tcPr>
            <w:tcW w:w="1046" w:type="pct"/>
            <w:vAlign w:val="center"/>
          </w:tcPr>
          <w:p w14:paraId="34B8CF76">
            <w:pPr>
              <w:widowControl/>
              <w:adjustRightInd w:val="0"/>
              <w:snapToGrid w:val="0"/>
              <w:jc w:val="center"/>
              <w:rPr>
                <w:color w:val="auto"/>
                <w:sz w:val="21"/>
                <w:szCs w:val="21"/>
              </w:rPr>
            </w:pPr>
            <w:r>
              <w:rPr>
                <w:color w:val="auto"/>
                <w:sz w:val="21"/>
                <w:szCs w:val="21"/>
              </w:rPr>
              <w:t>/</w:t>
            </w:r>
          </w:p>
        </w:tc>
        <w:tc>
          <w:tcPr>
            <w:tcW w:w="918" w:type="pct"/>
            <w:vAlign w:val="center"/>
          </w:tcPr>
          <w:p w14:paraId="4B8CCC19">
            <w:pPr>
              <w:widowControl/>
              <w:adjustRightInd w:val="0"/>
              <w:snapToGrid w:val="0"/>
              <w:jc w:val="center"/>
              <w:rPr>
                <w:color w:val="auto"/>
                <w:sz w:val="21"/>
                <w:szCs w:val="21"/>
              </w:rPr>
            </w:pPr>
            <w:r>
              <w:rPr>
                <w:color w:val="auto"/>
                <w:sz w:val="21"/>
                <w:szCs w:val="21"/>
              </w:rPr>
              <w:t>/</w:t>
            </w:r>
          </w:p>
        </w:tc>
        <w:tc>
          <w:tcPr>
            <w:tcW w:w="981" w:type="pct"/>
            <w:vAlign w:val="center"/>
          </w:tcPr>
          <w:p w14:paraId="551EC6F6">
            <w:pPr>
              <w:widowControl/>
              <w:adjustRightInd w:val="0"/>
              <w:snapToGrid w:val="0"/>
              <w:jc w:val="center"/>
              <w:rPr>
                <w:color w:val="auto"/>
                <w:sz w:val="21"/>
                <w:szCs w:val="21"/>
              </w:rPr>
            </w:pPr>
            <w:r>
              <w:rPr>
                <w:color w:val="auto"/>
                <w:sz w:val="21"/>
                <w:szCs w:val="21"/>
              </w:rPr>
              <w:t>/</w:t>
            </w:r>
          </w:p>
        </w:tc>
        <w:tc>
          <w:tcPr>
            <w:tcW w:w="983" w:type="pct"/>
            <w:vAlign w:val="center"/>
          </w:tcPr>
          <w:p w14:paraId="245EEE08">
            <w:pPr>
              <w:widowControl/>
              <w:adjustRightInd w:val="0"/>
              <w:snapToGrid w:val="0"/>
              <w:jc w:val="center"/>
              <w:rPr>
                <w:color w:val="auto"/>
                <w:sz w:val="21"/>
                <w:szCs w:val="21"/>
              </w:rPr>
            </w:pPr>
            <w:r>
              <w:rPr>
                <w:color w:val="auto"/>
                <w:sz w:val="21"/>
                <w:szCs w:val="21"/>
              </w:rPr>
              <w:t>/</w:t>
            </w:r>
          </w:p>
        </w:tc>
      </w:tr>
    </w:tbl>
    <w:p w14:paraId="3DBBD11C">
      <w:pPr>
        <w:spacing w:line="460" w:lineRule="exact"/>
        <w:jc w:val="center"/>
        <w:rPr>
          <w:b/>
          <w:color w:val="auto"/>
          <w:sz w:val="24"/>
          <w:szCs w:val="24"/>
        </w:rPr>
      </w:pPr>
      <w:r>
        <w:rPr>
          <w:rFonts w:hint="eastAsia"/>
          <w:b/>
          <w:color w:val="auto"/>
          <w:sz w:val="24"/>
          <w:szCs w:val="24"/>
        </w:rPr>
        <w:t>表4-</w:t>
      </w:r>
      <w:r>
        <w:rPr>
          <w:rFonts w:hint="eastAsia"/>
          <w:b/>
          <w:color w:val="auto"/>
          <w:sz w:val="24"/>
          <w:szCs w:val="24"/>
          <w:lang w:val="en-US" w:eastAsia="zh-CN"/>
        </w:rPr>
        <w:t>8</w:t>
      </w:r>
      <w:r>
        <w:rPr>
          <w:b/>
          <w:color w:val="auto"/>
          <w:sz w:val="24"/>
          <w:szCs w:val="24"/>
        </w:rPr>
        <w:t xml:space="preserve">  </w:t>
      </w:r>
      <w:r>
        <w:rPr>
          <w:rFonts w:hint="eastAsia"/>
          <w:b/>
          <w:color w:val="auto"/>
          <w:sz w:val="24"/>
          <w:szCs w:val="24"/>
          <w:lang w:val="en-US" w:eastAsia="zh-CN"/>
        </w:rPr>
        <w:t>DA002</w:t>
      </w:r>
      <w:r>
        <w:rPr>
          <w:rFonts w:hint="eastAsia"/>
          <w:b/>
          <w:color w:val="auto"/>
          <w:sz w:val="24"/>
          <w:szCs w:val="24"/>
        </w:rPr>
        <w:t>排气筒估算模式预测结果</w:t>
      </w:r>
    </w:p>
    <w:tbl>
      <w:tblPr>
        <w:tblStyle w:val="37"/>
        <w:tblW w:w="4872" w:type="pct"/>
        <w:jc w:val="center"/>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892"/>
        <w:gridCol w:w="892"/>
        <w:gridCol w:w="892"/>
        <w:gridCol w:w="892"/>
        <w:gridCol w:w="893"/>
        <w:gridCol w:w="893"/>
        <w:gridCol w:w="893"/>
        <w:gridCol w:w="893"/>
      </w:tblGrid>
      <w:tr w14:paraId="6998CC6C">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vMerge w:val="restart"/>
            <w:vAlign w:val="center"/>
          </w:tcPr>
          <w:p w14:paraId="5BD35CF1">
            <w:pPr>
              <w:widowControl/>
              <w:adjustRightInd w:val="0"/>
              <w:snapToGrid w:val="0"/>
              <w:jc w:val="center"/>
              <w:rPr>
                <w:b/>
                <w:bCs/>
                <w:color w:val="auto"/>
                <w:kern w:val="0"/>
                <w:sz w:val="21"/>
                <w:szCs w:val="21"/>
              </w:rPr>
            </w:pPr>
            <w:r>
              <w:rPr>
                <w:b/>
                <w:bCs/>
                <w:color w:val="auto"/>
                <w:kern w:val="0"/>
                <w:sz w:val="21"/>
                <w:szCs w:val="21"/>
              </w:rPr>
              <w:t>距源中心下风向距离D（m）</w:t>
            </w:r>
          </w:p>
        </w:tc>
        <w:tc>
          <w:tcPr>
            <w:tcW w:w="1830" w:type="dxa"/>
            <w:gridSpan w:val="2"/>
            <w:vAlign w:val="center"/>
          </w:tcPr>
          <w:p w14:paraId="5AD0FA3F">
            <w:pPr>
              <w:widowControl/>
              <w:adjustRightInd w:val="0"/>
              <w:snapToGrid w:val="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SO2</w:t>
            </w:r>
          </w:p>
        </w:tc>
        <w:tc>
          <w:tcPr>
            <w:tcW w:w="1830" w:type="dxa"/>
            <w:gridSpan w:val="2"/>
            <w:vAlign w:val="center"/>
          </w:tcPr>
          <w:p w14:paraId="5C564015">
            <w:pPr>
              <w:widowControl/>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NOx</w:t>
            </w:r>
          </w:p>
        </w:tc>
        <w:tc>
          <w:tcPr>
            <w:tcW w:w="1832" w:type="dxa"/>
            <w:gridSpan w:val="2"/>
            <w:vAlign w:val="center"/>
          </w:tcPr>
          <w:p w14:paraId="71EDFB80">
            <w:pPr>
              <w:widowControl/>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TSP</w:t>
            </w:r>
          </w:p>
        </w:tc>
        <w:tc>
          <w:tcPr>
            <w:tcW w:w="1832" w:type="dxa"/>
            <w:gridSpan w:val="2"/>
            <w:vAlign w:val="center"/>
          </w:tcPr>
          <w:p w14:paraId="00C041FD">
            <w:pPr>
              <w:widowControl/>
              <w:adjustRightInd w:val="0"/>
              <w:snapToGrid w:val="0"/>
              <w:jc w:val="center"/>
              <w:rPr>
                <w:rFonts w:hint="default"/>
                <w:b/>
                <w:color w:val="auto"/>
                <w:sz w:val="21"/>
                <w:szCs w:val="21"/>
                <w:lang w:val="en-US" w:eastAsia="zh-CN"/>
              </w:rPr>
            </w:pPr>
            <w:r>
              <w:rPr>
                <w:rFonts w:hint="eastAsia"/>
                <w:b/>
                <w:color w:val="auto"/>
                <w:sz w:val="21"/>
                <w:szCs w:val="21"/>
                <w:lang w:val="en-US" w:eastAsia="zh-CN"/>
              </w:rPr>
              <w:t>汞</w:t>
            </w:r>
          </w:p>
        </w:tc>
      </w:tr>
      <w:tr w14:paraId="6391957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vMerge w:val="continue"/>
            <w:tcBorders>
              <w:bottom w:val="single" w:color="auto" w:sz="12" w:space="0"/>
            </w:tcBorders>
            <w:vAlign w:val="center"/>
          </w:tcPr>
          <w:p w14:paraId="045AF591">
            <w:pPr>
              <w:widowControl/>
              <w:jc w:val="center"/>
              <w:rPr>
                <w:b/>
                <w:bCs/>
                <w:color w:val="auto"/>
                <w:kern w:val="0"/>
                <w:sz w:val="21"/>
                <w:szCs w:val="21"/>
              </w:rPr>
            </w:pPr>
          </w:p>
        </w:tc>
        <w:tc>
          <w:tcPr>
            <w:tcW w:w="915" w:type="dxa"/>
            <w:tcBorders>
              <w:bottom w:val="single" w:color="auto" w:sz="12" w:space="0"/>
            </w:tcBorders>
            <w:vAlign w:val="center"/>
          </w:tcPr>
          <w:p w14:paraId="158BE7BD">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15" w:type="dxa"/>
            <w:tcBorders>
              <w:bottom w:val="single" w:color="auto" w:sz="12" w:space="0"/>
            </w:tcBorders>
            <w:vAlign w:val="center"/>
          </w:tcPr>
          <w:p w14:paraId="1093794B">
            <w:pPr>
              <w:widowControl/>
              <w:adjustRightInd w:val="0"/>
              <w:snapToGrid w:val="0"/>
              <w:jc w:val="center"/>
              <w:rPr>
                <w:b/>
                <w:bCs/>
                <w:color w:val="auto"/>
                <w:kern w:val="0"/>
                <w:sz w:val="21"/>
                <w:szCs w:val="21"/>
              </w:rPr>
            </w:pPr>
            <w:r>
              <w:rPr>
                <w:b/>
                <w:bCs/>
                <w:color w:val="auto"/>
                <w:kern w:val="0"/>
                <w:sz w:val="21"/>
                <w:szCs w:val="21"/>
              </w:rPr>
              <w:t>浓度占标率（%）</w:t>
            </w:r>
          </w:p>
        </w:tc>
        <w:tc>
          <w:tcPr>
            <w:tcW w:w="915" w:type="dxa"/>
            <w:tcBorders>
              <w:bottom w:val="single" w:color="auto" w:sz="12" w:space="0"/>
            </w:tcBorders>
            <w:vAlign w:val="center"/>
          </w:tcPr>
          <w:p w14:paraId="094550AD">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15" w:type="dxa"/>
            <w:tcBorders>
              <w:bottom w:val="single" w:color="auto" w:sz="12" w:space="0"/>
            </w:tcBorders>
            <w:vAlign w:val="center"/>
          </w:tcPr>
          <w:p w14:paraId="773CD57C">
            <w:pPr>
              <w:widowControl/>
              <w:adjustRightInd w:val="0"/>
              <w:snapToGrid w:val="0"/>
              <w:jc w:val="center"/>
              <w:rPr>
                <w:b/>
                <w:bCs/>
                <w:color w:val="auto"/>
                <w:kern w:val="0"/>
                <w:sz w:val="21"/>
                <w:szCs w:val="21"/>
              </w:rPr>
            </w:pPr>
            <w:r>
              <w:rPr>
                <w:b/>
                <w:bCs/>
                <w:color w:val="auto"/>
                <w:kern w:val="0"/>
                <w:sz w:val="21"/>
                <w:szCs w:val="21"/>
              </w:rPr>
              <w:t>浓度占标率（%）</w:t>
            </w:r>
          </w:p>
        </w:tc>
        <w:tc>
          <w:tcPr>
            <w:tcW w:w="916" w:type="dxa"/>
            <w:tcBorders>
              <w:bottom w:val="single" w:color="auto" w:sz="12" w:space="0"/>
            </w:tcBorders>
            <w:vAlign w:val="center"/>
          </w:tcPr>
          <w:p w14:paraId="5FAE414A">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16" w:type="dxa"/>
            <w:tcBorders>
              <w:bottom w:val="single" w:color="auto" w:sz="12" w:space="0"/>
            </w:tcBorders>
            <w:vAlign w:val="center"/>
          </w:tcPr>
          <w:p w14:paraId="34AC2001">
            <w:pPr>
              <w:widowControl/>
              <w:adjustRightInd w:val="0"/>
              <w:snapToGrid w:val="0"/>
              <w:jc w:val="center"/>
              <w:rPr>
                <w:b/>
                <w:bCs/>
                <w:color w:val="auto"/>
                <w:kern w:val="0"/>
                <w:sz w:val="21"/>
                <w:szCs w:val="21"/>
              </w:rPr>
            </w:pPr>
            <w:r>
              <w:rPr>
                <w:b/>
                <w:bCs/>
                <w:color w:val="auto"/>
                <w:kern w:val="0"/>
                <w:sz w:val="21"/>
                <w:szCs w:val="21"/>
              </w:rPr>
              <w:t>浓度占标率（%）</w:t>
            </w:r>
          </w:p>
        </w:tc>
        <w:tc>
          <w:tcPr>
            <w:tcW w:w="916" w:type="dxa"/>
            <w:tcBorders>
              <w:bottom w:val="single" w:color="auto" w:sz="12" w:space="0"/>
            </w:tcBorders>
            <w:shd w:val="clear" w:color="auto" w:fill="auto"/>
            <w:vAlign w:val="center"/>
          </w:tcPr>
          <w:p w14:paraId="223E980F">
            <w:pPr>
              <w:widowControl/>
              <w:adjustRightInd w:val="0"/>
              <w:snapToGrid w:val="0"/>
              <w:jc w:val="center"/>
              <w:rPr>
                <w:rFonts w:ascii="Times New Roman" w:hAnsi="Times New Roman" w:eastAsia="宋体" w:cs="Times New Roman"/>
                <w:b/>
                <w:bCs/>
                <w:color w:val="auto"/>
                <w:kern w:val="0"/>
                <w:sz w:val="21"/>
                <w:szCs w:val="21"/>
                <w:lang w:val="en-US" w:eastAsia="zh-CN" w:bidi="ar-SA"/>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16" w:type="dxa"/>
            <w:tcBorders>
              <w:bottom w:val="single" w:color="auto" w:sz="12" w:space="0"/>
            </w:tcBorders>
            <w:shd w:val="clear" w:color="auto" w:fill="auto"/>
            <w:vAlign w:val="center"/>
          </w:tcPr>
          <w:p w14:paraId="0BF65002">
            <w:pPr>
              <w:widowControl/>
              <w:adjustRightInd w:val="0"/>
              <w:snapToGrid w:val="0"/>
              <w:jc w:val="center"/>
              <w:rPr>
                <w:rFonts w:ascii="Times New Roman" w:hAnsi="Times New Roman" w:eastAsia="宋体" w:cs="Times New Roman"/>
                <w:b/>
                <w:bCs/>
                <w:color w:val="auto"/>
                <w:kern w:val="0"/>
                <w:sz w:val="21"/>
                <w:szCs w:val="21"/>
                <w:lang w:val="en-US" w:eastAsia="zh-CN" w:bidi="ar-SA"/>
              </w:rPr>
            </w:pPr>
            <w:r>
              <w:rPr>
                <w:b/>
                <w:bCs/>
                <w:color w:val="auto"/>
                <w:kern w:val="0"/>
                <w:sz w:val="21"/>
                <w:szCs w:val="21"/>
              </w:rPr>
              <w:t>浓度占标率（%）</w:t>
            </w:r>
          </w:p>
        </w:tc>
      </w:tr>
      <w:tr w14:paraId="0A2DA62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tcBorders>
              <w:top w:val="single" w:color="auto" w:sz="12" w:space="0"/>
            </w:tcBorders>
            <w:shd w:val="clear" w:color="auto" w:fill="auto"/>
            <w:vAlign w:val="center"/>
          </w:tcPr>
          <w:p w14:paraId="7CEB4FCB">
            <w:pPr>
              <w:widowControl/>
              <w:adjustRightInd w:val="0"/>
              <w:snapToGrid w:val="0"/>
              <w:jc w:val="center"/>
              <w:rPr>
                <w:color w:val="auto"/>
                <w:sz w:val="21"/>
                <w:szCs w:val="21"/>
                <w:lang w:val="en-US" w:eastAsia="zh-CN"/>
              </w:rPr>
            </w:pPr>
            <w:r>
              <w:rPr>
                <w:color w:val="auto"/>
                <w:sz w:val="21"/>
                <w:szCs w:val="21"/>
              </w:rPr>
              <w:t>1.0</w:t>
            </w:r>
          </w:p>
        </w:tc>
        <w:tc>
          <w:tcPr>
            <w:tcW w:w="915" w:type="dxa"/>
            <w:tcBorders>
              <w:top w:val="single" w:color="auto" w:sz="12" w:space="0"/>
            </w:tcBorders>
            <w:shd w:val="clear" w:color="auto" w:fill="auto"/>
            <w:vAlign w:val="center"/>
          </w:tcPr>
          <w:p w14:paraId="55BC311D">
            <w:pPr>
              <w:widowControl/>
              <w:adjustRightInd w:val="0"/>
              <w:snapToGrid w:val="0"/>
              <w:jc w:val="center"/>
              <w:rPr>
                <w:color w:val="auto"/>
                <w:sz w:val="21"/>
                <w:szCs w:val="21"/>
                <w:lang w:val="en-US" w:eastAsia="zh-CN"/>
              </w:rPr>
            </w:pPr>
            <w:r>
              <w:rPr>
                <w:color w:val="auto"/>
                <w:sz w:val="21"/>
                <w:szCs w:val="21"/>
              </w:rPr>
              <w:t>0.0000</w:t>
            </w:r>
          </w:p>
        </w:tc>
        <w:tc>
          <w:tcPr>
            <w:tcW w:w="915" w:type="dxa"/>
            <w:tcBorders>
              <w:top w:val="single" w:color="auto" w:sz="12" w:space="0"/>
            </w:tcBorders>
            <w:shd w:val="clear" w:color="auto" w:fill="auto"/>
            <w:vAlign w:val="center"/>
          </w:tcPr>
          <w:p w14:paraId="74EC0C5C">
            <w:pPr>
              <w:widowControl/>
              <w:adjustRightInd w:val="0"/>
              <w:snapToGrid w:val="0"/>
              <w:jc w:val="center"/>
              <w:rPr>
                <w:color w:val="auto"/>
                <w:sz w:val="21"/>
                <w:szCs w:val="21"/>
                <w:lang w:val="en-US" w:eastAsia="zh-CN"/>
              </w:rPr>
            </w:pPr>
            <w:r>
              <w:rPr>
                <w:color w:val="auto"/>
                <w:sz w:val="21"/>
                <w:szCs w:val="21"/>
              </w:rPr>
              <w:t>0.0000</w:t>
            </w:r>
          </w:p>
        </w:tc>
        <w:tc>
          <w:tcPr>
            <w:tcW w:w="915" w:type="dxa"/>
            <w:tcBorders>
              <w:top w:val="single" w:color="auto" w:sz="12" w:space="0"/>
            </w:tcBorders>
            <w:shd w:val="clear" w:color="auto" w:fill="auto"/>
            <w:vAlign w:val="center"/>
          </w:tcPr>
          <w:p w14:paraId="06EBBEDD">
            <w:pPr>
              <w:widowControl/>
              <w:adjustRightInd w:val="0"/>
              <w:snapToGrid w:val="0"/>
              <w:jc w:val="center"/>
              <w:rPr>
                <w:rFonts w:eastAsia="宋体"/>
                <w:color w:val="auto"/>
                <w:sz w:val="21"/>
                <w:szCs w:val="21"/>
                <w:lang w:val="en-US" w:eastAsia="zh-CN"/>
              </w:rPr>
            </w:pPr>
            <w:r>
              <w:rPr>
                <w:rFonts w:eastAsia="宋体"/>
                <w:color w:val="auto"/>
                <w:sz w:val="21"/>
                <w:szCs w:val="21"/>
              </w:rPr>
              <w:t>0.0000</w:t>
            </w:r>
          </w:p>
        </w:tc>
        <w:tc>
          <w:tcPr>
            <w:tcW w:w="915" w:type="dxa"/>
            <w:tcBorders>
              <w:top w:val="single" w:color="auto" w:sz="12" w:space="0"/>
            </w:tcBorders>
            <w:shd w:val="clear" w:color="auto" w:fill="auto"/>
            <w:vAlign w:val="center"/>
          </w:tcPr>
          <w:p w14:paraId="233F823F">
            <w:pPr>
              <w:widowControl/>
              <w:adjustRightInd w:val="0"/>
              <w:snapToGrid w:val="0"/>
              <w:jc w:val="center"/>
              <w:rPr>
                <w:rFonts w:eastAsia="宋体"/>
                <w:color w:val="auto"/>
                <w:sz w:val="21"/>
                <w:szCs w:val="21"/>
                <w:lang w:val="en-US" w:eastAsia="zh-CN"/>
              </w:rPr>
            </w:pPr>
            <w:r>
              <w:rPr>
                <w:rFonts w:eastAsia="宋体"/>
                <w:color w:val="auto"/>
                <w:sz w:val="21"/>
                <w:szCs w:val="21"/>
              </w:rPr>
              <w:t>0.0000</w:t>
            </w:r>
          </w:p>
        </w:tc>
        <w:tc>
          <w:tcPr>
            <w:tcW w:w="916" w:type="dxa"/>
            <w:tcBorders>
              <w:top w:val="single" w:color="auto" w:sz="12" w:space="0"/>
            </w:tcBorders>
            <w:shd w:val="clear" w:color="auto" w:fill="auto"/>
            <w:vAlign w:val="center"/>
          </w:tcPr>
          <w:p w14:paraId="2987023E">
            <w:pPr>
              <w:widowControl/>
              <w:adjustRightInd w:val="0"/>
              <w:snapToGrid w:val="0"/>
              <w:jc w:val="center"/>
              <w:rPr>
                <w:color w:val="auto"/>
                <w:sz w:val="21"/>
                <w:szCs w:val="21"/>
                <w:lang w:val="en-US" w:eastAsia="zh-CN"/>
              </w:rPr>
            </w:pPr>
            <w:r>
              <w:rPr>
                <w:color w:val="auto"/>
                <w:sz w:val="21"/>
                <w:szCs w:val="21"/>
              </w:rPr>
              <w:t>0.0000</w:t>
            </w:r>
          </w:p>
        </w:tc>
        <w:tc>
          <w:tcPr>
            <w:tcW w:w="916" w:type="dxa"/>
            <w:tcBorders>
              <w:top w:val="single" w:color="auto" w:sz="12" w:space="0"/>
            </w:tcBorders>
            <w:shd w:val="clear" w:color="auto" w:fill="auto"/>
            <w:vAlign w:val="center"/>
          </w:tcPr>
          <w:p w14:paraId="3B41199A">
            <w:pPr>
              <w:widowControl/>
              <w:adjustRightInd w:val="0"/>
              <w:snapToGrid w:val="0"/>
              <w:jc w:val="center"/>
              <w:rPr>
                <w:color w:val="auto"/>
                <w:sz w:val="21"/>
                <w:szCs w:val="21"/>
                <w:lang w:val="en-US" w:eastAsia="zh-CN"/>
              </w:rPr>
            </w:pPr>
            <w:r>
              <w:rPr>
                <w:color w:val="auto"/>
                <w:sz w:val="21"/>
                <w:szCs w:val="21"/>
              </w:rPr>
              <w:t>0.0000</w:t>
            </w:r>
          </w:p>
        </w:tc>
        <w:tc>
          <w:tcPr>
            <w:tcW w:w="916" w:type="dxa"/>
            <w:tcBorders>
              <w:top w:val="single" w:color="auto" w:sz="12" w:space="0"/>
            </w:tcBorders>
            <w:shd w:val="clear" w:color="auto" w:fill="auto"/>
            <w:vAlign w:val="center"/>
          </w:tcPr>
          <w:p w14:paraId="38111AC4">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0.0000</w:t>
            </w:r>
          </w:p>
        </w:tc>
        <w:tc>
          <w:tcPr>
            <w:tcW w:w="916" w:type="dxa"/>
            <w:tcBorders>
              <w:top w:val="single" w:color="auto" w:sz="12" w:space="0"/>
            </w:tcBorders>
            <w:shd w:val="clear" w:color="auto" w:fill="auto"/>
            <w:vAlign w:val="center"/>
          </w:tcPr>
          <w:p w14:paraId="37D155F3">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0.0000</w:t>
            </w:r>
          </w:p>
        </w:tc>
      </w:tr>
      <w:tr w14:paraId="70BBC36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47532266">
            <w:pPr>
              <w:widowControl/>
              <w:adjustRightInd w:val="0"/>
              <w:snapToGrid w:val="0"/>
              <w:jc w:val="center"/>
              <w:rPr>
                <w:color w:val="auto"/>
                <w:sz w:val="21"/>
                <w:szCs w:val="21"/>
                <w:lang w:val="en-US" w:eastAsia="zh-CN"/>
              </w:rPr>
            </w:pPr>
            <w:r>
              <w:rPr>
                <w:color w:val="auto"/>
                <w:sz w:val="21"/>
                <w:szCs w:val="21"/>
              </w:rPr>
              <w:t>25.0</w:t>
            </w:r>
          </w:p>
        </w:tc>
        <w:tc>
          <w:tcPr>
            <w:tcW w:w="915" w:type="dxa"/>
            <w:shd w:val="clear" w:color="auto" w:fill="auto"/>
            <w:vAlign w:val="center"/>
          </w:tcPr>
          <w:p w14:paraId="3CEB3E0F">
            <w:pPr>
              <w:widowControl/>
              <w:adjustRightInd w:val="0"/>
              <w:snapToGrid w:val="0"/>
              <w:jc w:val="center"/>
              <w:rPr>
                <w:color w:val="auto"/>
                <w:sz w:val="21"/>
                <w:szCs w:val="21"/>
                <w:lang w:val="en-US" w:eastAsia="zh-CN"/>
              </w:rPr>
            </w:pPr>
            <w:r>
              <w:rPr>
                <w:color w:val="auto"/>
                <w:sz w:val="21"/>
                <w:szCs w:val="21"/>
              </w:rPr>
              <w:t>0.2625</w:t>
            </w:r>
          </w:p>
        </w:tc>
        <w:tc>
          <w:tcPr>
            <w:tcW w:w="915" w:type="dxa"/>
            <w:shd w:val="clear" w:color="auto" w:fill="auto"/>
            <w:vAlign w:val="center"/>
          </w:tcPr>
          <w:p w14:paraId="57AFFAAC">
            <w:pPr>
              <w:widowControl/>
              <w:adjustRightInd w:val="0"/>
              <w:snapToGrid w:val="0"/>
              <w:jc w:val="center"/>
              <w:rPr>
                <w:color w:val="auto"/>
                <w:sz w:val="21"/>
                <w:szCs w:val="21"/>
                <w:lang w:val="en-US" w:eastAsia="zh-CN"/>
              </w:rPr>
            </w:pPr>
            <w:r>
              <w:rPr>
                <w:color w:val="auto"/>
                <w:sz w:val="21"/>
                <w:szCs w:val="21"/>
              </w:rPr>
              <w:t>0.0525</w:t>
            </w:r>
          </w:p>
        </w:tc>
        <w:tc>
          <w:tcPr>
            <w:tcW w:w="915" w:type="dxa"/>
            <w:shd w:val="clear" w:color="auto" w:fill="auto"/>
            <w:vAlign w:val="center"/>
          </w:tcPr>
          <w:p w14:paraId="3F6DCDB3">
            <w:pPr>
              <w:widowControl/>
              <w:adjustRightInd w:val="0"/>
              <w:snapToGrid w:val="0"/>
              <w:jc w:val="center"/>
              <w:rPr>
                <w:rFonts w:eastAsia="宋体"/>
                <w:color w:val="auto"/>
                <w:sz w:val="21"/>
                <w:szCs w:val="21"/>
                <w:lang w:val="en-US" w:eastAsia="zh-CN"/>
              </w:rPr>
            </w:pPr>
            <w:r>
              <w:rPr>
                <w:rFonts w:eastAsia="宋体"/>
                <w:color w:val="auto"/>
                <w:sz w:val="21"/>
                <w:szCs w:val="21"/>
              </w:rPr>
              <w:t>0.3658</w:t>
            </w:r>
          </w:p>
        </w:tc>
        <w:tc>
          <w:tcPr>
            <w:tcW w:w="915" w:type="dxa"/>
            <w:shd w:val="clear" w:color="auto" w:fill="auto"/>
            <w:vAlign w:val="center"/>
          </w:tcPr>
          <w:p w14:paraId="57DF2C22">
            <w:pPr>
              <w:widowControl/>
              <w:adjustRightInd w:val="0"/>
              <w:snapToGrid w:val="0"/>
              <w:jc w:val="center"/>
              <w:rPr>
                <w:rFonts w:eastAsia="宋体"/>
                <w:color w:val="auto"/>
                <w:sz w:val="21"/>
                <w:szCs w:val="21"/>
                <w:lang w:val="en-US" w:eastAsia="zh-CN"/>
              </w:rPr>
            </w:pPr>
            <w:r>
              <w:rPr>
                <w:rFonts w:eastAsia="宋体"/>
                <w:color w:val="auto"/>
                <w:sz w:val="21"/>
                <w:szCs w:val="21"/>
              </w:rPr>
              <w:t>0.1463</w:t>
            </w:r>
          </w:p>
        </w:tc>
        <w:tc>
          <w:tcPr>
            <w:tcW w:w="916" w:type="dxa"/>
            <w:shd w:val="clear" w:color="auto" w:fill="auto"/>
            <w:vAlign w:val="center"/>
          </w:tcPr>
          <w:p w14:paraId="5EB4AD42">
            <w:pPr>
              <w:widowControl/>
              <w:adjustRightInd w:val="0"/>
              <w:snapToGrid w:val="0"/>
              <w:jc w:val="center"/>
              <w:rPr>
                <w:color w:val="auto"/>
                <w:sz w:val="21"/>
                <w:szCs w:val="21"/>
                <w:lang w:val="en-US" w:eastAsia="zh-CN"/>
              </w:rPr>
            </w:pPr>
            <w:r>
              <w:rPr>
                <w:color w:val="auto"/>
                <w:sz w:val="21"/>
                <w:szCs w:val="21"/>
              </w:rPr>
              <w:t>0.0027</w:t>
            </w:r>
          </w:p>
        </w:tc>
        <w:tc>
          <w:tcPr>
            <w:tcW w:w="916" w:type="dxa"/>
            <w:shd w:val="clear" w:color="auto" w:fill="auto"/>
            <w:vAlign w:val="center"/>
          </w:tcPr>
          <w:p w14:paraId="253A1D15">
            <w:pPr>
              <w:widowControl/>
              <w:adjustRightInd w:val="0"/>
              <w:snapToGrid w:val="0"/>
              <w:jc w:val="center"/>
              <w:rPr>
                <w:color w:val="auto"/>
                <w:sz w:val="21"/>
                <w:szCs w:val="21"/>
                <w:lang w:val="en-US" w:eastAsia="zh-CN"/>
              </w:rPr>
            </w:pPr>
            <w:r>
              <w:rPr>
                <w:color w:val="auto"/>
                <w:sz w:val="21"/>
                <w:szCs w:val="21"/>
              </w:rPr>
              <w:t>0.0003</w:t>
            </w:r>
          </w:p>
        </w:tc>
        <w:tc>
          <w:tcPr>
            <w:tcW w:w="916" w:type="dxa"/>
            <w:shd w:val="clear" w:color="auto" w:fill="auto"/>
            <w:vAlign w:val="center"/>
          </w:tcPr>
          <w:p w14:paraId="02E3607D">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0.0005</w:t>
            </w:r>
          </w:p>
        </w:tc>
        <w:tc>
          <w:tcPr>
            <w:tcW w:w="916" w:type="dxa"/>
            <w:shd w:val="clear" w:color="auto" w:fill="auto"/>
            <w:vAlign w:val="center"/>
          </w:tcPr>
          <w:p w14:paraId="218B6979">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0.1767</w:t>
            </w:r>
          </w:p>
        </w:tc>
      </w:tr>
      <w:tr w14:paraId="24C18E1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794F152F">
            <w:pPr>
              <w:widowControl/>
              <w:adjustRightInd w:val="0"/>
              <w:snapToGrid w:val="0"/>
              <w:jc w:val="center"/>
              <w:rPr>
                <w:color w:val="auto"/>
                <w:sz w:val="21"/>
                <w:szCs w:val="21"/>
                <w:lang w:val="en-US" w:eastAsia="zh-CN"/>
              </w:rPr>
            </w:pPr>
            <w:r>
              <w:rPr>
                <w:color w:val="auto"/>
                <w:sz w:val="21"/>
                <w:szCs w:val="21"/>
              </w:rPr>
              <w:t>50.0</w:t>
            </w:r>
          </w:p>
        </w:tc>
        <w:tc>
          <w:tcPr>
            <w:tcW w:w="915" w:type="dxa"/>
            <w:shd w:val="clear" w:color="auto" w:fill="auto"/>
            <w:vAlign w:val="center"/>
          </w:tcPr>
          <w:p w14:paraId="2CFAD90A">
            <w:pPr>
              <w:widowControl/>
              <w:adjustRightInd w:val="0"/>
              <w:snapToGrid w:val="0"/>
              <w:jc w:val="center"/>
              <w:rPr>
                <w:color w:val="auto"/>
                <w:sz w:val="21"/>
                <w:szCs w:val="21"/>
                <w:lang w:val="en-US" w:eastAsia="zh-CN"/>
              </w:rPr>
            </w:pPr>
            <w:r>
              <w:rPr>
                <w:color w:val="auto"/>
                <w:sz w:val="21"/>
                <w:szCs w:val="21"/>
              </w:rPr>
              <w:t>0.6291</w:t>
            </w:r>
          </w:p>
        </w:tc>
        <w:tc>
          <w:tcPr>
            <w:tcW w:w="915" w:type="dxa"/>
            <w:shd w:val="clear" w:color="auto" w:fill="auto"/>
            <w:vAlign w:val="center"/>
          </w:tcPr>
          <w:p w14:paraId="086CCCEC">
            <w:pPr>
              <w:widowControl/>
              <w:adjustRightInd w:val="0"/>
              <w:snapToGrid w:val="0"/>
              <w:jc w:val="center"/>
              <w:rPr>
                <w:color w:val="auto"/>
                <w:sz w:val="21"/>
                <w:szCs w:val="21"/>
                <w:lang w:val="en-US" w:eastAsia="zh-CN"/>
              </w:rPr>
            </w:pPr>
            <w:r>
              <w:rPr>
                <w:color w:val="auto"/>
                <w:sz w:val="21"/>
                <w:szCs w:val="21"/>
              </w:rPr>
              <w:t>0.1258</w:t>
            </w:r>
          </w:p>
        </w:tc>
        <w:tc>
          <w:tcPr>
            <w:tcW w:w="915" w:type="dxa"/>
            <w:shd w:val="clear" w:color="auto" w:fill="auto"/>
            <w:vAlign w:val="center"/>
          </w:tcPr>
          <w:p w14:paraId="646B0FC1">
            <w:pPr>
              <w:widowControl/>
              <w:adjustRightInd w:val="0"/>
              <w:snapToGrid w:val="0"/>
              <w:jc w:val="center"/>
              <w:rPr>
                <w:rFonts w:eastAsia="宋体"/>
                <w:color w:val="auto"/>
                <w:sz w:val="21"/>
                <w:szCs w:val="21"/>
                <w:lang w:val="en-US" w:eastAsia="zh-CN"/>
              </w:rPr>
            </w:pPr>
            <w:r>
              <w:rPr>
                <w:rFonts w:eastAsia="宋体"/>
                <w:color w:val="auto"/>
                <w:sz w:val="21"/>
                <w:szCs w:val="21"/>
              </w:rPr>
              <w:t>0.8769</w:t>
            </w:r>
          </w:p>
        </w:tc>
        <w:tc>
          <w:tcPr>
            <w:tcW w:w="915" w:type="dxa"/>
            <w:shd w:val="clear" w:color="auto" w:fill="auto"/>
            <w:vAlign w:val="center"/>
          </w:tcPr>
          <w:p w14:paraId="26CDA0FF">
            <w:pPr>
              <w:widowControl/>
              <w:adjustRightInd w:val="0"/>
              <w:snapToGrid w:val="0"/>
              <w:jc w:val="center"/>
              <w:rPr>
                <w:rFonts w:eastAsia="宋体"/>
                <w:color w:val="auto"/>
                <w:sz w:val="21"/>
                <w:szCs w:val="21"/>
                <w:lang w:val="en-US" w:eastAsia="zh-CN"/>
              </w:rPr>
            </w:pPr>
            <w:r>
              <w:rPr>
                <w:rFonts w:eastAsia="宋体"/>
                <w:color w:val="auto"/>
                <w:sz w:val="21"/>
                <w:szCs w:val="21"/>
              </w:rPr>
              <w:t>0.3508</w:t>
            </w:r>
          </w:p>
        </w:tc>
        <w:tc>
          <w:tcPr>
            <w:tcW w:w="916" w:type="dxa"/>
            <w:shd w:val="clear" w:color="auto" w:fill="auto"/>
            <w:vAlign w:val="center"/>
          </w:tcPr>
          <w:p w14:paraId="748624D8">
            <w:pPr>
              <w:widowControl/>
              <w:adjustRightInd w:val="0"/>
              <w:snapToGrid w:val="0"/>
              <w:jc w:val="center"/>
              <w:rPr>
                <w:color w:val="auto"/>
                <w:sz w:val="21"/>
                <w:szCs w:val="21"/>
                <w:lang w:val="en-US" w:eastAsia="zh-CN"/>
              </w:rPr>
            </w:pPr>
            <w:r>
              <w:rPr>
                <w:color w:val="auto"/>
                <w:sz w:val="21"/>
                <w:szCs w:val="21"/>
              </w:rPr>
              <w:t>0.0064</w:t>
            </w:r>
          </w:p>
        </w:tc>
        <w:tc>
          <w:tcPr>
            <w:tcW w:w="916" w:type="dxa"/>
            <w:shd w:val="clear" w:color="auto" w:fill="auto"/>
            <w:vAlign w:val="center"/>
          </w:tcPr>
          <w:p w14:paraId="6006B58E">
            <w:pPr>
              <w:widowControl/>
              <w:adjustRightInd w:val="0"/>
              <w:snapToGrid w:val="0"/>
              <w:jc w:val="center"/>
              <w:rPr>
                <w:color w:val="auto"/>
                <w:sz w:val="21"/>
                <w:szCs w:val="21"/>
                <w:lang w:val="en-US" w:eastAsia="zh-CN"/>
              </w:rPr>
            </w:pPr>
            <w:r>
              <w:rPr>
                <w:color w:val="auto"/>
                <w:sz w:val="21"/>
                <w:szCs w:val="21"/>
              </w:rPr>
              <w:t>0.0007</w:t>
            </w:r>
          </w:p>
        </w:tc>
        <w:tc>
          <w:tcPr>
            <w:tcW w:w="916" w:type="dxa"/>
            <w:shd w:val="clear" w:color="auto" w:fill="auto"/>
            <w:vAlign w:val="center"/>
          </w:tcPr>
          <w:p w14:paraId="2EE55C69">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0.0013</w:t>
            </w:r>
          </w:p>
        </w:tc>
        <w:tc>
          <w:tcPr>
            <w:tcW w:w="916" w:type="dxa"/>
            <w:shd w:val="clear" w:color="auto" w:fill="auto"/>
            <w:vAlign w:val="center"/>
          </w:tcPr>
          <w:p w14:paraId="7F20BEEB">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0.4236</w:t>
            </w:r>
          </w:p>
        </w:tc>
      </w:tr>
      <w:tr w14:paraId="1519460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2651DC93">
            <w:pPr>
              <w:widowControl/>
              <w:adjustRightInd w:val="0"/>
              <w:snapToGrid w:val="0"/>
              <w:jc w:val="center"/>
              <w:rPr>
                <w:color w:val="auto"/>
                <w:sz w:val="21"/>
                <w:szCs w:val="21"/>
                <w:lang w:val="en-US" w:eastAsia="zh-CN"/>
              </w:rPr>
            </w:pPr>
            <w:r>
              <w:rPr>
                <w:color w:val="auto"/>
                <w:sz w:val="21"/>
                <w:szCs w:val="21"/>
              </w:rPr>
              <w:t>75.0</w:t>
            </w:r>
          </w:p>
        </w:tc>
        <w:tc>
          <w:tcPr>
            <w:tcW w:w="915" w:type="dxa"/>
            <w:shd w:val="clear" w:color="auto" w:fill="auto"/>
            <w:vAlign w:val="center"/>
          </w:tcPr>
          <w:p w14:paraId="1F436FF4">
            <w:pPr>
              <w:widowControl/>
              <w:adjustRightInd w:val="0"/>
              <w:snapToGrid w:val="0"/>
              <w:jc w:val="center"/>
              <w:rPr>
                <w:color w:val="auto"/>
                <w:sz w:val="21"/>
                <w:szCs w:val="21"/>
                <w:lang w:val="en-US" w:eastAsia="zh-CN"/>
              </w:rPr>
            </w:pPr>
            <w:r>
              <w:rPr>
                <w:color w:val="auto"/>
                <w:sz w:val="21"/>
                <w:szCs w:val="21"/>
              </w:rPr>
              <w:t>0.5841</w:t>
            </w:r>
          </w:p>
        </w:tc>
        <w:tc>
          <w:tcPr>
            <w:tcW w:w="915" w:type="dxa"/>
            <w:shd w:val="clear" w:color="auto" w:fill="auto"/>
            <w:vAlign w:val="center"/>
          </w:tcPr>
          <w:p w14:paraId="708C1B3D">
            <w:pPr>
              <w:widowControl/>
              <w:adjustRightInd w:val="0"/>
              <w:snapToGrid w:val="0"/>
              <w:jc w:val="center"/>
              <w:rPr>
                <w:color w:val="auto"/>
                <w:sz w:val="21"/>
                <w:szCs w:val="21"/>
                <w:lang w:val="en-US" w:eastAsia="zh-CN"/>
              </w:rPr>
            </w:pPr>
            <w:r>
              <w:rPr>
                <w:color w:val="auto"/>
                <w:sz w:val="21"/>
                <w:szCs w:val="21"/>
              </w:rPr>
              <w:t>0.1168</w:t>
            </w:r>
          </w:p>
        </w:tc>
        <w:tc>
          <w:tcPr>
            <w:tcW w:w="915" w:type="dxa"/>
            <w:shd w:val="clear" w:color="auto" w:fill="auto"/>
            <w:vAlign w:val="center"/>
          </w:tcPr>
          <w:p w14:paraId="13F4CE71">
            <w:pPr>
              <w:widowControl/>
              <w:adjustRightInd w:val="0"/>
              <w:snapToGrid w:val="0"/>
              <w:jc w:val="center"/>
              <w:rPr>
                <w:rFonts w:eastAsia="宋体"/>
                <w:color w:val="auto"/>
                <w:sz w:val="21"/>
                <w:szCs w:val="21"/>
                <w:lang w:val="en-US" w:eastAsia="zh-CN"/>
              </w:rPr>
            </w:pPr>
            <w:r>
              <w:rPr>
                <w:rFonts w:eastAsia="宋体"/>
                <w:color w:val="auto"/>
                <w:sz w:val="21"/>
                <w:szCs w:val="21"/>
              </w:rPr>
              <w:t>0.8142</w:t>
            </w:r>
          </w:p>
        </w:tc>
        <w:tc>
          <w:tcPr>
            <w:tcW w:w="915" w:type="dxa"/>
            <w:shd w:val="clear" w:color="auto" w:fill="auto"/>
            <w:vAlign w:val="center"/>
          </w:tcPr>
          <w:p w14:paraId="0F933F9F">
            <w:pPr>
              <w:widowControl/>
              <w:adjustRightInd w:val="0"/>
              <w:snapToGrid w:val="0"/>
              <w:jc w:val="center"/>
              <w:rPr>
                <w:rFonts w:eastAsia="宋体"/>
                <w:color w:val="auto"/>
                <w:sz w:val="21"/>
                <w:szCs w:val="21"/>
                <w:lang w:val="en-US" w:eastAsia="zh-CN"/>
              </w:rPr>
            </w:pPr>
            <w:r>
              <w:rPr>
                <w:rFonts w:eastAsia="宋体"/>
                <w:color w:val="auto"/>
                <w:sz w:val="21"/>
                <w:szCs w:val="21"/>
              </w:rPr>
              <w:t>0.3257</w:t>
            </w:r>
          </w:p>
        </w:tc>
        <w:tc>
          <w:tcPr>
            <w:tcW w:w="916" w:type="dxa"/>
            <w:shd w:val="clear" w:color="auto" w:fill="auto"/>
            <w:vAlign w:val="center"/>
          </w:tcPr>
          <w:p w14:paraId="39F7ACC5">
            <w:pPr>
              <w:widowControl/>
              <w:adjustRightInd w:val="0"/>
              <w:snapToGrid w:val="0"/>
              <w:jc w:val="center"/>
              <w:rPr>
                <w:color w:val="auto"/>
                <w:sz w:val="21"/>
                <w:szCs w:val="21"/>
                <w:lang w:val="en-US" w:eastAsia="zh-CN"/>
              </w:rPr>
            </w:pPr>
            <w:r>
              <w:rPr>
                <w:color w:val="auto"/>
                <w:sz w:val="21"/>
                <w:szCs w:val="21"/>
              </w:rPr>
              <w:t>0.0059</w:t>
            </w:r>
          </w:p>
        </w:tc>
        <w:tc>
          <w:tcPr>
            <w:tcW w:w="916" w:type="dxa"/>
            <w:shd w:val="clear" w:color="auto" w:fill="auto"/>
            <w:vAlign w:val="center"/>
          </w:tcPr>
          <w:p w14:paraId="4A2478E9">
            <w:pPr>
              <w:widowControl/>
              <w:adjustRightInd w:val="0"/>
              <w:snapToGrid w:val="0"/>
              <w:jc w:val="center"/>
              <w:rPr>
                <w:color w:val="auto"/>
                <w:sz w:val="21"/>
                <w:szCs w:val="21"/>
                <w:lang w:val="en-US" w:eastAsia="zh-CN"/>
              </w:rPr>
            </w:pPr>
            <w:r>
              <w:rPr>
                <w:color w:val="auto"/>
                <w:sz w:val="21"/>
                <w:szCs w:val="21"/>
              </w:rPr>
              <w:t>0.0007</w:t>
            </w:r>
          </w:p>
        </w:tc>
        <w:tc>
          <w:tcPr>
            <w:tcW w:w="916" w:type="dxa"/>
            <w:shd w:val="clear" w:color="auto" w:fill="auto"/>
            <w:vAlign w:val="center"/>
          </w:tcPr>
          <w:p w14:paraId="74D6FFB6">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0.0012</w:t>
            </w:r>
          </w:p>
        </w:tc>
        <w:tc>
          <w:tcPr>
            <w:tcW w:w="916" w:type="dxa"/>
            <w:shd w:val="clear" w:color="auto" w:fill="auto"/>
            <w:vAlign w:val="center"/>
          </w:tcPr>
          <w:p w14:paraId="19DFF1C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0.3933</w:t>
            </w:r>
          </w:p>
        </w:tc>
      </w:tr>
      <w:tr w14:paraId="58B62B1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538604E7">
            <w:pPr>
              <w:widowControl/>
              <w:adjustRightInd w:val="0"/>
              <w:snapToGrid w:val="0"/>
              <w:jc w:val="center"/>
              <w:rPr>
                <w:color w:val="auto"/>
                <w:sz w:val="21"/>
                <w:szCs w:val="21"/>
                <w:lang w:val="en-US" w:eastAsia="zh-CN"/>
              </w:rPr>
            </w:pPr>
            <w:r>
              <w:rPr>
                <w:color w:val="auto"/>
                <w:sz w:val="21"/>
                <w:szCs w:val="21"/>
              </w:rPr>
              <w:t>100.0</w:t>
            </w:r>
          </w:p>
        </w:tc>
        <w:tc>
          <w:tcPr>
            <w:tcW w:w="915" w:type="dxa"/>
            <w:shd w:val="clear" w:color="auto" w:fill="auto"/>
            <w:vAlign w:val="center"/>
          </w:tcPr>
          <w:p w14:paraId="792B3F01">
            <w:pPr>
              <w:widowControl/>
              <w:adjustRightInd w:val="0"/>
              <w:snapToGrid w:val="0"/>
              <w:jc w:val="center"/>
              <w:rPr>
                <w:color w:val="auto"/>
                <w:sz w:val="21"/>
                <w:szCs w:val="21"/>
                <w:lang w:val="en-US" w:eastAsia="zh-CN"/>
              </w:rPr>
            </w:pPr>
            <w:r>
              <w:rPr>
                <w:color w:val="auto"/>
                <w:sz w:val="21"/>
                <w:szCs w:val="21"/>
              </w:rPr>
              <w:t>0.4686</w:t>
            </w:r>
          </w:p>
        </w:tc>
        <w:tc>
          <w:tcPr>
            <w:tcW w:w="915" w:type="dxa"/>
            <w:shd w:val="clear" w:color="auto" w:fill="auto"/>
            <w:vAlign w:val="center"/>
          </w:tcPr>
          <w:p w14:paraId="6610AF4A">
            <w:pPr>
              <w:widowControl/>
              <w:adjustRightInd w:val="0"/>
              <w:snapToGrid w:val="0"/>
              <w:jc w:val="center"/>
              <w:rPr>
                <w:color w:val="auto"/>
                <w:sz w:val="21"/>
                <w:szCs w:val="21"/>
                <w:lang w:val="en-US" w:eastAsia="zh-CN"/>
              </w:rPr>
            </w:pPr>
            <w:r>
              <w:rPr>
                <w:color w:val="auto"/>
                <w:sz w:val="21"/>
                <w:szCs w:val="21"/>
              </w:rPr>
              <w:t>0.0937</w:t>
            </w:r>
          </w:p>
        </w:tc>
        <w:tc>
          <w:tcPr>
            <w:tcW w:w="915" w:type="dxa"/>
            <w:shd w:val="clear" w:color="auto" w:fill="auto"/>
            <w:vAlign w:val="center"/>
          </w:tcPr>
          <w:p w14:paraId="3500D7BE">
            <w:pPr>
              <w:widowControl/>
              <w:adjustRightInd w:val="0"/>
              <w:snapToGrid w:val="0"/>
              <w:jc w:val="center"/>
              <w:rPr>
                <w:rFonts w:eastAsia="宋体"/>
                <w:color w:val="auto"/>
                <w:sz w:val="21"/>
                <w:szCs w:val="21"/>
                <w:lang w:val="en-US" w:eastAsia="zh-CN"/>
              </w:rPr>
            </w:pPr>
            <w:r>
              <w:rPr>
                <w:rFonts w:eastAsia="宋体"/>
                <w:color w:val="auto"/>
                <w:sz w:val="21"/>
                <w:szCs w:val="21"/>
              </w:rPr>
              <w:t>0.6533</w:t>
            </w:r>
          </w:p>
        </w:tc>
        <w:tc>
          <w:tcPr>
            <w:tcW w:w="915" w:type="dxa"/>
            <w:shd w:val="clear" w:color="auto" w:fill="auto"/>
            <w:vAlign w:val="center"/>
          </w:tcPr>
          <w:p w14:paraId="6D11350D">
            <w:pPr>
              <w:widowControl/>
              <w:adjustRightInd w:val="0"/>
              <w:snapToGrid w:val="0"/>
              <w:jc w:val="center"/>
              <w:rPr>
                <w:rFonts w:eastAsia="宋体"/>
                <w:color w:val="auto"/>
                <w:sz w:val="21"/>
                <w:szCs w:val="21"/>
                <w:lang w:val="en-US" w:eastAsia="zh-CN"/>
              </w:rPr>
            </w:pPr>
            <w:r>
              <w:rPr>
                <w:rFonts w:eastAsia="宋体"/>
                <w:color w:val="auto"/>
                <w:sz w:val="21"/>
                <w:szCs w:val="21"/>
              </w:rPr>
              <w:t>0.2613</w:t>
            </w:r>
          </w:p>
        </w:tc>
        <w:tc>
          <w:tcPr>
            <w:tcW w:w="916" w:type="dxa"/>
            <w:shd w:val="clear" w:color="auto" w:fill="auto"/>
            <w:vAlign w:val="center"/>
          </w:tcPr>
          <w:p w14:paraId="17E624E8">
            <w:pPr>
              <w:widowControl/>
              <w:adjustRightInd w:val="0"/>
              <w:snapToGrid w:val="0"/>
              <w:jc w:val="center"/>
              <w:rPr>
                <w:color w:val="auto"/>
                <w:sz w:val="21"/>
                <w:szCs w:val="21"/>
                <w:lang w:val="en-US" w:eastAsia="zh-CN"/>
              </w:rPr>
            </w:pPr>
            <w:r>
              <w:rPr>
                <w:color w:val="auto"/>
                <w:sz w:val="21"/>
                <w:szCs w:val="21"/>
              </w:rPr>
              <w:t>0.0047</w:t>
            </w:r>
          </w:p>
        </w:tc>
        <w:tc>
          <w:tcPr>
            <w:tcW w:w="916" w:type="dxa"/>
            <w:shd w:val="clear" w:color="auto" w:fill="auto"/>
            <w:vAlign w:val="center"/>
          </w:tcPr>
          <w:p w14:paraId="3A1BE266">
            <w:pPr>
              <w:widowControl/>
              <w:adjustRightInd w:val="0"/>
              <w:snapToGrid w:val="0"/>
              <w:jc w:val="center"/>
              <w:rPr>
                <w:color w:val="auto"/>
                <w:sz w:val="21"/>
                <w:szCs w:val="21"/>
                <w:lang w:val="en-US" w:eastAsia="zh-CN"/>
              </w:rPr>
            </w:pPr>
            <w:r>
              <w:rPr>
                <w:color w:val="auto"/>
                <w:sz w:val="21"/>
                <w:szCs w:val="21"/>
              </w:rPr>
              <w:t>0.0005</w:t>
            </w:r>
          </w:p>
        </w:tc>
        <w:tc>
          <w:tcPr>
            <w:tcW w:w="916" w:type="dxa"/>
            <w:shd w:val="clear" w:color="auto" w:fill="auto"/>
            <w:vAlign w:val="center"/>
          </w:tcPr>
          <w:p w14:paraId="37D1F6C3">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0.0009</w:t>
            </w:r>
          </w:p>
        </w:tc>
        <w:tc>
          <w:tcPr>
            <w:tcW w:w="916" w:type="dxa"/>
            <w:shd w:val="clear" w:color="auto" w:fill="auto"/>
            <w:vAlign w:val="center"/>
          </w:tcPr>
          <w:p w14:paraId="73FF12DA">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0.3156</w:t>
            </w:r>
          </w:p>
        </w:tc>
      </w:tr>
      <w:tr w14:paraId="0521262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317CEAFC">
            <w:pPr>
              <w:widowControl/>
              <w:adjustRightInd w:val="0"/>
              <w:snapToGrid w:val="0"/>
              <w:jc w:val="center"/>
              <w:rPr>
                <w:color w:val="auto"/>
                <w:sz w:val="21"/>
                <w:szCs w:val="21"/>
                <w:lang w:val="en-US" w:eastAsia="zh-CN"/>
              </w:rPr>
            </w:pPr>
            <w:r>
              <w:rPr>
                <w:color w:val="auto"/>
                <w:sz w:val="21"/>
                <w:szCs w:val="21"/>
              </w:rPr>
              <w:t>200.0</w:t>
            </w:r>
          </w:p>
        </w:tc>
        <w:tc>
          <w:tcPr>
            <w:tcW w:w="915" w:type="dxa"/>
            <w:shd w:val="clear" w:color="auto" w:fill="auto"/>
            <w:vAlign w:val="center"/>
          </w:tcPr>
          <w:p w14:paraId="492AE725">
            <w:pPr>
              <w:widowControl/>
              <w:adjustRightInd w:val="0"/>
              <w:snapToGrid w:val="0"/>
              <w:jc w:val="center"/>
              <w:rPr>
                <w:color w:val="auto"/>
                <w:sz w:val="21"/>
                <w:szCs w:val="21"/>
                <w:lang w:val="en-US" w:eastAsia="zh-CN"/>
              </w:rPr>
            </w:pPr>
            <w:r>
              <w:rPr>
                <w:color w:val="auto"/>
                <w:sz w:val="21"/>
                <w:szCs w:val="21"/>
              </w:rPr>
              <w:t>0.7259</w:t>
            </w:r>
          </w:p>
        </w:tc>
        <w:tc>
          <w:tcPr>
            <w:tcW w:w="915" w:type="dxa"/>
            <w:shd w:val="clear" w:color="auto" w:fill="auto"/>
            <w:vAlign w:val="center"/>
          </w:tcPr>
          <w:p w14:paraId="2E20AE08">
            <w:pPr>
              <w:widowControl/>
              <w:adjustRightInd w:val="0"/>
              <w:snapToGrid w:val="0"/>
              <w:jc w:val="center"/>
              <w:rPr>
                <w:color w:val="auto"/>
                <w:sz w:val="21"/>
                <w:szCs w:val="21"/>
                <w:lang w:val="en-US" w:eastAsia="zh-CN"/>
              </w:rPr>
            </w:pPr>
            <w:r>
              <w:rPr>
                <w:color w:val="auto"/>
                <w:sz w:val="21"/>
                <w:szCs w:val="21"/>
              </w:rPr>
              <w:t>0.1452</w:t>
            </w:r>
          </w:p>
        </w:tc>
        <w:tc>
          <w:tcPr>
            <w:tcW w:w="915" w:type="dxa"/>
            <w:shd w:val="clear" w:color="auto" w:fill="auto"/>
            <w:vAlign w:val="center"/>
          </w:tcPr>
          <w:p w14:paraId="657968EE">
            <w:pPr>
              <w:widowControl/>
              <w:adjustRightInd w:val="0"/>
              <w:snapToGrid w:val="0"/>
              <w:jc w:val="center"/>
              <w:rPr>
                <w:rFonts w:eastAsia="宋体"/>
                <w:color w:val="auto"/>
                <w:sz w:val="21"/>
                <w:szCs w:val="21"/>
                <w:lang w:val="en-US" w:eastAsia="zh-CN"/>
              </w:rPr>
            </w:pPr>
            <w:r>
              <w:rPr>
                <w:rFonts w:eastAsia="宋体"/>
                <w:color w:val="auto"/>
                <w:sz w:val="21"/>
                <w:szCs w:val="21"/>
              </w:rPr>
              <w:t>1.0118</w:t>
            </w:r>
          </w:p>
        </w:tc>
        <w:tc>
          <w:tcPr>
            <w:tcW w:w="915" w:type="dxa"/>
            <w:shd w:val="clear" w:color="auto" w:fill="auto"/>
            <w:vAlign w:val="center"/>
          </w:tcPr>
          <w:p w14:paraId="7F380011">
            <w:pPr>
              <w:widowControl/>
              <w:adjustRightInd w:val="0"/>
              <w:snapToGrid w:val="0"/>
              <w:jc w:val="center"/>
              <w:rPr>
                <w:rFonts w:eastAsia="宋体"/>
                <w:color w:val="auto"/>
                <w:sz w:val="21"/>
                <w:szCs w:val="21"/>
                <w:lang w:val="en-US" w:eastAsia="zh-CN"/>
              </w:rPr>
            </w:pPr>
            <w:r>
              <w:rPr>
                <w:rFonts w:eastAsia="宋体"/>
                <w:color w:val="auto"/>
                <w:sz w:val="21"/>
                <w:szCs w:val="21"/>
              </w:rPr>
              <w:t>0.4047</w:t>
            </w:r>
          </w:p>
        </w:tc>
        <w:tc>
          <w:tcPr>
            <w:tcW w:w="916" w:type="dxa"/>
            <w:shd w:val="clear" w:color="auto" w:fill="auto"/>
            <w:vAlign w:val="center"/>
          </w:tcPr>
          <w:p w14:paraId="6278DC2A">
            <w:pPr>
              <w:widowControl/>
              <w:adjustRightInd w:val="0"/>
              <w:snapToGrid w:val="0"/>
              <w:jc w:val="center"/>
              <w:rPr>
                <w:color w:val="auto"/>
                <w:sz w:val="21"/>
                <w:szCs w:val="21"/>
                <w:lang w:val="en-US" w:eastAsia="zh-CN"/>
              </w:rPr>
            </w:pPr>
            <w:r>
              <w:rPr>
                <w:color w:val="auto"/>
                <w:sz w:val="21"/>
                <w:szCs w:val="21"/>
              </w:rPr>
              <w:t>0.0073</w:t>
            </w:r>
          </w:p>
        </w:tc>
        <w:tc>
          <w:tcPr>
            <w:tcW w:w="916" w:type="dxa"/>
            <w:shd w:val="clear" w:color="auto" w:fill="auto"/>
            <w:vAlign w:val="center"/>
          </w:tcPr>
          <w:p w14:paraId="4CBE89D9">
            <w:pPr>
              <w:widowControl/>
              <w:adjustRightInd w:val="0"/>
              <w:snapToGrid w:val="0"/>
              <w:jc w:val="center"/>
              <w:rPr>
                <w:color w:val="auto"/>
                <w:sz w:val="21"/>
                <w:szCs w:val="21"/>
                <w:lang w:val="en-US" w:eastAsia="zh-CN"/>
              </w:rPr>
            </w:pPr>
            <w:r>
              <w:rPr>
                <w:color w:val="auto"/>
                <w:sz w:val="21"/>
                <w:szCs w:val="21"/>
              </w:rPr>
              <w:t>0.0008</w:t>
            </w:r>
          </w:p>
        </w:tc>
        <w:tc>
          <w:tcPr>
            <w:tcW w:w="916" w:type="dxa"/>
            <w:shd w:val="clear" w:color="auto" w:fill="auto"/>
            <w:vAlign w:val="center"/>
          </w:tcPr>
          <w:p w14:paraId="5721A77C">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0.0015</w:t>
            </w:r>
          </w:p>
        </w:tc>
        <w:tc>
          <w:tcPr>
            <w:tcW w:w="916" w:type="dxa"/>
            <w:shd w:val="clear" w:color="auto" w:fill="auto"/>
            <w:vAlign w:val="center"/>
          </w:tcPr>
          <w:p w14:paraId="03C19381">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0.4888</w:t>
            </w:r>
          </w:p>
        </w:tc>
      </w:tr>
      <w:tr w14:paraId="412897C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6DA387B0">
            <w:pPr>
              <w:widowControl/>
              <w:adjustRightInd w:val="0"/>
              <w:snapToGrid w:val="0"/>
              <w:jc w:val="center"/>
              <w:rPr>
                <w:color w:val="auto"/>
                <w:sz w:val="21"/>
                <w:szCs w:val="21"/>
                <w:lang w:val="en-US" w:eastAsia="zh-CN"/>
              </w:rPr>
            </w:pPr>
            <w:r>
              <w:rPr>
                <w:color w:val="auto"/>
                <w:sz w:val="21"/>
                <w:szCs w:val="21"/>
              </w:rPr>
              <w:t>300.0</w:t>
            </w:r>
          </w:p>
        </w:tc>
        <w:tc>
          <w:tcPr>
            <w:tcW w:w="915" w:type="dxa"/>
            <w:shd w:val="clear" w:color="auto" w:fill="auto"/>
            <w:vAlign w:val="center"/>
          </w:tcPr>
          <w:p w14:paraId="05791BB9">
            <w:pPr>
              <w:widowControl/>
              <w:adjustRightInd w:val="0"/>
              <w:snapToGrid w:val="0"/>
              <w:jc w:val="center"/>
              <w:rPr>
                <w:color w:val="auto"/>
                <w:sz w:val="21"/>
                <w:szCs w:val="21"/>
                <w:lang w:val="en-US" w:eastAsia="zh-CN"/>
              </w:rPr>
            </w:pPr>
            <w:r>
              <w:rPr>
                <w:color w:val="auto"/>
                <w:sz w:val="21"/>
                <w:szCs w:val="21"/>
              </w:rPr>
              <w:t>1.0024</w:t>
            </w:r>
          </w:p>
        </w:tc>
        <w:tc>
          <w:tcPr>
            <w:tcW w:w="915" w:type="dxa"/>
            <w:shd w:val="clear" w:color="auto" w:fill="auto"/>
            <w:vAlign w:val="center"/>
          </w:tcPr>
          <w:p w14:paraId="16CE09ED">
            <w:pPr>
              <w:widowControl/>
              <w:adjustRightInd w:val="0"/>
              <w:snapToGrid w:val="0"/>
              <w:jc w:val="center"/>
              <w:rPr>
                <w:color w:val="auto"/>
                <w:sz w:val="21"/>
                <w:szCs w:val="21"/>
                <w:lang w:val="en-US" w:eastAsia="zh-CN"/>
              </w:rPr>
            </w:pPr>
            <w:r>
              <w:rPr>
                <w:color w:val="auto"/>
                <w:sz w:val="21"/>
                <w:szCs w:val="21"/>
              </w:rPr>
              <w:t>0.2005</w:t>
            </w:r>
          </w:p>
        </w:tc>
        <w:tc>
          <w:tcPr>
            <w:tcW w:w="915" w:type="dxa"/>
            <w:shd w:val="clear" w:color="auto" w:fill="auto"/>
            <w:vAlign w:val="center"/>
          </w:tcPr>
          <w:p w14:paraId="35C7C8E4">
            <w:pPr>
              <w:widowControl/>
              <w:adjustRightInd w:val="0"/>
              <w:snapToGrid w:val="0"/>
              <w:jc w:val="center"/>
              <w:rPr>
                <w:rFonts w:eastAsia="宋体"/>
                <w:color w:val="auto"/>
                <w:sz w:val="21"/>
                <w:szCs w:val="21"/>
                <w:lang w:val="en-US" w:eastAsia="zh-CN"/>
              </w:rPr>
            </w:pPr>
            <w:r>
              <w:rPr>
                <w:rFonts w:eastAsia="宋体"/>
                <w:color w:val="auto"/>
                <w:sz w:val="21"/>
                <w:szCs w:val="21"/>
              </w:rPr>
              <w:t>1.3973</w:t>
            </w:r>
          </w:p>
        </w:tc>
        <w:tc>
          <w:tcPr>
            <w:tcW w:w="915" w:type="dxa"/>
            <w:shd w:val="clear" w:color="auto" w:fill="auto"/>
            <w:vAlign w:val="center"/>
          </w:tcPr>
          <w:p w14:paraId="0A5B915B">
            <w:pPr>
              <w:widowControl/>
              <w:adjustRightInd w:val="0"/>
              <w:snapToGrid w:val="0"/>
              <w:jc w:val="center"/>
              <w:rPr>
                <w:rFonts w:eastAsia="宋体"/>
                <w:color w:val="auto"/>
                <w:sz w:val="21"/>
                <w:szCs w:val="21"/>
                <w:lang w:val="en-US" w:eastAsia="zh-CN"/>
              </w:rPr>
            </w:pPr>
            <w:r>
              <w:rPr>
                <w:rFonts w:eastAsia="宋体"/>
                <w:color w:val="auto"/>
                <w:sz w:val="21"/>
                <w:szCs w:val="21"/>
              </w:rPr>
              <w:t>0.5589</w:t>
            </w:r>
          </w:p>
        </w:tc>
        <w:tc>
          <w:tcPr>
            <w:tcW w:w="916" w:type="dxa"/>
            <w:shd w:val="clear" w:color="auto" w:fill="auto"/>
            <w:vAlign w:val="center"/>
          </w:tcPr>
          <w:p w14:paraId="6057A7D8">
            <w:pPr>
              <w:widowControl/>
              <w:adjustRightInd w:val="0"/>
              <w:snapToGrid w:val="0"/>
              <w:jc w:val="center"/>
              <w:rPr>
                <w:color w:val="auto"/>
                <w:sz w:val="21"/>
                <w:szCs w:val="21"/>
                <w:lang w:val="en-US" w:eastAsia="zh-CN"/>
              </w:rPr>
            </w:pPr>
            <w:r>
              <w:rPr>
                <w:color w:val="auto"/>
                <w:sz w:val="21"/>
                <w:szCs w:val="21"/>
              </w:rPr>
              <w:t>0.0101</w:t>
            </w:r>
          </w:p>
        </w:tc>
        <w:tc>
          <w:tcPr>
            <w:tcW w:w="916" w:type="dxa"/>
            <w:shd w:val="clear" w:color="auto" w:fill="auto"/>
            <w:vAlign w:val="center"/>
          </w:tcPr>
          <w:p w14:paraId="735CFB6C">
            <w:pPr>
              <w:widowControl/>
              <w:adjustRightInd w:val="0"/>
              <w:snapToGrid w:val="0"/>
              <w:jc w:val="center"/>
              <w:rPr>
                <w:color w:val="auto"/>
                <w:sz w:val="21"/>
                <w:szCs w:val="21"/>
                <w:lang w:val="en-US" w:eastAsia="zh-CN"/>
              </w:rPr>
            </w:pPr>
            <w:r>
              <w:rPr>
                <w:color w:val="auto"/>
                <w:sz w:val="21"/>
                <w:szCs w:val="21"/>
              </w:rPr>
              <w:t>1.0024</w:t>
            </w:r>
          </w:p>
        </w:tc>
        <w:tc>
          <w:tcPr>
            <w:tcW w:w="916" w:type="dxa"/>
            <w:shd w:val="clear" w:color="auto" w:fill="auto"/>
            <w:vAlign w:val="center"/>
          </w:tcPr>
          <w:p w14:paraId="485DE7CB">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0.0020</w:t>
            </w:r>
          </w:p>
        </w:tc>
        <w:tc>
          <w:tcPr>
            <w:tcW w:w="916" w:type="dxa"/>
            <w:shd w:val="clear" w:color="auto" w:fill="auto"/>
            <w:vAlign w:val="center"/>
          </w:tcPr>
          <w:p w14:paraId="6C9188A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0.6750</w:t>
            </w:r>
          </w:p>
        </w:tc>
      </w:tr>
      <w:tr w14:paraId="33A08AF7">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51D9433A">
            <w:pPr>
              <w:widowControl/>
              <w:adjustRightInd w:val="0"/>
              <w:snapToGrid w:val="0"/>
              <w:jc w:val="center"/>
              <w:rPr>
                <w:color w:val="auto"/>
                <w:sz w:val="21"/>
                <w:szCs w:val="21"/>
                <w:lang w:val="en-US" w:eastAsia="zh-CN"/>
              </w:rPr>
            </w:pPr>
            <w:r>
              <w:rPr>
                <w:color w:val="auto"/>
                <w:sz w:val="21"/>
                <w:szCs w:val="21"/>
              </w:rPr>
              <w:t>400.0</w:t>
            </w:r>
          </w:p>
        </w:tc>
        <w:tc>
          <w:tcPr>
            <w:tcW w:w="915" w:type="dxa"/>
            <w:shd w:val="clear" w:color="auto" w:fill="auto"/>
            <w:vAlign w:val="center"/>
          </w:tcPr>
          <w:p w14:paraId="08435A02">
            <w:pPr>
              <w:widowControl/>
              <w:adjustRightInd w:val="0"/>
              <w:snapToGrid w:val="0"/>
              <w:jc w:val="center"/>
              <w:rPr>
                <w:color w:val="auto"/>
                <w:sz w:val="21"/>
                <w:szCs w:val="21"/>
                <w:lang w:val="en-US" w:eastAsia="zh-CN"/>
              </w:rPr>
            </w:pPr>
            <w:r>
              <w:rPr>
                <w:color w:val="auto"/>
                <w:sz w:val="21"/>
                <w:szCs w:val="21"/>
              </w:rPr>
              <w:t>0.9917</w:t>
            </w:r>
          </w:p>
        </w:tc>
        <w:tc>
          <w:tcPr>
            <w:tcW w:w="915" w:type="dxa"/>
            <w:shd w:val="clear" w:color="auto" w:fill="auto"/>
            <w:vAlign w:val="center"/>
          </w:tcPr>
          <w:p w14:paraId="0C7D4400">
            <w:pPr>
              <w:widowControl/>
              <w:adjustRightInd w:val="0"/>
              <w:snapToGrid w:val="0"/>
              <w:jc w:val="center"/>
              <w:rPr>
                <w:color w:val="auto"/>
                <w:sz w:val="21"/>
                <w:szCs w:val="21"/>
                <w:lang w:val="en-US" w:eastAsia="zh-CN"/>
              </w:rPr>
            </w:pPr>
            <w:r>
              <w:rPr>
                <w:color w:val="auto"/>
                <w:sz w:val="21"/>
                <w:szCs w:val="21"/>
              </w:rPr>
              <w:t>0.1983</w:t>
            </w:r>
          </w:p>
        </w:tc>
        <w:tc>
          <w:tcPr>
            <w:tcW w:w="915" w:type="dxa"/>
            <w:shd w:val="clear" w:color="auto" w:fill="auto"/>
            <w:vAlign w:val="center"/>
          </w:tcPr>
          <w:p w14:paraId="266A8672">
            <w:pPr>
              <w:widowControl/>
              <w:adjustRightInd w:val="0"/>
              <w:snapToGrid w:val="0"/>
              <w:jc w:val="center"/>
              <w:rPr>
                <w:rFonts w:eastAsia="宋体"/>
                <w:color w:val="auto"/>
                <w:sz w:val="21"/>
                <w:szCs w:val="21"/>
                <w:lang w:val="en-US" w:eastAsia="zh-CN"/>
              </w:rPr>
            </w:pPr>
            <w:r>
              <w:rPr>
                <w:rFonts w:eastAsia="宋体"/>
                <w:color w:val="auto"/>
                <w:sz w:val="21"/>
                <w:szCs w:val="21"/>
              </w:rPr>
              <w:t>1.3973</w:t>
            </w:r>
          </w:p>
        </w:tc>
        <w:tc>
          <w:tcPr>
            <w:tcW w:w="915" w:type="dxa"/>
            <w:shd w:val="clear" w:color="auto" w:fill="auto"/>
            <w:vAlign w:val="center"/>
          </w:tcPr>
          <w:p w14:paraId="4FCA6ADE">
            <w:pPr>
              <w:widowControl/>
              <w:adjustRightInd w:val="0"/>
              <w:snapToGrid w:val="0"/>
              <w:jc w:val="center"/>
              <w:rPr>
                <w:rFonts w:eastAsia="宋体"/>
                <w:color w:val="auto"/>
                <w:sz w:val="21"/>
                <w:szCs w:val="21"/>
                <w:lang w:val="en-US" w:eastAsia="zh-CN"/>
              </w:rPr>
            </w:pPr>
            <w:r>
              <w:rPr>
                <w:rFonts w:eastAsia="宋体"/>
                <w:color w:val="auto"/>
                <w:sz w:val="21"/>
                <w:szCs w:val="21"/>
              </w:rPr>
              <w:t>0.5589</w:t>
            </w:r>
          </w:p>
        </w:tc>
        <w:tc>
          <w:tcPr>
            <w:tcW w:w="916" w:type="dxa"/>
            <w:shd w:val="clear" w:color="auto" w:fill="auto"/>
            <w:vAlign w:val="center"/>
          </w:tcPr>
          <w:p w14:paraId="4712FFD4">
            <w:pPr>
              <w:widowControl/>
              <w:adjustRightInd w:val="0"/>
              <w:snapToGrid w:val="0"/>
              <w:jc w:val="center"/>
              <w:rPr>
                <w:color w:val="auto"/>
                <w:sz w:val="21"/>
                <w:szCs w:val="21"/>
                <w:lang w:val="en-US" w:eastAsia="zh-CN"/>
              </w:rPr>
            </w:pPr>
            <w:r>
              <w:rPr>
                <w:color w:val="auto"/>
                <w:sz w:val="21"/>
                <w:szCs w:val="21"/>
              </w:rPr>
              <w:t>0.0100</w:t>
            </w:r>
          </w:p>
        </w:tc>
        <w:tc>
          <w:tcPr>
            <w:tcW w:w="916" w:type="dxa"/>
            <w:shd w:val="clear" w:color="auto" w:fill="auto"/>
            <w:vAlign w:val="center"/>
          </w:tcPr>
          <w:p w14:paraId="516476A8">
            <w:pPr>
              <w:widowControl/>
              <w:adjustRightInd w:val="0"/>
              <w:snapToGrid w:val="0"/>
              <w:jc w:val="center"/>
              <w:rPr>
                <w:color w:val="auto"/>
                <w:sz w:val="21"/>
                <w:szCs w:val="21"/>
                <w:lang w:val="en-US" w:eastAsia="zh-CN"/>
              </w:rPr>
            </w:pPr>
            <w:r>
              <w:rPr>
                <w:color w:val="auto"/>
                <w:sz w:val="21"/>
                <w:szCs w:val="21"/>
              </w:rPr>
              <w:t>0.0011</w:t>
            </w:r>
          </w:p>
        </w:tc>
        <w:tc>
          <w:tcPr>
            <w:tcW w:w="916" w:type="dxa"/>
            <w:shd w:val="clear" w:color="auto" w:fill="auto"/>
            <w:vAlign w:val="center"/>
          </w:tcPr>
          <w:p w14:paraId="4D122278">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0.0020</w:t>
            </w:r>
          </w:p>
        </w:tc>
        <w:tc>
          <w:tcPr>
            <w:tcW w:w="916" w:type="dxa"/>
            <w:shd w:val="clear" w:color="auto" w:fill="auto"/>
            <w:vAlign w:val="center"/>
          </w:tcPr>
          <w:p w14:paraId="1A23B4E3">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0.6678</w:t>
            </w:r>
          </w:p>
        </w:tc>
      </w:tr>
      <w:tr w14:paraId="1034E70C">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429EF7C3">
            <w:pPr>
              <w:widowControl/>
              <w:adjustRightInd w:val="0"/>
              <w:snapToGrid w:val="0"/>
              <w:jc w:val="center"/>
              <w:rPr>
                <w:color w:val="auto"/>
                <w:sz w:val="21"/>
                <w:szCs w:val="21"/>
                <w:lang w:val="en-US" w:eastAsia="zh-CN"/>
              </w:rPr>
            </w:pPr>
            <w:r>
              <w:rPr>
                <w:color w:val="auto"/>
                <w:sz w:val="21"/>
                <w:szCs w:val="21"/>
              </w:rPr>
              <w:t>500.0</w:t>
            </w:r>
          </w:p>
        </w:tc>
        <w:tc>
          <w:tcPr>
            <w:tcW w:w="915" w:type="dxa"/>
            <w:shd w:val="clear" w:color="auto" w:fill="auto"/>
            <w:vAlign w:val="center"/>
          </w:tcPr>
          <w:p w14:paraId="1BD2681C">
            <w:pPr>
              <w:widowControl/>
              <w:adjustRightInd w:val="0"/>
              <w:snapToGrid w:val="0"/>
              <w:jc w:val="center"/>
              <w:rPr>
                <w:color w:val="auto"/>
                <w:sz w:val="21"/>
                <w:szCs w:val="21"/>
                <w:lang w:val="en-US" w:eastAsia="zh-CN"/>
              </w:rPr>
            </w:pPr>
            <w:r>
              <w:rPr>
                <w:color w:val="auto"/>
                <w:sz w:val="21"/>
                <w:szCs w:val="21"/>
              </w:rPr>
              <w:t>0.9095</w:t>
            </w:r>
          </w:p>
        </w:tc>
        <w:tc>
          <w:tcPr>
            <w:tcW w:w="915" w:type="dxa"/>
            <w:shd w:val="clear" w:color="auto" w:fill="auto"/>
            <w:vAlign w:val="center"/>
          </w:tcPr>
          <w:p w14:paraId="3CFC1CB6">
            <w:pPr>
              <w:widowControl/>
              <w:adjustRightInd w:val="0"/>
              <w:snapToGrid w:val="0"/>
              <w:jc w:val="center"/>
              <w:rPr>
                <w:color w:val="auto"/>
                <w:sz w:val="21"/>
                <w:szCs w:val="21"/>
                <w:lang w:val="en-US" w:eastAsia="zh-CN"/>
              </w:rPr>
            </w:pPr>
            <w:r>
              <w:rPr>
                <w:color w:val="auto"/>
                <w:sz w:val="21"/>
                <w:szCs w:val="21"/>
              </w:rPr>
              <w:t>0.1819</w:t>
            </w:r>
          </w:p>
        </w:tc>
        <w:tc>
          <w:tcPr>
            <w:tcW w:w="915" w:type="dxa"/>
            <w:shd w:val="clear" w:color="auto" w:fill="auto"/>
            <w:vAlign w:val="center"/>
          </w:tcPr>
          <w:p w14:paraId="473A6B55">
            <w:pPr>
              <w:widowControl/>
              <w:adjustRightInd w:val="0"/>
              <w:snapToGrid w:val="0"/>
              <w:jc w:val="center"/>
              <w:rPr>
                <w:rFonts w:eastAsia="宋体"/>
                <w:color w:val="auto"/>
                <w:sz w:val="21"/>
                <w:szCs w:val="21"/>
                <w:lang w:val="en-US" w:eastAsia="zh-CN"/>
              </w:rPr>
            </w:pPr>
            <w:r>
              <w:rPr>
                <w:rFonts w:eastAsia="宋体"/>
                <w:color w:val="auto"/>
                <w:sz w:val="21"/>
                <w:szCs w:val="21"/>
              </w:rPr>
              <w:t>1.2678</w:t>
            </w:r>
          </w:p>
        </w:tc>
        <w:tc>
          <w:tcPr>
            <w:tcW w:w="915" w:type="dxa"/>
            <w:shd w:val="clear" w:color="auto" w:fill="auto"/>
            <w:vAlign w:val="center"/>
          </w:tcPr>
          <w:p w14:paraId="6EF535AC">
            <w:pPr>
              <w:widowControl/>
              <w:adjustRightInd w:val="0"/>
              <w:snapToGrid w:val="0"/>
              <w:jc w:val="center"/>
              <w:rPr>
                <w:rFonts w:eastAsia="宋体"/>
                <w:color w:val="auto"/>
                <w:sz w:val="21"/>
                <w:szCs w:val="21"/>
                <w:lang w:val="en-US" w:eastAsia="zh-CN"/>
              </w:rPr>
            </w:pPr>
            <w:r>
              <w:rPr>
                <w:rFonts w:eastAsia="宋体"/>
                <w:color w:val="auto"/>
                <w:sz w:val="21"/>
                <w:szCs w:val="21"/>
              </w:rPr>
              <w:t>0.5071</w:t>
            </w:r>
          </w:p>
        </w:tc>
        <w:tc>
          <w:tcPr>
            <w:tcW w:w="916" w:type="dxa"/>
            <w:shd w:val="clear" w:color="auto" w:fill="auto"/>
            <w:vAlign w:val="center"/>
          </w:tcPr>
          <w:p w14:paraId="6B0DC7D0">
            <w:pPr>
              <w:widowControl/>
              <w:adjustRightInd w:val="0"/>
              <w:snapToGrid w:val="0"/>
              <w:jc w:val="center"/>
              <w:rPr>
                <w:color w:val="auto"/>
                <w:sz w:val="21"/>
                <w:szCs w:val="21"/>
                <w:lang w:val="en-US" w:eastAsia="zh-CN"/>
              </w:rPr>
            </w:pPr>
            <w:r>
              <w:rPr>
                <w:color w:val="auto"/>
                <w:sz w:val="21"/>
                <w:szCs w:val="21"/>
              </w:rPr>
              <w:t>0.0092</w:t>
            </w:r>
          </w:p>
        </w:tc>
        <w:tc>
          <w:tcPr>
            <w:tcW w:w="916" w:type="dxa"/>
            <w:shd w:val="clear" w:color="auto" w:fill="auto"/>
            <w:vAlign w:val="center"/>
          </w:tcPr>
          <w:p w14:paraId="534CEE39">
            <w:pPr>
              <w:widowControl/>
              <w:adjustRightInd w:val="0"/>
              <w:snapToGrid w:val="0"/>
              <w:jc w:val="center"/>
              <w:rPr>
                <w:color w:val="auto"/>
                <w:sz w:val="21"/>
                <w:szCs w:val="21"/>
                <w:lang w:val="en-US" w:eastAsia="zh-CN"/>
              </w:rPr>
            </w:pPr>
            <w:r>
              <w:rPr>
                <w:color w:val="auto"/>
                <w:sz w:val="21"/>
                <w:szCs w:val="21"/>
              </w:rPr>
              <w:t>0.0010</w:t>
            </w:r>
          </w:p>
        </w:tc>
        <w:tc>
          <w:tcPr>
            <w:tcW w:w="916" w:type="dxa"/>
            <w:shd w:val="clear" w:color="auto" w:fill="auto"/>
            <w:vAlign w:val="center"/>
          </w:tcPr>
          <w:p w14:paraId="0EC53E3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0.0018</w:t>
            </w:r>
          </w:p>
        </w:tc>
        <w:tc>
          <w:tcPr>
            <w:tcW w:w="916" w:type="dxa"/>
            <w:shd w:val="clear" w:color="auto" w:fill="auto"/>
            <w:vAlign w:val="center"/>
          </w:tcPr>
          <w:p w14:paraId="07271D8B">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0.6124</w:t>
            </w:r>
          </w:p>
        </w:tc>
      </w:tr>
      <w:tr w14:paraId="1401AE1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1BD85B1C">
            <w:pPr>
              <w:widowControl/>
              <w:adjustRightInd w:val="0"/>
              <w:snapToGrid w:val="0"/>
              <w:jc w:val="center"/>
              <w:rPr>
                <w:color w:val="auto"/>
                <w:sz w:val="21"/>
                <w:szCs w:val="21"/>
                <w:lang w:val="en-US" w:eastAsia="zh-CN"/>
              </w:rPr>
            </w:pPr>
            <w:r>
              <w:rPr>
                <w:color w:val="auto"/>
                <w:sz w:val="21"/>
                <w:szCs w:val="21"/>
              </w:rPr>
              <w:t>600.0</w:t>
            </w:r>
          </w:p>
        </w:tc>
        <w:tc>
          <w:tcPr>
            <w:tcW w:w="915" w:type="dxa"/>
            <w:shd w:val="clear" w:color="auto" w:fill="auto"/>
            <w:vAlign w:val="center"/>
          </w:tcPr>
          <w:p w14:paraId="576234E5">
            <w:pPr>
              <w:widowControl/>
              <w:adjustRightInd w:val="0"/>
              <w:snapToGrid w:val="0"/>
              <w:jc w:val="center"/>
              <w:rPr>
                <w:color w:val="auto"/>
                <w:sz w:val="21"/>
                <w:szCs w:val="21"/>
                <w:lang w:val="en-US" w:eastAsia="zh-CN"/>
              </w:rPr>
            </w:pPr>
            <w:r>
              <w:rPr>
                <w:color w:val="auto"/>
                <w:sz w:val="21"/>
                <w:szCs w:val="21"/>
              </w:rPr>
              <w:t>0.8239</w:t>
            </w:r>
          </w:p>
        </w:tc>
        <w:tc>
          <w:tcPr>
            <w:tcW w:w="915" w:type="dxa"/>
            <w:shd w:val="clear" w:color="auto" w:fill="auto"/>
            <w:vAlign w:val="center"/>
          </w:tcPr>
          <w:p w14:paraId="19470CA5">
            <w:pPr>
              <w:widowControl/>
              <w:adjustRightInd w:val="0"/>
              <w:snapToGrid w:val="0"/>
              <w:jc w:val="center"/>
              <w:rPr>
                <w:color w:val="auto"/>
                <w:sz w:val="21"/>
                <w:szCs w:val="21"/>
                <w:lang w:val="en-US" w:eastAsia="zh-CN"/>
              </w:rPr>
            </w:pPr>
            <w:r>
              <w:rPr>
                <w:color w:val="auto"/>
                <w:sz w:val="21"/>
                <w:szCs w:val="21"/>
              </w:rPr>
              <w:t>0.1648</w:t>
            </w:r>
          </w:p>
        </w:tc>
        <w:tc>
          <w:tcPr>
            <w:tcW w:w="915" w:type="dxa"/>
            <w:shd w:val="clear" w:color="auto" w:fill="auto"/>
            <w:vAlign w:val="center"/>
          </w:tcPr>
          <w:p w14:paraId="0190884A">
            <w:pPr>
              <w:widowControl/>
              <w:adjustRightInd w:val="0"/>
              <w:snapToGrid w:val="0"/>
              <w:jc w:val="center"/>
              <w:rPr>
                <w:rFonts w:eastAsia="宋体"/>
                <w:color w:val="auto"/>
                <w:sz w:val="21"/>
                <w:szCs w:val="21"/>
                <w:lang w:val="en-US" w:eastAsia="zh-CN"/>
              </w:rPr>
            </w:pPr>
            <w:r>
              <w:rPr>
                <w:rFonts w:eastAsia="宋体"/>
                <w:color w:val="auto"/>
                <w:sz w:val="21"/>
                <w:szCs w:val="21"/>
              </w:rPr>
              <w:t>1.1484</w:t>
            </w:r>
          </w:p>
        </w:tc>
        <w:tc>
          <w:tcPr>
            <w:tcW w:w="915" w:type="dxa"/>
            <w:shd w:val="clear" w:color="auto" w:fill="auto"/>
            <w:vAlign w:val="center"/>
          </w:tcPr>
          <w:p w14:paraId="7000C203">
            <w:pPr>
              <w:widowControl/>
              <w:adjustRightInd w:val="0"/>
              <w:snapToGrid w:val="0"/>
              <w:jc w:val="center"/>
              <w:rPr>
                <w:rFonts w:eastAsia="宋体"/>
                <w:color w:val="auto"/>
                <w:sz w:val="21"/>
                <w:szCs w:val="21"/>
                <w:lang w:val="en-US" w:eastAsia="zh-CN"/>
              </w:rPr>
            </w:pPr>
            <w:r>
              <w:rPr>
                <w:rFonts w:eastAsia="宋体"/>
                <w:color w:val="auto"/>
                <w:sz w:val="21"/>
                <w:szCs w:val="21"/>
              </w:rPr>
              <w:t>0.4594</w:t>
            </w:r>
          </w:p>
        </w:tc>
        <w:tc>
          <w:tcPr>
            <w:tcW w:w="916" w:type="dxa"/>
            <w:shd w:val="clear" w:color="auto" w:fill="auto"/>
            <w:vAlign w:val="center"/>
          </w:tcPr>
          <w:p w14:paraId="22568561">
            <w:pPr>
              <w:widowControl/>
              <w:adjustRightInd w:val="0"/>
              <w:snapToGrid w:val="0"/>
              <w:jc w:val="center"/>
              <w:rPr>
                <w:color w:val="auto"/>
                <w:sz w:val="21"/>
                <w:szCs w:val="21"/>
                <w:lang w:val="en-US" w:eastAsia="zh-CN"/>
              </w:rPr>
            </w:pPr>
            <w:r>
              <w:rPr>
                <w:color w:val="auto"/>
                <w:sz w:val="21"/>
                <w:szCs w:val="21"/>
              </w:rPr>
              <w:t>0.0083</w:t>
            </w:r>
          </w:p>
        </w:tc>
        <w:tc>
          <w:tcPr>
            <w:tcW w:w="916" w:type="dxa"/>
            <w:shd w:val="clear" w:color="auto" w:fill="auto"/>
            <w:vAlign w:val="center"/>
          </w:tcPr>
          <w:p w14:paraId="4F79D99D">
            <w:pPr>
              <w:widowControl/>
              <w:adjustRightInd w:val="0"/>
              <w:snapToGrid w:val="0"/>
              <w:jc w:val="center"/>
              <w:rPr>
                <w:color w:val="auto"/>
                <w:sz w:val="21"/>
                <w:szCs w:val="21"/>
                <w:lang w:val="en-US" w:eastAsia="zh-CN"/>
              </w:rPr>
            </w:pPr>
            <w:r>
              <w:rPr>
                <w:color w:val="auto"/>
                <w:sz w:val="21"/>
                <w:szCs w:val="21"/>
              </w:rPr>
              <w:t>0.0009</w:t>
            </w:r>
          </w:p>
        </w:tc>
        <w:tc>
          <w:tcPr>
            <w:tcW w:w="916" w:type="dxa"/>
            <w:shd w:val="clear" w:color="auto" w:fill="auto"/>
            <w:vAlign w:val="center"/>
          </w:tcPr>
          <w:p w14:paraId="4CC98B0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0.0017</w:t>
            </w:r>
          </w:p>
        </w:tc>
        <w:tc>
          <w:tcPr>
            <w:tcW w:w="916" w:type="dxa"/>
            <w:shd w:val="clear" w:color="auto" w:fill="auto"/>
            <w:vAlign w:val="center"/>
          </w:tcPr>
          <w:p w14:paraId="5A3F6BE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0.5548</w:t>
            </w:r>
          </w:p>
        </w:tc>
      </w:tr>
      <w:tr w14:paraId="344BDC65">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2DC6DC16">
            <w:pPr>
              <w:widowControl/>
              <w:adjustRightInd w:val="0"/>
              <w:snapToGrid w:val="0"/>
              <w:jc w:val="center"/>
              <w:rPr>
                <w:color w:val="auto"/>
                <w:sz w:val="21"/>
                <w:szCs w:val="21"/>
                <w:lang w:val="en-US" w:eastAsia="zh-CN"/>
              </w:rPr>
            </w:pPr>
            <w:r>
              <w:rPr>
                <w:color w:val="auto"/>
                <w:sz w:val="21"/>
                <w:szCs w:val="21"/>
              </w:rPr>
              <w:t>700.0</w:t>
            </w:r>
          </w:p>
        </w:tc>
        <w:tc>
          <w:tcPr>
            <w:tcW w:w="915" w:type="dxa"/>
            <w:shd w:val="clear" w:color="auto" w:fill="auto"/>
            <w:vAlign w:val="center"/>
          </w:tcPr>
          <w:p w14:paraId="2E3A8AA3">
            <w:pPr>
              <w:widowControl/>
              <w:adjustRightInd w:val="0"/>
              <w:snapToGrid w:val="0"/>
              <w:jc w:val="center"/>
              <w:rPr>
                <w:color w:val="auto"/>
                <w:sz w:val="21"/>
                <w:szCs w:val="21"/>
                <w:lang w:val="en-US" w:eastAsia="zh-CN"/>
              </w:rPr>
            </w:pPr>
            <w:r>
              <w:rPr>
                <w:color w:val="auto"/>
                <w:sz w:val="21"/>
                <w:szCs w:val="21"/>
              </w:rPr>
              <w:t>0.7456</w:t>
            </w:r>
          </w:p>
        </w:tc>
        <w:tc>
          <w:tcPr>
            <w:tcW w:w="915" w:type="dxa"/>
            <w:shd w:val="clear" w:color="auto" w:fill="auto"/>
            <w:vAlign w:val="center"/>
          </w:tcPr>
          <w:p w14:paraId="787FBB82">
            <w:pPr>
              <w:widowControl/>
              <w:adjustRightInd w:val="0"/>
              <w:snapToGrid w:val="0"/>
              <w:jc w:val="center"/>
              <w:rPr>
                <w:color w:val="auto"/>
                <w:sz w:val="21"/>
                <w:szCs w:val="21"/>
                <w:lang w:val="en-US" w:eastAsia="zh-CN"/>
              </w:rPr>
            </w:pPr>
            <w:r>
              <w:rPr>
                <w:color w:val="auto"/>
                <w:sz w:val="21"/>
                <w:szCs w:val="21"/>
              </w:rPr>
              <w:t>0.1491</w:t>
            </w:r>
          </w:p>
        </w:tc>
        <w:tc>
          <w:tcPr>
            <w:tcW w:w="915" w:type="dxa"/>
            <w:shd w:val="clear" w:color="auto" w:fill="auto"/>
            <w:vAlign w:val="center"/>
          </w:tcPr>
          <w:p w14:paraId="311ECFAD">
            <w:pPr>
              <w:widowControl/>
              <w:adjustRightInd w:val="0"/>
              <w:snapToGrid w:val="0"/>
              <w:jc w:val="center"/>
              <w:rPr>
                <w:rFonts w:eastAsia="宋体"/>
                <w:color w:val="auto"/>
                <w:sz w:val="21"/>
                <w:szCs w:val="21"/>
                <w:lang w:val="en-US" w:eastAsia="zh-CN"/>
              </w:rPr>
            </w:pPr>
            <w:r>
              <w:rPr>
                <w:rFonts w:eastAsia="宋体"/>
                <w:color w:val="auto"/>
                <w:sz w:val="21"/>
                <w:szCs w:val="21"/>
              </w:rPr>
              <w:t>1.0393</w:t>
            </w:r>
          </w:p>
        </w:tc>
        <w:tc>
          <w:tcPr>
            <w:tcW w:w="915" w:type="dxa"/>
            <w:shd w:val="clear" w:color="auto" w:fill="auto"/>
            <w:vAlign w:val="center"/>
          </w:tcPr>
          <w:p w14:paraId="28D17981">
            <w:pPr>
              <w:widowControl/>
              <w:adjustRightInd w:val="0"/>
              <w:snapToGrid w:val="0"/>
              <w:jc w:val="center"/>
              <w:rPr>
                <w:rFonts w:eastAsia="宋体"/>
                <w:color w:val="auto"/>
                <w:sz w:val="21"/>
                <w:szCs w:val="21"/>
                <w:lang w:val="en-US" w:eastAsia="zh-CN"/>
              </w:rPr>
            </w:pPr>
            <w:r>
              <w:rPr>
                <w:rFonts w:eastAsia="宋体"/>
                <w:color w:val="auto"/>
                <w:sz w:val="21"/>
                <w:szCs w:val="21"/>
              </w:rPr>
              <w:t>0.4157</w:t>
            </w:r>
          </w:p>
        </w:tc>
        <w:tc>
          <w:tcPr>
            <w:tcW w:w="916" w:type="dxa"/>
            <w:shd w:val="clear" w:color="auto" w:fill="auto"/>
            <w:vAlign w:val="center"/>
          </w:tcPr>
          <w:p w14:paraId="6F103A28">
            <w:pPr>
              <w:widowControl/>
              <w:adjustRightInd w:val="0"/>
              <w:snapToGrid w:val="0"/>
              <w:jc w:val="center"/>
              <w:rPr>
                <w:color w:val="auto"/>
                <w:sz w:val="21"/>
                <w:szCs w:val="21"/>
                <w:lang w:val="en-US" w:eastAsia="zh-CN"/>
              </w:rPr>
            </w:pPr>
            <w:r>
              <w:rPr>
                <w:color w:val="auto"/>
                <w:sz w:val="21"/>
                <w:szCs w:val="21"/>
              </w:rPr>
              <w:t>0.0075</w:t>
            </w:r>
          </w:p>
        </w:tc>
        <w:tc>
          <w:tcPr>
            <w:tcW w:w="916" w:type="dxa"/>
            <w:shd w:val="clear" w:color="auto" w:fill="auto"/>
            <w:vAlign w:val="center"/>
          </w:tcPr>
          <w:p w14:paraId="1C5687E9">
            <w:pPr>
              <w:widowControl/>
              <w:adjustRightInd w:val="0"/>
              <w:snapToGrid w:val="0"/>
              <w:jc w:val="center"/>
              <w:rPr>
                <w:color w:val="auto"/>
                <w:sz w:val="21"/>
                <w:szCs w:val="21"/>
                <w:lang w:val="en-US" w:eastAsia="zh-CN"/>
              </w:rPr>
            </w:pPr>
            <w:r>
              <w:rPr>
                <w:color w:val="auto"/>
                <w:sz w:val="21"/>
                <w:szCs w:val="21"/>
              </w:rPr>
              <w:t>0.0008</w:t>
            </w:r>
          </w:p>
        </w:tc>
        <w:tc>
          <w:tcPr>
            <w:tcW w:w="916" w:type="dxa"/>
            <w:shd w:val="clear" w:color="auto" w:fill="auto"/>
            <w:vAlign w:val="center"/>
          </w:tcPr>
          <w:p w14:paraId="1186486E">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0.0015</w:t>
            </w:r>
          </w:p>
        </w:tc>
        <w:tc>
          <w:tcPr>
            <w:tcW w:w="916" w:type="dxa"/>
            <w:shd w:val="clear" w:color="auto" w:fill="auto"/>
            <w:vAlign w:val="center"/>
          </w:tcPr>
          <w:p w14:paraId="18E42E4C">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0.5021</w:t>
            </w:r>
          </w:p>
        </w:tc>
      </w:tr>
      <w:tr w14:paraId="51C2293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0B5ED1B3">
            <w:pPr>
              <w:widowControl/>
              <w:adjustRightInd w:val="0"/>
              <w:snapToGrid w:val="0"/>
              <w:jc w:val="center"/>
              <w:rPr>
                <w:color w:val="auto"/>
                <w:sz w:val="21"/>
                <w:szCs w:val="21"/>
                <w:lang w:val="en-US" w:eastAsia="zh-CN"/>
              </w:rPr>
            </w:pPr>
            <w:r>
              <w:rPr>
                <w:color w:val="auto"/>
                <w:sz w:val="21"/>
                <w:szCs w:val="21"/>
              </w:rPr>
              <w:t>800.0</w:t>
            </w:r>
          </w:p>
        </w:tc>
        <w:tc>
          <w:tcPr>
            <w:tcW w:w="915" w:type="dxa"/>
            <w:shd w:val="clear" w:color="auto" w:fill="auto"/>
            <w:vAlign w:val="center"/>
          </w:tcPr>
          <w:p w14:paraId="23D56804">
            <w:pPr>
              <w:widowControl/>
              <w:adjustRightInd w:val="0"/>
              <w:snapToGrid w:val="0"/>
              <w:jc w:val="center"/>
              <w:rPr>
                <w:color w:val="auto"/>
                <w:sz w:val="21"/>
                <w:szCs w:val="21"/>
                <w:lang w:val="en-US" w:eastAsia="zh-CN"/>
              </w:rPr>
            </w:pPr>
            <w:r>
              <w:rPr>
                <w:color w:val="auto"/>
                <w:sz w:val="21"/>
                <w:szCs w:val="21"/>
              </w:rPr>
              <w:t>0.6773</w:t>
            </w:r>
          </w:p>
        </w:tc>
        <w:tc>
          <w:tcPr>
            <w:tcW w:w="915" w:type="dxa"/>
            <w:shd w:val="clear" w:color="auto" w:fill="auto"/>
            <w:vAlign w:val="center"/>
          </w:tcPr>
          <w:p w14:paraId="52EE3F36">
            <w:pPr>
              <w:widowControl/>
              <w:adjustRightInd w:val="0"/>
              <w:snapToGrid w:val="0"/>
              <w:jc w:val="center"/>
              <w:rPr>
                <w:color w:val="auto"/>
                <w:sz w:val="21"/>
                <w:szCs w:val="21"/>
                <w:lang w:val="en-US" w:eastAsia="zh-CN"/>
              </w:rPr>
            </w:pPr>
            <w:r>
              <w:rPr>
                <w:color w:val="auto"/>
                <w:sz w:val="21"/>
                <w:szCs w:val="21"/>
              </w:rPr>
              <w:t>0.1355</w:t>
            </w:r>
          </w:p>
        </w:tc>
        <w:tc>
          <w:tcPr>
            <w:tcW w:w="915" w:type="dxa"/>
            <w:shd w:val="clear" w:color="auto" w:fill="auto"/>
            <w:vAlign w:val="center"/>
          </w:tcPr>
          <w:p w14:paraId="3340CCB0">
            <w:pPr>
              <w:widowControl/>
              <w:adjustRightInd w:val="0"/>
              <w:snapToGrid w:val="0"/>
              <w:jc w:val="center"/>
              <w:rPr>
                <w:rFonts w:eastAsia="宋体"/>
                <w:color w:val="auto"/>
                <w:sz w:val="21"/>
                <w:szCs w:val="21"/>
                <w:lang w:val="en-US" w:eastAsia="zh-CN"/>
              </w:rPr>
            </w:pPr>
            <w:r>
              <w:rPr>
                <w:rFonts w:eastAsia="宋体"/>
                <w:color w:val="auto"/>
                <w:sz w:val="21"/>
                <w:szCs w:val="21"/>
              </w:rPr>
              <w:t>0.9441</w:t>
            </w:r>
          </w:p>
        </w:tc>
        <w:tc>
          <w:tcPr>
            <w:tcW w:w="915" w:type="dxa"/>
            <w:shd w:val="clear" w:color="auto" w:fill="auto"/>
            <w:vAlign w:val="center"/>
          </w:tcPr>
          <w:p w14:paraId="6F7D88B3">
            <w:pPr>
              <w:widowControl/>
              <w:adjustRightInd w:val="0"/>
              <w:snapToGrid w:val="0"/>
              <w:jc w:val="center"/>
              <w:rPr>
                <w:rFonts w:eastAsia="宋体"/>
                <w:color w:val="auto"/>
                <w:sz w:val="21"/>
                <w:szCs w:val="21"/>
                <w:lang w:val="en-US" w:eastAsia="zh-CN"/>
              </w:rPr>
            </w:pPr>
            <w:r>
              <w:rPr>
                <w:rFonts w:eastAsia="宋体"/>
                <w:color w:val="auto"/>
                <w:sz w:val="21"/>
                <w:szCs w:val="21"/>
              </w:rPr>
              <w:t>0.3776</w:t>
            </w:r>
          </w:p>
        </w:tc>
        <w:tc>
          <w:tcPr>
            <w:tcW w:w="916" w:type="dxa"/>
            <w:shd w:val="clear" w:color="auto" w:fill="auto"/>
            <w:vAlign w:val="center"/>
          </w:tcPr>
          <w:p w14:paraId="0C4738A7">
            <w:pPr>
              <w:widowControl/>
              <w:adjustRightInd w:val="0"/>
              <w:snapToGrid w:val="0"/>
              <w:jc w:val="center"/>
              <w:rPr>
                <w:color w:val="auto"/>
                <w:sz w:val="21"/>
                <w:szCs w:val="21"/>
                <w:lang w:val="en-US" w:eastAsia="zh-CN"/>
              </w:rPr>
            </w:pPr>
            <w:r>
              <w:rPr>
                <w:color w:val="auto"/>
                <w:sz w:val="21"/>
                <w:szCs w:val="21"/>
              </w:rPr>
              <w:t>0.0068</w:t>
            </w:r>
          </w:p>
        </w:tc>
        <w:tc>
          <w:tcPr>
            <w:tcW w:w="916" w:type="dxa"/>
            <w:shd w:val="clear" w:color="auto" w:fill="auto"/>
            <w:vAlign w:val="center"/>
          </w:tcPr>
          <w:p w14:paraId="22FABADF">
            <w:pPr>
              <w:widowControl/>
              <w:adjustRightInd w:val="0"/>
              <w:snapToGrid w:val="0"/>
              <w:jc w:val="center"/>
              <w:rPr>
                <w:color w:val="auto"/>
                <w:sz w:val="21"/>
                <w:szCs w:val="21"/>
                <w:lang w:val="en-US" w:eastAsia="zh-CN"/>
              </w:rPr>
            </w:pPr>
            <w:r>
              <w:rPr>
                <w:color w:val="auto"/>
                <w:sz w:val="21"/>
                <w:szCs w:val="21"/>
              </w:rPr>
              <w:t>0.0008</w:t>
            </w:r>
          </w:p>
        </w:tc>
        <w:tc>
          <w:tcPr>
            <w:tcW w:w="916" w:type="dxa"/>
            <w:shd w:val="clear" w:color="auto" w:fill="auto"/>
            <w:vAlign w:val="center"/>
          </w:tcPr>
          <w:p w14:paraId="2FEE87B8">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0.0014</w:t>
            </w:r>
          </w:p>
        </w:tc>
        <w:tc>
          <w:tcPr>
            <w:tcW w:w="916" w:type="dxa"/>
            <w:shd w:val="clear" w:color="auto" w:fill="auto"/>
            <w:vAlign w:val="center"/>
          </w:tcPr>
          <w:p w14:paraId="0A2F86DE">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0.4561</w:t>
            </w:r>
          </w:p>
        </w:tc>
      </w:tr>
      <w:tr w14:paraId="2661CDB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32019BBF">
            <w:pPr>
              <w:widowControl/>
              <w:adjustRightInd w:val="0"/>
              <w:snapToGrid w:val="0"/>
              <w:jc w:val="center"/>
              <w:rPr>
                <w:color w:val="auto"/>
                <w:sz w:val="21"/>
                <w:szCs w:val="21"/>
                <w:lang w:val="en-US" w:eastAsia="zh-CN"/>
              </w:rPr>
            </w:pPr>
            <w:r>
              <w:rPr>
                <w:color w:val="auto"/>
                <w:sz w:val="21"/>
                <w:szCs w:val="21"/>
              </w:rPr>
              <w:t>900.0</w:t>
            </w:r>
          </w:p>
        </w:tc>
        <w:tc>
          <w:tcPr>
            <w:tcW w:w="915" w:type="dxa"/>
            <w:shd w:val="clear" w:color="auto" w:fill="auto"/>
            <w:vAlign w:val="center"/>
          </w:tcPr>
          <w:p w14:paraId="5F868A37">
            <w:pPr>
              <w:widowControl/>
              <w:adjustRightInd w:val="0"/>
              <w:snapToGrid w:val="0"/>
              <w:jc w:val="center"/>
              <w:rPr>
                <w:color w:val="auto"/>
                <w:sz w:val="21"/>
                <w:szCs w:val="21"/>
                <w:lang w:val="en-US" w:eastAsia="zh-CN"/>
              </w:rPr>
            </w:pPr>
            <w:r>
              <w:rPr>
                <w:color w:val="auto"/>
                <w:sz w:val="21"/>
                <w:szCs w:val="21"/>
              </w:rPr>
              <w:t>0.6208</w:t>
            </w:r>
          </w:p>
        </w:tc>
        <w:tc>
          <w:tcPr>
            <w:tcW w:w="915" w:type="dxa"/>
            <w:shd w:val="clear" w:color="auto" w:fill="auto"/>
            <w:vAlign w:val="center"/>
          </w:tcPr>
          <w:p w14:paraId="4E0A0293">
            <w:pPr>
              <w:widowControl/>
              <w:adjustRightInd w:val="0"/>
              <w:snapToGrid w:val="0"/>
              <w:jc w:val="center"/>
              <w:rPr>
                <w:color w:val="auto"/>
                <w:sz w:val="21"/>
                <w:szCs w:val="21"/>
                <w:lang w:val="en-US" w:eastAsia="zh-CN"/>
              </w:rPr>
            </w:pPr>
            <w:r>
              <w:rPr>
                <w:color w:val="auto"/>
                <w:sz w:val="21"/>
                <w:szCs w:val="21"/>
              </w:rPr>
              <w:t>0.1242</w:t>
            </w:r>
          </w:p>
        </w:tc>
        <w:tc>
          <w:tcPr>
            <w:tcW w:w="915" w:type="dxa"/>
            <w:shd w:val="clear" w:color="auto" w:fill="auto"/>
            <w:vAlign w:val="center"/>
          </w:tcPr>
          <w:p w14:paraId="09BB4918">
            <w:pPr>
              <w:widowControl/>
              <w:adjustRightInd w:val="0"/>
              <w:snapToGrid w:val="0"/>
              <w:jc w:val="center"/>
              <w:rPr>
                <w:rFonts w:eastAsia="宋体"/>
                <w:color w:val="auto"/>
                <w:sz w:val="21"/>
                <w:szCs w:val="21"/>
                <w:lang w:val="en-US" w:eastAsia="zh-CN"/>
              </w:rPr>
            </w:pPr>
            <w:r>
              <w:rPr>
                <w:rFonts w:eastAsia="宋体"/>
                <w:color w:val="auto"/>
                <w:sz w:val="21"/>
                <w:szCs w:val="21"/>
              </w:rPr>
              <w:t>0.8654</w:t>
            </w:r>
          </w:p>
        </w:tc>
        <w:tc>
          <w:tcPr>
            <w:tcW w:w="915" w:type="dxa"/>
            <w:shd w:val="clear" w:color="auto" w:fill="auto"/>
            <w:vAlign w:val="center"/>
          </w:tcPr>
          <w:p w14:paraId="0E36A88F">
            <w:pPr>
              <w:widowControl/>
              <w:adjustRightInd w:val="0"/>
              <w:snapToGrid w:val="0"/>
              <w:jc w:val="center"/>
              <w:rPr>
                <w:rFonts w:eastAsia="宋体"/>
                <w:color w:val="auto"/>
                <w:sz w:val="21"/>
                <w:szCs w:val="21"/>
                <w:lang w:val="en-US" w:eastAsia="zh-CN"/>
              </w:rPr>
            </w:pPr>
            <w:r>
              <w:rPr>
                <w:rFonts w:eastAsia="宋体"/>
                <w:color w:val="auto"/>
                <w:sz w:val="21"/>
                <w:szCs w:val="21"/>
              </w:rPr>
              <w:t>0.3462</w:t>
            </w:r>
          </w:p>
        </w:tc>
        <w:tc>
          <w:tcPr>
            <w:tcW w:w="916" w:type="dxa"/>
            <w:shd w:val="clear" w:color="auto" w:fill="auto"/>
            <w:vAlign w:val="center"/>
          </w:tcPr>
          <w:p w14:paraId="084DA402">
            <w:pPr>
              <w:widowControl/>
              <w:adjustRightInd w:val="0"/>
              <w:snapToGrid w:val="0"/>
              <w:jc w:val="center"/>
              <w:rPr>
                <w:color w:val="auto"/>
                <w:sz w:val="21"/>
                <w:szCs w:val="21"/>
                <w:lang w:val="en-US" w:eastAsia="zh-CN"/>
              </w:rPr>
            </w:pPr>
            <w:r>
              <w:rPr>
                <w:color w:val="auto"/>
                <w:sz w:val="21"/>
                <w:szCs w:val="21"/>
              </w:rPr>
              <w:t>0.0063</w:t>
            </w:r>
          </w:p>
        </w:tc>
        <w:tc>
          <w:tcPr>
            <w:tcW w:w="916" w:type="dxa"/>
            <w:shd w:val="clear" w:color="auto" w:fill="auto"/>
            <w:vAlign w:val="center"/>
          </w:tcPr>
          <w:p w14:paraId="7DF49EBC">
            <w:pPr>
              <w:widowControl/>
              <w:adjustRightInd w:val="0"/>
              <w:snapToGrid w:val="0"/>
              <w:jc w:val="center"/>
              <w:rPr>
                <w:color w:val="auto"/>
                <w:sz w:val="21"/>
                <w:szCs w:val="21"/>
                <w:lang w:val="en-US" w:eastAsia="zh-CN"/>
              </w:rPr>
            </w:pPr>
            <w:r>
              <w:rPr>
                <w:color w:val="auto"/>
                <w:sz w:val="21"/>
                <w:szCs w:val="21"/>
              </w:rPr>
              <w:t>0.0007</w:t>
            </w:r>
          </w:p>
        </w:tc>
        <w:tc>
          <w:tcPr>
            <w:tcW w:w="916" w:type="dxa"/>
            <w:shd w:val="clear" w:color="auto" w:fill="auto"/>
            <w:vAlign w:val="center"/>
          </w:tcPr>
          <w:p w14:paraId="1608EDA7">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0.0013</w:t>
            </w:r>
          </w:p>
        </w:tc>
        <w:tc>
          <w:tcPr>
            <w:tcW w:w="916" w:type="dxa"/>
            <w:shd w:val="clear" w:color="auto" w:fill="auto"/>
            <w:vAlign w:val="center"/>
          </w:tcPr>
          <w:p w14:paraId="2C51BE4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0.4181</w:t>
            </w:r>
          </w:p>
        </w:tc>
      </w:tr>
      <w:tr w14:paraId="43B8E75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61641FCE">
            <w:pPr>
              <w:widowControl/>
              <w:adjustRightInd w:val="0"/>
              <w:snapToGrid w:val="0"/>
              <w:jc w:val="center"/>
              <w:rPr>
                <w:color w:val="auto"/>
                <w:sz w:val="21"/>
                <w:szCs w:val="21"/>
                <w:lang w:val="en-US" w:eastAsia="zh-CN"/>
              </w:rPr>
            </w:pPr>
            <w:r>
              <w:rPr>
                <w:color w:val="auto"/>
                <w:sz w:val="21"/>
                <w:szCs w:val="21"/>
              </w:rPr>
              <w:t>1000.0</w:t>
            </w:r>
          </w:p>
        </w:tc>
        <w:tc>
          <w:tcPr>
            <w:tcW w:w="915" w:type="dxa"/>
            <w:shd w:val="clear" w:color="auto" w:fill="auto"/>
            <w:vAlign w:val="center"/>
          </w:tcPr>
          <w:p w14:paraId="73D86842">
            <w:pPr>
              <w:widowControl/>
              <w:adjustRightInd w:val="0"/>
              <w:snapToGrid w:val="0"/>
              <w:jc w:val="center"/>
              <w:rPr>
                <w:color w:val="auto"/>
                <w:sz w:val="21"/>
                <w:szCs w:val="21"/>
                <w:lang w:val="en-US" w:eastAsia="zh-CN"/>
              </w:rPr>
            </w:pPr>
            <w:r>
              <w:rPr>
                <w:color w:val="auto"/>
                <w:sz w:val="21"/>
                <w:szCs w:val="21"/>
              </w:rPr>
              <w:t>0.5714</w:t>
            </w:r>
          </w:p>
        </w:tc>
        <w:tc>
          <w:tcPr>
            <w:tcW w:w="915" w:type="dxa"/>
            <w:shd w:val="clear" w:color="auto" w:fill="auto"/>
            <w:vAlign w:val="center"/>
          </w:tcPr>
          <w:p w14:paraId="6519B753">
            <w:pPr>
              <w:widowControl/>
              <w:adjustRightInd w:val="0"/>
              <w:snapToGrid w:val="0"/>
              <w:jc w:val="center"/>
              <w:rPr>
                <w:color w:val="auto"/>
                <w:sz w:val="21"/>
                <w:szCs w:val="21"/>
                <w:lang w:val="en-US" w:eastAsia="zh-CN"/>
              </w:rPr>
            </w:pPr>
            <w:r>
              <w:rPr>
                <w:color w:val="auto"/>
                <w:sz w:val="21"/>
                <w:szCs w:val="21"/>
              </w:rPr>
              <w:t>0.1143</w:t>
            </w:r>
          </w:p>
        </w:tc>
        <w:tc>
          <w:tcPr>
            <w:tcW w:w="915" w:type="dxa"/>
            <w:shd w:val="clear" w:color="auto" w:fill="auto"/>
            <w:vAlign w:val="center"/>
          </w:tcPr>
          <w:p w14:paraId="68C3C734">
            <w:pPr>
              <w:widowControl/>
              <w:adjustRightInd w:val="0"/>
              <w:snapToGrid w:val="0"/>
              <w:jc w:val="center"/>
              <w:rPr>
                <w:rFonts w:eastAsia="宋体"/>
                <w:color w:val="auto"/>
                <w:sz w:val="21"/>
                <w:szCs w:val="21"/>
                <w:lang w:val="en-US" w:eastAsia="zh-CN"/>
              </w:rPr>
            </w:pPr>
            <w:r>
              <w:rPr>
                <w:rFonts w:eastAsia="宋体"/>
                <w:color w:val="auto"/>
                <w:sz w:val="21"/>
                <w:szCs w:val="21"/>
              </w:rPr>
              <w:t>0.7965</w:t>
            </w:r>
          </w:p>
        </w:tc>
        <w:tc>
          <w:tcPr>
            <w:tcW w:w="915" w:type="dxa"/>
            <w:shd w:val="clear" w:color="auto" w:fill="auto"/>
            <w:vAlign w:val="center"/>
          </w:tcPr>
          <w:p w14:paraId="1F321AFB">
            <w:pPr>
              <w:widowControl/>
              <w:adjustRightInd w:val="0"/>
              <w:snapToGrid w:val="0"/>
              <w:jc w:val="center"/>
              <w:rPr>
                <w:rFonts w:eastAsia="宋体"/>
                <w:color w:val="auto"/>
                <w:sz w:val="21"/>
                <w:szCs w:val="21"/>
                <w:lang w:val="en-US" w:eastAsia="zh-CN"/>
              </w:rPr>
            </w:pPr>
            <w:r>
              <w:rPr>
                <w:rFonts w:eastAsia="宋体"/>
                <w:color w:val="auto"/>
                <w:sz w:val="21"/>
                <w:szCs w:val="21"/>
              </w:rPr>
              <w:t>0.3186</w:t>
            </w:r>
          </w:p>
        </w:tc>
        <w:tc>
          <w:tcPr>
            <w:tcW w:w="916" w:type="dxa"/>
            <w:shd w:val="clear" w:color="auto" w:fill="auto"/>
            <w:vAlign w:val="center"/>
          </w:tcPr>
          <w:p w14:paraId="7BCCDC89">
            <w:pPr>
              <w:widowControl/>
              <w:adjustRightInd w:val="0"/>
              <w:snapToGrid w:val="0"/>
              <w:jc w:val="center"/>
              <w:rPr>
                <w:color w:val="auto"/>
                <w:sz w:val="21"/>
                <w:szCs w:val="21"/>
                <w:lang w:val="en-US" w:eastAsia="zh-CN"/>
              </w:rPr>
            </w:pPr>
            <w:r>
              <w:rPr>
                <w:color w:val="auto"/>
                <w:sz w:val="21"/>
                <w:szCs w:val="21"/>
              </w:rPr>
              <w:t>0.0058</w:t>
            </w:r>
          </w:p>
        </w:tc>
        <w:tc>
          <w:tcPr>
            <w:tcW w:w="916" w:type="dxa"/>
            <w:shd w:val="clear" w:color="auto" w:fill="auto"/>
            <w:vAlign w:val="center"/>
          </w:tcPr>
          <w:p w14:paraId="61B928CE">
            <w:pPr>
              <w:widowControl/>
              <w:adjustRightInd w:val="0"/>
              <w:snapToGrid w:val="0"/>
              <w:jc w:val="center"/>
              <w:rPr>
                <w:color w:val="auto"/>
                <w:sz w:val="21"/>
                <w:szCs w:val="21"/>
                <w:lang w:val="en-US" w:eastAsia="zh-CN"/>
              </w:rPr>
            </w:pPr>
            <w:r>
              <w:rPr>
                <w:color w:val="auto"/>
                <w:sz w:val="21"/>
                <w:szCs w:val="21"/>
              </w:rPr>
              <w:t>0.0006</w:t>
            </w:r>
          </w:p>
        </w:tc>
        <w:tc>
          <w:tcPr>
            <w:tcW w:w="916" w:type="dxa"/>
            <w:shd w:val="clear" w:color="auto" w:fill="auto"/>
            <w:vAlign w:val="center"/>
          </w:tcPr>
          <w:p w14:paraId="55442591">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0.0012</w:t>
            </w:r>
          </w:p>
        </w:tc>
        <w:tc>
          <w:tcPr>
            <w:tcW w:w="916" w:type="dxa"/>
            <w:shd w:val="clear" w:color="auto" w:fill="auto"/>
            <w:vAlign w:val="center"/>
          </w:tcPr>
          <w:p w14:paraId="1F7E3118">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0.3848</w:t>
            </w:r>
          </w:p>
        </w:tc>
      </w:tr>
      <w:tr w14:paraId="3C9D5DD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669364D5">
            <w:pPr>
              <w:widowControl/>
              <w:adjustRightInd w:val="0"/>
              <w:snapToGrid w:val="0"/>
              <w:jc w:val="center"/>
              <w:rPr>
                <w:color w:val="auto"/>
                <w:sz w:val="21"/>
                <w:szCs w:val="21"/>
                <w:lang w:val="en-US" w:eastAsia="zh-CN"/>
              </w:rPr>
            </w:pPr>
            <w:r>
              <w:rPr>
                <w:color w:val="auto"/>
                <w:sz w:val="21"/>
                <w:szCs w:val="21"/>
              </w:rPr>
              <w:t>2000.0</w:t>
            </w:r>
          </w:p>
        </w:tc>
        <w:tc>
          <w:tcPr>
            <w:tcW w:w="915" w:type="dxa"/>
            <w:shd w:val="clear" w:color="auto" w:fill="auto"/>
            <w:vAlign w:val="center"/>
          </w:tcPr>
          <w:p w14:paraId="1F754035">
            <w:pPr>
              <w:widowControl/>
              <w:adjustRightInd w:val="0"/>
              <w:snapToGrid w:val="0"/>
              <w:jc w:val="center"/>
              <w:rPr>
                <w:color w:val="auto"/>
                <w:sz w:val="21"/>
                <w:szCs w:val="21"/>
                <w:lang w:val="en-US" w:eastAsia="zh-CN"/>
              </w:rPr>
            </w:pPr>
            <w:r>
              <w:rPr>
                <w:color w:val="auto"/>
                <w:sz w:val="21"/>
                <w:szCs w:val="21"/>
              </w:rPr>
              <w:t>0.4298</w:t>
            </w:r>
          </w:p>
        </w:tc>
        <w:tc>
          <w:tcPr>
            <w:tcW w:w="915" w:type="dxa"/>
            <w:shd w:val="clear" w:color="auto" w:fill="auto"/>
            <w:vAlign w:val="center"/>
          </w:tcPr>
          <w:p w14:paraId="3C8B019A">
            <w:pPr>
              <w:widowControl/>
              <w:adjustRightInd w:val="0"/>
              <w:snapToGrid w:val="0"/>
              <w:jc w:val="center"/>
              <w:rPr>
                <w:color w:val="auto"/>
                <w:sz w:val="21"/>
                <w:szCs w:val="21"/>
                <w:lang w:val="en-US" w:eastAsia="zh-CN"/>
              </w:rPr>
            </w:pPr>
            <w:r>
              <w:rPr>
                <w:color w:val="auto"/>
                <w:sz w:val="21"/>
                <w:szCs w:val="21"/>
              </w:rPr>
              <w:t>0.0860</w:t>
            </w:r>
          </w:p>
        </w:tc>
        <w:tc>
          <w:tcPr>
            <w:tcW w:w="915" w:type="dxa"/>
            <w:shd w:val="clear" w:color="auto" w:fill="auto"/>
            <w:vAlign w:val="center"/>
          </w:tcPr>
          <w:p w14:paraId="416D54FD">
            <w:pPr>
              <w:widowControl/>
              <w:adjustRightInd w:val="0"/>
              <w:snapToGrid w:val="0"/>
              <w:jc w:val="center"/>
              <w:rPr>
                <w:rFonts w:eastAsia="宋体"/>
                <w:color w:val="auto"/>
                <w:sz w:val="21"/>
                <w:szCs w:val="21"/>
                <w:lang w:val="en-US" w:eastAsia="zh-CN"/>
              </w:rPr>
            </w:pPr>
            <w:r>
              <w:rPr>
                <w:rFonts w:eastAsia="宋体"/>
                <w:color w:val="auto"/>
                <w:sz w:val="21"/>
                <w:szCs w:val="21"/>
              </w:rPr>
              <w:t>0.5991</w:t>
            </w:r>
          </w:p>
        </w:tc>
        <w:tc>
          <w:tcPr>
            <w:tcW w:w="915" w:type="dxa"/>
            <w:shd w:val="clear" w:color="auto" w:fill="auto"/>
            <w:vAlign w:val="center"/>
          </w:tcPr>
          <w:p w14:paraId="152C4878">
            <w:pPr>
              <w:widowControl/>
              <w:adjustRightInd w:val="0"/>
              <w:snapToGrid w:val="0"/>
              <w:jc w:val="center"/>
              <w:rPr>
                <w:rFonts w:eastAsia="宋体"/>
                <w:color w:val="auto"/>
                <w:sz w:val="21"/>
                <w:szCs w:val="21"/>
                <w:lang w:val="en-US" w:eastAsia="zh-CN"/>
              </w:rPr>
            </w:pPr>
            <w:r>
              <w:rPr>
                <w:rFonts w:eastAsia="宋体"/>
                <w:color w:val="auto"/>
                <w:sz w:val="21"/>
                <w:szCs w:val="21"/>
              </w:rPr>
              <w:t>0.2396</w:t>
            </w:r>
          </w:p>
        </w:tc>
        <w:tc>
          <w:tcPr>
            <w:tcW w:w="916" w:type="dxa"/>
            <w:shd w:val="clear" w:color="auto" w:fill="auto"/>
            <w:vAlign w:val="center"/>
          </w:tcPr>
          <w:p w14:paraId="20416E8B">
            <w:pPr>
              <w:widowControl/>
              <w:adjustRightInd w:val="0"/>
              <w:snapToGrid w:val="0"/>
              <w:jc w:val="center"/>
              <w:rPr>
                <w:color w:val="auto"/>
                <w:sz w:val="21"/>
                <w:szCs w:val="21"/>
                <w:lang w:val="en-US" w:eastAsia="zh-CN"/>
              </w:rPr>
            </w:pPr>
            <w:r>
              <w:rPr>
                <w:color w:val="auto"/>
                <w:sz w:val="21"/>
                <w:szCs w:val="21"/>
              </w:rPr>
              <w:t>0.0043</w:t>
            </w:r>
          </w:p>
        </w:tc>
        <w:tc>
          <w:tcPr>
            <w:tcW w:w="916" w:type="dxa"/>
            <w:shd w:val="clear" w:color="auto" w:fill="auto"/>
            <w:vAlign w:val="center"/>
          </w:tcPr>
          <w:p w14:paraId="3DC8FA05">
            <w:pPr>
              <w:widowControl/>
              <w:adjustRightInd w:val="0"/>
              <w:snapToGrid w:val="0"/>
              <w:jc w:val="center"/>
              <w:rPr>
                <w:color w:val="auto"/>
                <w:sz w:val="21"/>
                <w:szCs w:val="21"/>
                <w:lang w:val="en-US" w:eastAsia="zh-CN"/>
              </w:rPr>
            </w:pPr>
            <w:r>
              <w:rPr>
                <w:color w:val="auto"/>
                <w:sz w:val="21"/>
                <w:szCs w:val="21"/>
              </w:rPr>
              <w:t>0.0005</w:t>
            </w:r>
          </w:p>
        </w:tc>
        <w:tc>
          <w:tcPr>
            <w:tcW w:w="916" w:type="dxa"/>
            <w:shd w:val="clear" w:color="auto" w:fill="auto"/>
            <w:vAlign w:val="center"/>
          </w:tcPr>
          <w:p w14:paraId="535C0CE8">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0.0009</w:t>
            </w:r>
          </w:p>
        </w:tc>
        <w:tc>
          <w:tcPr>
            <w:tcW w:w="916" w:type="dxa"/>
            <w:shd w:val="clear" w:color="auto" w:fill="auto"/>
            <w:vAlign w:val="center"/>
          </w:tcPr>
          <w:p w14:paraId="2DCDD61A">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0.2894</w:t>
            </w:r>
          </w:p>
        </w:tc>
      </w:tr>
      <w:tr w14:paraId="7911EE9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07275B44">
            <w:pPr>
              <w:widowControl/>
              <w:adjustRightInd w:val="0"/>
              <w:snapToGrid w:val="0"/>
              <w:jc w:val="center"/>
              <w:rPr>
                <w:color w:val="auto"/>
                <w:sz w:val="21"/>
                <w:szCs w:val="21"/>
                <w:lang w:val="en-US" w:eastAsia="zh-CN"/>
              </w:rPr>
            </w:pPr>
            <w:r>
              <w:rPr>
                <w:color w:val="auto"/>
                <w:sz w:val="21"/>
                <w:szCs w:val="21"/>
              </w:rPr>
              <w:t>3000.0</w:t>
            </w:r>
          </w:p>
        </w:tc>
        <w:tc>
          <w:tcPr>
            <w:tcW w:w="915" w:type="dxa"/>
            <w:shd w:val="clear" w:color="auto" w:fill="auto"/>
            <w:vAlign w:val="center"/>
          </w:tcPr>
          <w:p w14:paraId="37517E19">
            <w:pPr>
              <w:widowControl/>
              <w:adjustRightInd w:val="0"/>
              <w:snapToGrid w:val="0"/>
              <w:jc w:val="center"/>
              <w:rPr>
                <w:color w:val="auto"/>
                <w:sz w:val="21"/>
                <w:szCs w:val="21"/>
                <w:lang w:val="en-US" w:eastAsia="zh-CN"/>
              </w:rPr>
            </w:pPr>
            <w:r>
              <w:rPr>
                <w:color w:val="auto"/>
                <w:sz w:val="21"/>
                <w:szCs w:val="21"/>
              </w:rPr>
              <w:t>0.3243</w:t>
            </w:r>
          </w:p>
        </w:tc>
        <w:tc>
          <w:tcPr>
            <w:tcW w:w="915" w:type="dxa"/>
            <w:shd w:val="clear" w:color="auto" w:fill="auto"/>
            <w:vAlign w:val="center"/>
          </w:tcPr>
          <w:p w14:paraId="0EE2A725">
            <w:pPr>
              <w:widowControl/>
              <w:adjustRightInd w:val="0"/>
              <w:snapToGrid w:val="0"/>
              <w:jc w:val="center"/>
              <w:rPr>
                <w:color w:val="auto"/>
                <w:sz w:val="21"/>
                <w:szCs w:val="21"/>
                <w:lang w:val="en-US" w:eastAsia="zh-CN"/>
              </w:rPr>
            </w:pPr>
            <w:r>
              <w:rPr>
                <w:color w:val="auto"/>
                <w:sz w:val="21"/>
                <w:szCs w:val="21"/>
              </w:rPr>
              <w:t>0.0649</w:t>
            </w:r>
          </w:p>
        </w:tc>
        <w:tc>
          <w:tcPr>
            <w:tcW w:w="915" w:type="dxa"/>
            <w:shd w:val="clear" w:color="auto" w:fill="auto"/>
            <w:vAlign w:val="center"/>
          </w:tcPr>
          <w:p w14:paraId="5C27BAE9">
            <w:pPr>
              <w:widowControl/>
              <w:adjustRightInd w:val="0"/>
              <w:snapToGrid w:val="0"/>
              <w:jc w:val="center"/>
              <w:rPr>
                <w:rFonts w:eastAsia="宋体"/>
                <w:color w:val="auto"/>
                <w:sz w:val="21"/>
                <w:szCs w:val="21"/>
                <w:lang w:val="en-US" w:eastAsia="zh-CN"/>
              </w:rPr>
            </w:pPr>
            <w:r>
              <w:rPr>
                <w:rFonts w:eastAsia="宋体"/>
                <w:color w:val="auto"/>
                <w:sz w:val="21"/>
                <w:szCs w:val="21"/>
              </w:rPr>
              <w:t>0.4520</w:t>
            </w:r>
          </w:p>
        </w:tc>
        <w:tc>
          <w:tcPr>
            <w:tcW w:w="915" w:type="dxa"/>
            <w:shd w:val="clear" w:color="auto" w:fill="auto"/>
            <w:vAlign w:val="center"/>
          </w:tcPr>
          <w:p w14:paraId="57A4299B">
            <w:pPr>
              <w:widowControl/>
              <w:adjustRightInd w:val="0"/>
              <w:snapToGrid w:val="0"/>
              <w:jc w:val="center"/>
              <w:rPr>
                <w:rFonts w:eastAsia="宋体"/>
                <w:color w:val="auto"/>
                <w:sz w:val="21"/>
                <w:szCs w:val="21"/>
                <w:lang w:val="en-US" w:eastAsia="zh-CN"/>
              </w:rPr>
            </w:pPr>
            <w:r>
              <w:rPr>
                <w:rFonts w:eastAsia="宋体"/>
                <w:color w:val="auto"/>
                <w:sz w:val="21"/>
                <w:szCs w:val="21"/>
              </w:rPr>
              <w:t>0.1808</w:t>
            </w:r>
          </w:p>
        </w:tc>
        <w:tc>
          <w:tcPr>
            <w:tcW w:w="916" w:type="dxa"/>
            <w:shd w:val="clear" w:color="auto" w:fill="auto"/>
            <w:vAlign w:val="center"/>
          </w:tcPr>
          <w:p w14:paraId="157C93A2">
            <w:pPr>
              <w:widowControl/>
              <w:adjustRightInd w:val="0"/>
              <w:snapToGrid w:val="0"/>
              <w:jc w:val="center"/>
              <w:rPr>
                <w:color w:val="auto"/>
                <w:sz w:val="21"/>
                <w:szCs w:val="21"/>
                <w:lang w:val="en-US" w:eastAsia="zh-CN"/>
              </w:rPr>
            </w:pPr>
            <w:r>
              <w:rPr>
                <w:color w:val="auto"/>
                <w:sz w:val="21"/>
                <w:szCs w:val="21"/>
              </w:rPr>
              <w:t>0.0033</w:t>
            </w:r>
          </w:p>
        </w:tc>
        <w:tc>
          <w:tcPr>
            <w:tcW w:w="916" w:type="dxa"/>
            <w:shd w:val="clear" w:color="auto" w:fill="auto"/>
            <w:vAlign w:val="center"/>
          </w:tcPr>
          <w:p w14:paraId="2CE859EE">
            <w:pPr>
              <w:widowControl/>
              <w:adjustRightInd w:val="0"/>
              <w:snapToGrid w:val="0"/>
              <w:jc w:val="center"/>
              <w:rPr>
                <w:color w:val="auto"/>
                <w:sz w:val="21"/>
                <w:szCs w:val="21"/>
                <w:lang w:val="en-US" w:eastAsia="zh-CN"/>
              </w:rPr>
            </w:pPr>
            <w:r>
              <w:rPr>
                <w:color w:val="auto"/>
                <w:sz w:val="21"/>
                <w:szCs w:val="21"/>
              </w:rPr>
              <w:t>0.0004</w:t>
            </w:r>
          </w:p>
        </w:tc>
        <w:tc>
          <w:tcPr>
            <w:tcW w:w="916" w:type="dxa"/>
            <w:shd w:val="clear" w:color="auto" w:fill="auto"/>
            <w:vAlign w:val="center"/>
          </w:tcPr>
          <w:p w14:paraId="2A33EF3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0.0007</w:t>
            </w:r>
          </w:p>
        </w:tc>
        <w:tc>
          <w:tcPr>
            <w:tcW w:w="916" w:type="dxa"/>
            <w:shd w:val="clear" w:color="auto" w:fill="auto"/>
            <w:vAlign w:val="center"/>
          </w:tcPr>
          <w:p w14:paraId="79E1DC9B">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0.2184</w:t>
            </w:r>
          </w:p>
        </w:tc>
      </w:tr>
      <w:tr w14:paraId="2F1F6D9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6BB36CBD">
            <w:pPr>
              <w:widowControl/>
              <w:adjustRightInd w:val="0"/>
              <w:snapToGrid w:val="0"/>
              <w:jc w:val="center"/>
              <w:rPr>
                <w:color w:val="auto"/>
                <w:sz w:val="21"/>
                <w:szCs w:val="21"/>
                <w:lang w:val="en-US" w:eastAsia="zh-CN"/>
              </w:rPr>
            </w:pPr>
            <w:r>
              <w:rPr>
                <w:color w:val="auto"/>
                <w:sz w:val="21"/>
                <w:szCs w:val="21"/>
              </w:rPr>
              <w:t>4000.0</w:t>
            </w:r>
          </w:p>
        </w:tc>
        <w:tc>
          <w:tcPr>
            <w:tcW w:w="915" w:type="dxa"/>
            <w:shd w:val="clear" w:color="auto" w:fill="auto"/>
            <w:vAlign w:val="center"/>
          </w:tcPr>
          <w:p w14:paraId="7AD29C55">
            <w:pPr>
              <w:widowControl/>
              <w:adjustRightInd w:val="0"/>
              <w:snapToGrid w:val="0"/>
              <w:jc w:val="center"/>
              <w:rPr>
                <w:color w:val="auto"/>
                <w:sz w:val="21"/>
                <w:szCs w:val="21"/>
                <w:lang w:val="en-US" w:eastAsia="zh-CN"/>
              </w:rPr>
            </w:pPr>
            <w:r>
              <w:rPr>
                <w:color w:val="auto"/>
                <w:sz w:val="21"/>
                <w:szCs w:val="21"/>
              </w:rPr>
              <w:t>0.2614</w:t>
            </w:r>
          </w:p>
        </w:tc>
        <w:tc>
          <w:tcPr>
            <w:tcW w:w="915" w:type="dxa"/>
            <w:shd w:val="clear" w:color="auto" w:fill="auto"/>
            <w:vAlign w:val="center"/>
          </w:tcPr>
          <w:p w14:paraId="191B2A60">
            <w:pPr>
              <w:widowControl/>
              <w:adjustRightInd w:val="0"/>
              <w:snapToGrid w:val="0"/>
              <w:jc w:val="center"/>
              <w:rPr>
                <w:color w:val="auto"/>
                <w:sz w:val="21"/>
                <w:szCs w:val="21"/>
                <w:lang w:val="en-US" w:eastAsia="zh-CN"/>
              </w:rPr>
            </w:pPr>
            <w:r>
              <w:rPr>
                <w:color w:val="auto"/>
                <w:sz w:val="21"/>
                <w:szCs w:val="21"/>
              </w:rPr>
              <w:t>0.0523</w:t>
            </w:r>
          </w:p>
        </w:tc>
        <w:tc>
          <w:tcPr>
            <w:tcW w:w="915" w:type="dxa"/>
            <w:shd w:val="clear" w:color="auto" w:fill="auto"/>
            <w:vAlign w:val="center"/>
          </w:tcPr>
          <w:p w14:paraId="1EF204EF">
            <w:pPr>
              <w:widowControl/>
              <w:adjustRightInd w:val="0"/>
              <w:snapToGrid w:val="0"/>
              <w:jc w:val="center"/>
              <w:rPr>
                <w:rFonts w:eastAsia="宋体"/>
                <w:color w:val="auto"/>
                <w:sz w:val="21"/>
                <w:szCs w:val="21"/>
                <w:lang w:val="en-US" w:eastAsia="zh-CN"/>
              </w:rPr>
            </w:pPr>
            <w:r>
              <w:rPr>
                <w:rFonts w:eastAsia="宋体"/>
                <w:color w:val="auto"/>
                <w:sz w:val="21"/>
                <w:szCs w:val="21"/>
              </w:rPr>
              <w:t>0.3644</w:t>
            </w:r>
          </w:p>
        </w:tc>
        <w:tc>
          <w:tcPr>
            <w:tcW w:w="915" w:type="dxa"/>
            <w:shd w:val="clear" w:color="auto" w:fill="auto"/>
            <w:vAlign w:val="center"/>
          </w:tcPr>
          <w:p w14:paraId="2C428747">
            <w:pPr>
              <w:widowControl/>
              <w:adjustRightInd w:val="0"/>
              <w:snapToGrid w:val="0"/>
              <w:jc w:val="center"/>
              <w:rPr>
                <w:rFonts w:eastAsia="宋体"/>
                <w:color w:val="auto"/>
                <w:sz w:val="21"/>
                <w:szCs w:val="21"/>
                <w:lang w:val="en-US" w:eastAsia="zh-CN"/>
              </w:rPr>
            </w:pPr>
            <w:r>
              <w:rPr>
                <w:rFonts w:eastAsia="宋体"/>
                <w:color w:val="auto"/>
                <w:sz w:val="21"/>
                <w:szCs w:val="21"/>
              </w:rPr>
              <w:t>0.1458</w:t>
            </w:r>
          </w:p>
        </w:tc>
        <w:tc>
          <w:tcPr>
            <w:tcW w:w="916" w:type="dxa"/>
            <w:shd w:val="clear" w:color="auto" w:fill="auto"/>
            <w:vAlign w:val="center"/>
          </w:tcPr>
          <w:p w14:paraId="33D9E5CC">
            <w:pPr>
              <w:widowControl/>
              <w:adjustRightInd w:val="0"/>
              <w:snapToGrid w:val="0"/>
              <w:jc w:val="center"/>
              <w:rPr>
                <w:color w:val="auto"/>
                <w:sz w:val="21"/>
                <w:szCs w:val="21"/>
                <w:lang w:val="en-US" w:eastAsia="zh-CN"/>
              </w:rPr>
            </w:pPr>
            <w:r>
              <w:rPr>
                <w:color w:val="auto"/>
                <w:sz w:val="21"/>
                <w:szCs w:val="21"/>
              </w:rPr>
              <w:t>0.0026</w:t>
            </w:r>
          </w:p>
        </w:tc>
        <w:tc>
          <w:tcPr>
            <w:tcW w:w="916" w:type="dxa"/>
            <w:shd w:val="clear" w:color="auto" w:fill="auto"/>
            <w:vAlign w:val="center"/>
          </w:tcPr>
          <w:p w14:paraId="2C13AA10">
            <w:pPr>
              <w:widowControl/>
              <w:adjustRightInd w:val="0"/>
              <w:snapToGrid w:val="0"/>
              <w:jc w:val="center"/>
              <w:rPr>
                <w:color w:val="auto"/>
                <w:sz w:val="21"/>
                <w:szCs w:val="21"/>
                <w:lang w:val="en-US" w:eastAsia="zh-CN"/>
              </w:rPr>
            </w:pPr>
            <w:r>
              <w:rPr>
                <w:color w:val="auto"/>
                <w:sz w:val="21"/>
                <w:szCs w:val="21"/>
              </w:rPr>
              <w:t>0.0003</w:t>
            </w:r>
          </w:p>
        </w:tc>
        <w:tc>
          <w:tcPr>
            <w:tcW w:w="916" w:type="dxa"/>
            <w:shd w:val="clear" w:color="auto" w:fill="auto"/>
            <w:vAlign w:val="center"/>
          </w:tcPr>
          <w:p w14:paraId="7E2C2948">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0.0005</w:t>
            </w:r>
          </w:p>
        </w:tc>
        <w:tc>
          <w:tcPr>
            <w:tcW w:w="916" w:type="dxa"/>
            <w:shd w:val="clear" w:color="auto" w:fill="auto"/>
            <w:vAlign w:val="center"/>
          </w:tcPr>
          <w:p w14:paraId="493C423A">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0.1761</w:t>
            </w:r>
          </w:p>
        </w:tc>
      </w:tr>
      <w:tr w14:paraId="36B50803">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shd w:val="clear" w:color="auto" w:fill="auto"/>
            <w:vAlign w:val="center"/>
          </w:tcPr>
          <w:p w14:paraId="0A56B672">
            <w:pPr>
              <w:widowControl/>
              <w:adjustRightInd w:val="0"/>
              <w:snapToGrid w:val="0"/>
              <w:jc w:val="center"/>
              <w:rPr>
                <w:color w:val="auto"/>
                <w:sz w:val="21"/>
                <w:szCs w:val="21"/>
                <w:lang w:val="en-US" w:eastAsia="zh-CN"/>
              </w:rPr>
            </w:pPr>
            <w:r>
              <w:rPr>
                <w:color w:val="auto"/>
                <w:sz w:val="21"/>
                <w:szCs w:val="21"/>
              </w:rPr>
              <w:t>5000.0</w:t>
            </w:r>
          </w:p>
        </w:tc>
        <w:tc>
          <w:tcPr>
            <w:tcW w:w="915" w:type="dxa"/>
            <w:shd w:val="clear" w:color="auto" w:fill="auto"/>
            <w:vAlign w:val="center"/>
          </w:tcPr>
          <w:p w14:paraId="527A6952">
            <w:pPr>
              <w:widowControl/>
              <w:adjustRightInd w:val="0"/>
              <w:snapToGrid w:val="0"/>
              <w:jc w:val="center"/>
              <w:rPr>
                <w:color w:val="auto"/>
                <w:sz w:val="21"/>
                <w:szCs w:val="21"/>
                <w:lang w:val="en-US" w:eastAsia="zh-CN"/>
              </w:rPr>
            </w:pPr>
            <w:r>
              <w:rPr>
                <w:color w:val="auto"/>
                <w:sz w:val="21"/>
                <w:szCs w:val="21"/>
              </w:rPr>
              <w:t>0.2184</w:t>
            </w:r>
          </w:p>
        </w:tc>
        <w:tc>
          <w:tcPr>
            <w:tcW w:w="915" w:type="dxa"/>
            <w:shd w:val="clear" w:color="auto" w:fill="auto"/>
            <w:vAlign w:val="center"/>
          </w:tcPr>
          <w:p w14:paraId="0EEFBD8F">
            <w:pPr>
              <w:widowControl/>
              <w:adjustRightInd w:val="0"/>
              <w:snapToGrid w:val="0"/>
              <w:jc w:val="center"/>
              <w:rPr>
                <w:color w:val="auto"/>
                <w:sz w:val="21"/>
                <w:szCs w:val="21"/>
                <w:lang w:val="en-US" w:eastAsia="zh-CN"/>
              </w:rPr>
            </w:pPr>
            <w:r>
              <w:rPr>
                <w:color w:val="auto"/>
                <w:sz w:val="21"/>
                <w:szCs w:val="21"/>
              </w:rPr>
              <w:t>0.0437</w:t>
            </w:r>
          </w:p>
        </w:tc>
        <w:tc>
          <w:tcPr>
            <w:tcW w:w="915" w:type="dxa"/>
            <w:shd w:val="clear" w:color="auto" w:fill="auto"/>
            <w:vAlign w:val="center"/>
          </w:tcPr>
          <w:p w14:paraId="2D9B7166">
            <w:pPr>
              <w:widowControl/>
              <w:adjustRightInd w:val="0"/>
              <w:snapToGrid w:val="0"/>
              <w:jc w:val="center"/>
              <w:rPr>
                <w:rFonts w:eastAsia="宋体"/>
                <w:color w:val="auto"/>
                <w:sz w:val="21"/>
                <w:szCs w:val="21"/>
                <w:lang w:val="en-US" w:eastAsia="zh-CN"/>
              </w:rPr>
            </w:pPr>
            <w:r>
              <w:rPr>
                <w:rFonts w:eastAsia="宋体"/>
                <w:color w:val="auto"/>
                <w:sz w:val="21"/>
                <w:szCs w:val="21"/>
              </w:rPr>
              <w:t>0.3045</w:t>
            </w:r>
          </w:p>
        </w:tc>
        <w:tc>
          <w:tcPr>
            <w:tcW w:w="915" w:type="dxa"/>
            <w:shd w:val="clear" w:color="auto" w:fill="auto"/>
            <w:vAlign w:val="center"/>
          </w:tcPr>
          <w:p w14:paraId="67CE38CA">
            <w:pPr>
              <w:widowControl/>
              <w:adjustRightInd w:val="0"/>
              <w:snapToGrid w:val="0"/>
              <w:jc w:val="center"/>
              <w:rPr>
                <w:rFonts w:eastAsia="宋体"/>
                <w:color w:val="auto"/>
                <w:sz w:val="21"/>
                <w:szCs w:val="21"/>
                <w:lang w:val="en-US" w:eastAsia="zh-CN"/>
              </w:rPr>
            </w:pPr>
            <w:r>
              <w:rPr>
                <w:rFonts w:eastAsia="宋体"/>
                <w:color w:val="auto"/>
                <w:sz w:val="21"/>
                <w:szCs w:val="21"/>
              </w:rPr>
              <w:t>0.1218</w:t>
            </w:r>
          </w:p>
        </w:tc>
        <w:tc>
          <w:tcPr>
            <w:tcW w:w="916" w:type="dxa"/>
            <w:shd w:val="clear" w:color="auto" w:fill="auto"/>
            <w:vAlign w:val="center"/>
          </w:tcPr>
          <w:p w14:paraId="27ADE7D8">
            <w:pPr>
              <w:widowControl/>
              <w:adjustRightInd w:val="0"/>
              <w:snapToGrid w:val="0"/>
              <w:jc w:val="center"/>
              <w:rPr>
                <w:color w:val="auto"/>
                <w:sz w:val="21"/>
                <w:szCs w:val="21"/>
                <w:lang w:val="en-US" w:eastAsia="zh-CN"/>
              </w:rPr>
            </w:pPr>
            <w:r>
              <w:rPr>
                <w:color w:val="auto"/>
                <w:sz w:val="21"/>
                <w:szCs w:val="21"/>
              </w:rPr>
              <w:t>0.0022</w:t>
            </w:r>
          </w:p>
        </w:tc>
        <w:tc>
          <w:tcPr>
            <w:tcW w:w="916" w:type="dxa"/>
            <w:shd w:val="clear" w:color="auto" w:fill="auto"/>
            <w:vAlign w:val="center"/>
          </w:tcPr>
          <w:p w14:paraId="34A673B2">
            <w:pPr>
              <w:widowControl/>
              <w:adjustRightInd w:val="0"/>
              <w:snapToGrid w:val="0"/>
              <w:jc w:val="center"/>
              <w:rPr>
                <w:color w:val="auto"/>
                <w:sz w:val="21"/>
                <w:szCs w:val="21"/>
                <w:lang w:val="en-US" w:eastAsia="zh-CN"/>
              </w:rPr>
            </w:pPr>
            <w:r>
              <w:rPr>
                <w:color w:val="auto"/>
                <w:sz w:val="21"/>
                <w:szCs w:val="21"/>
              </w:rPr>
              <w:t>0.0002</w:t>
            </w:r>
          </w:p>
        </w:tc>
        <w:tc>
          <w:tcPr>
            <w:tcW w:w="916" w:type="dxa"/>
            <w:shd w:val="clear" w:color="auto" w:fill="auto"/>
            <w:vAlign w:val="center"/>
          </w:tcPr>
          <w:p w14:paraId="5126C061">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0.0004</w:t>
            </w:r>
          </w:p>
        </w:tc>
        <w:tc>
          <w:tcPr>
            <w:tcW w:w="916" w:type="dxa"/>
            <w:shd w:val="clear" w:color="auto" w:fill="auto"/>
            <w:vAlign w:val="center"/>
          </w:tcPr>
          <w:p w14:paraId="12F49632">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0.1471</w:t>
            </w:r>
          </w:p>
        </w:tc>
      </w:tr>
      <w:tr w14:paraId="7CD4EBD8">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vAlign w:val="center"/>
          </w:tcPr>
          <w:p w14:paraId="63814512">
            <w:pPr>
              <w:widowControl/>
              <w:adjustRightInd w:val="0"/>
              <w:snapToGrid w:val="0"/>
              <w:jc w:val="center"/>
              <w:rPr>
                <w:color w:val="auto"/>
                <w:sz w:val="21"/>
                <w:szCs w:val="21"/>
              </w:rPr>
            </w:pPr>
            <w:r>
              <w:rPr>
                <w:color w:val="auto"/>
                <w:sz w:val="21"/>
                <w:szCs w:val="21"/>
              </w:rPr>
              <w:t>下风向最大浓度</w:t>
            </w:r>
          </w:p>
        </w:tc>
        <w:tc>
          <w:tcPr>
            <w:tcW w:w="915" w:type="dxa"/>
            <w:vAlign w:val="center"/>
          </w:tcPr>
          <w:p w14:paraId="60C57E4D">
            <w:pPr>
              <w:widowControl/>
              <w:adjustRightInd w:val="0"/>
              <w:snapToGrid w:val="0"/>
              <w:jc w:val="center"/>
              <w:rPr>
                <w:color w:val="auto"/>
                <w:sz w:val="21"/>
                <w:szCs w:val="21"/>
              </w:rPr>
            </w:pPr>
            <w:r>
              <w:rPr>
                <w:color w:val="auto"/>
                <w:sz w:val="21"/>
                <w:szCs w:val="21"/>
              </w:rPr>
              <w:t>1.0200</w:t>
            </w:r>
          </w:p>
        </w:tc>
        <w:tc>
          <w:tcPr>
            <w:tcW w:w="915" w:type="dxa"/>
            <w:vAlign w:val="center"/>
          </w:tcPr>
          <w:p w14:paraId="3A3C53CC">
            <w:pPr>
              <w:widowControl/>
              <w:adjustRightInd w:val="0"/>
              <w:snapToGrid w:val="0"/>
              <w:jc w:val="center"/>
              <w:rPr>
                <w:color w:val="auto"/>
                <w:sz w:val="21"/>
                <w:szCs w:val="21"/>
              </w:rPr>
            </w:pPr>
            <w:r>
              <w:rPr>
                <w:color w:val="auto"/>
                <w:sz w:val="21"/>
                <w:szCs w:val="21"/>
              </w:rPr>
              <w:t>0.2040</w:t>
            </w:r>
          </w:p>
        </w:tc>
        <w:tc>
          <w:tcPr>
            <w:tcW w:w="915" w:type="dxa"/>
            <w:vAlign w:val="center"/>
          </w:tcPr>
          <w:p w14:paraId="2A9890ED">
            <w:pPr>
              <w:widowControl/>
              <w:adjustRightInd w:val="0"/>
              <w:snapToGrid w:val="0"/>
              <w:jc w:val="center"/>
              <w:rPr>
                <w:rFonts w:eastAsia="宋体"/>
                <w:color w:val="auto"/>
                <w:sz w:val="21"/>
                <w:szCs w:val="21"/>
              </w:rPr>
            </w:pPr>
            <w:r>
              <w:rPr>
                <w:rFonts w:eastAsia="宋体"/>
                <w:color w:val="auto"/>
                <w:sz w:val="21"/>
                <w:szCs w:val="21"/>
              </w:rPr>
              <w:t>1.4218</w:t>
            </w:r>
          </w:p>
        </w:tc>
        <w:tc>
          <w:tcPr>
            <w:tcW w:w="915" w:type="dxa"/>
            <w:vAlign w:val="center"/>
          </w:tcPr>
          <w:p w14:paraId="74E8FEAC">
            <w:pPr>
              <w:widowControl/>
              <w:adjustRightInd w:val="0"/>
              <w:snapToGrid w:val="0"/>
              <w:jc w:val="center"/>
              <w:rPr>
                <w:rFonts w:eastAsia="宋体"/>
                <w:color w:val="auto"/>
                <w:sz w:val="21"/>
                <w:szCs w:val="21"/>
              </w:rPr>
            </w:pPr>
            <w:r>
              <w:rPr>
                <w:rFonts w:eastAsia="宋体"/>
                <w:color w:val="auto"/>
                <w:sz w:val="21"/>
                <w:szCs w:val="21"/>
              </w:rPr>
              <w:t>0.5687</w:t>
            </w:r>
          </w:p>
        </w:tc>
        <w:tc>
          <w:tcPr>
            <w:tcW w:w="916" w:type="dxa"/>
            <w:vAlign w:val="center"/>
          </w:tcPr>
          <w:p w14:paraId="3C5B8ABD">
            <w:pPr>
              <w:widowControl/>
              <w:adjustRightInd w:val="0"/>
              <w:snapToGrid w:val="0"/>
              <w:jc w:val="center"/>
              <w:rPr>
                <w:color w:val="auto"/>
                <w:sz w:val="21"/>
                <w:szCs w:val="21"/>
              </w:rPr>
            </w:pPr>
            <w:r>
              <w:rPr>
                <w:color w:val="auto"/>
                <w:sz w:val="21"/>
                <w:szCs w:val="21"/>
              </w:rPr>
              <w:t>0.0103</w:t>
            </w:r>
          </w:p>
        </w:tc>
        <w:tc>
          <w:tcPr>
            <w:tcW w:w="916" w:type="dxa"/>
            <w:vAlign w:val="center"/>
          </w:tcPr>
          <w:p w14:paraId="1CFAB92B">
            <w:pPr>
              <w:widowControl/>
              <w:adjustRightInd w:val="0"/>
              <w:snapToGrid w:val="0"/>
              <w:jc w:val="center"/>
              <w:rPr>
                <w:color w:val="auto"/>
                <w:sz w:val="21"/>
                <w:szCs w:val="21"/>
              </w:rPr>
            </w:pPr>
            <w:r>
              <w:rPr>
                <w:color w:val="auto"/>
                <w:sz w:val="21"/>
                <w:szCs w:val="21"/>
              </w:rPr>
              <w:t>0.0011</w:t>
            </w:r>
          </w:p>
        </w:tc>
        <w:tc>
          <w:tcPr>
            <w:tcW w:w="916" w:type="dxa"/>
            <w:shd w:val="clear" w:color="auto" w:fill="auto"/>
            <w:vAlign w:val="center"/>
          </w:tcPr>
          <w:p w14:paraId="4AC1C3B2">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0.0021</w:t>
            </w:r>
          </w:p>
        </w:tc>
        <w:tc>
          <w:tcPr>
            <w:tcW w:w="916" w:type="dxa"/>
            <w:shd w:val="clear" w:color="auto" w:fill="auto"/>
            <w:vAlign w:val="center"/>
          </w:tcPr>
          <w:p w14:paraId="14747628">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0.6869</w:t>
            </w:r>
          </w:p>
        </w:tc>
      </w:tr>
      <w:tr w14:paraId="0B5C1CA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vAlign w:val="center"/>
          </w:tcPr>
          <w:p w14:paraId="5B3264E0">
            <w:pPr>
              <w:widowControl/>
              <w:adjustRightInd w:val="0"/>
              <w:snapToGrid w:val="0"/>
              <w:jc w:val="center"/>
              <w:rPr>
                <w:color w:val="auto"/>
                <w:sz w:val="21"/>
                <w:szCs w:val="21"/>
              </w:rPr>
            </w:pPr>
            <w:r>
              <w:rPr>
                <w:color w:val="auto"/>
                <w:sz w:val="21"/>
                <w:szCs w:val="21"/>
              </w:rPr>
              <w:t>下风向最大浓度出现距离</w:t>
            </w:r>
          </w:p>
        </w:tc>
        <w:tc>
          <w:tcPr>
            <w:tcW w:w="915" w:type="dxa"/>
            <w:vAlign w:val="center"/>
          </w:tcPr>
          <w:p w14:paraId="59136780">
            <w:pPr>
              <w:widowControl/>
              <w:adjustRightInd w:val="0"/>
              <w:snapToGrid w:val="0"/>
              <w:jc w:val="center"/>
              <w:rPr>
                <w:color w:val="auto"/>
                <w:sz w:val="21"/>
                <w:szCs w:val="21"/>
              </w:rPr>
            </w:pPr>
            <w:r>
              <w:rPr>
                <w:color w:val="auto"/>
                <w:sz w:val="21"/>
                <w:szCs w:val="21"/>
              </w:rPr>
              <w:t>340.0</w:t>
            </w:r>
          </w:p>
        </w:tc>
        <w:tc>
          <w:tcPr>
            <w:tcW w:w="915" w:type="dxa"/>
            <w:vAlign w:val="center"/>
          </w:tcPr>
          <w:p w14:paraId="594493E9">
            <w:pPr>
              <w:widowControl/>
              <w:adjustRightInd w:val="0"/>
              <w:snapToGrid w:val="0"/>
              <w:jc w:val="center"/>
              <w:rPr>
                <w:color w:val="auto"/>
                <w:sz w:val="21"/>
                <w:szCs w:val="21"/>
              </w:rPr>
            </w:pPr>
            <w:r>
              <w:rPr>
                <w:color w:val="auto"/>
                <w:sz w:val="21"/>
                <w:szCs w:val="21"/>
              </w:rPr>
              <w:t>340.0</w:t>
            </w:r>
          </w:p>
        </w:tc>
        <w:tc>
          <w:tcPr>
            <w:tcW w:w="915" w:type="dxa"/>
            <w:vAlign w:val="center"/>
          </w:tcPr>
          <w:p w14:paraId="2FA8975F">
            <w:pPr>
              <w:widowControl/>
              <w:adjustRightInd w:val="0"/>
              <w:snapToGrid w:val="0"/>
              <w:jc w:val="center"/>
              <w:rPr>
                <w:rFonts w:eastAsia="宋体"/>
                <w:color w:val="auto"/>
                <w:sz w:val="21"/>
                <w:szCs w:val="21"/>
              </w:rPr>
            </w:pPr>
            <w:r>
              <w:rPr>
                <w:rFonts w:eastAsia="宋体"/>
                <w:color w:val="auto"/>
                <w:sz w:val="21"/>
                <w:szCs w:val="21"/>
              </w:rPr>
              <w:t>340.0</w:t>
            </w:r>
          </w:p>
        </w:tc>
        <w:tc>
          <w:tcPr>
            <w:tcW w:w="915" w:type="dxa"/>
            <w:vAlign w:val="center"/>
          </w:tcPr>
          <w:p w14:paraId="57501534">
            <w:pPr>
              <w:widowControl/>
              <w:adjustRightInd w:val="0"/>
              <w:snapToGrid w:val="0"/>
              <w:jc w:val="center"/>
              <w:rPr>
                <w:rFonts w:eastAsia="宋体"/>
                <w:color w:val="auto"/>
                <w:sz w:val="21"/>
                <w:szCs w:val="21"/>
              </w:rPr>
            </w:pPr>
            <w:r>
              <w:rPr>
                <w:rFonts w:eastAsia="宋体"/>
                <w:color w:val="auto"/>
                <w:sz w:val="21"/>
                <w:szCs w:val="21"/>
              </w:rPr>
              <w:t>340.0</w:t>
            </w:r>
          </w:p>
        </w:tc>
        <w:tc>
          <w:tcPr>
            <w:tcW w:w="916" w:type="dxa"/>
            <w:vAlign w:val="center"/>
          </w:tcPr>
          <w:p w14:paraId="78E5533E">
            <w:pPr>
              <w:widowControl/>
              <w:adjustRightInd w:val="0"/>
              <w:snapToGrid w:val="0"/>
              <w:jc w:val="center"/>
              <w:rPr>
                <w:color w:val="auto"/>
                <w:sz w:val="21"/>
                <w:szCs w:val="21"/>
              </w:rPr>
            </w:pPr>
            <w:r>
              <w:rPr>
                <w:color w:val="auto"/>
                <w:sz w:val="21"/>
                <w:szCs w:val="21"/>
              </w:rPr>
              <w:t>340.0</w:t>
            </w:r>
          </w:p>
        </w:tc>
        <w:tc>
          <w:tcPr>
            <w:tcW w:w="916" w:type="dxa"/>
            <w:vAlign w:val="center"/>
          </w:tcPr>
          <w:p w14:paraId="12B38F16">
            <w:pPr>
              <w:widowControl/>
              <w:adjustRightInd w:val="0"/>
              <w:snapToGrid w:val="0"/>
              <w:jc w:val="center"/>
              <w:rPr>
                <w:color w:val="auto"/>
                <w:sz w:val="21"/>
                <w:szCs w:val="21"/>
              </w:rPr>
            </w:pPr>
            <w:r>
              <w:rPr>
                <w:color w:val="auto"/>
                <w:sz w:val="21"/>
                <w:szCs w:val="21"/>
              </w:rPr>
              <w:t>340.0</w:t>
            </w:r>
          </w:p>
        </w:tc>
        <w:tc>
          <w:tcPr>
            <w:tcW w:w="916" w:type="dxa"/>
            <w:shd w:val="clear" w:color="auto" w:fill="auto"/>
            <w:vAlign w:val="center"/>
          </w:tcPr>
          <w:p w14:paraId="038A7321">
            <w:pPr>
              <w:widowControl/>
              <w:adjustRightInd w:val="0"/>
              <w:snapToGrid w:val="0"/>
              <w:jc w:val="center"/>
              <w:rPr>
                <w:color w:val="auto"/>
                <w:sz w:val="21"/>
                <w:szCs w:val="21"/>
                <w:lang w:val="en-US" w:eastAsia="zh-CN"/>
              </w:rPr>
            </w:pPr>
            <w:r>
              <w:rPr>
                <w:color w:val="auto"/>
                <w:sz w:val="21"/>
                <w:szCs w:val="21"/>
              </w:rPr>
              <w:t>340.0</w:t>
            </w:r>
          </w:p>
        </w:tc>
        <w:tc>
          <w:tcPr>
            <w:tcW w:w="916" w:type="dxa"/>
            <w:shd w:val="clear" w:color="auto" w:fill="auto"/>
            <w:vAlign w:val="center"/>
          </w:tcPr>
          <w:p w14:paraId="61F99D16">
            <w:pPr>
              <w:widowControl/>
              <w:adjustRightInd w:val="0"/>
              <w:snapToGrid w:val="0"/>
              <w:jc w:val="center"/>
              <w:rPr>
                <w:color w:val="auto"/>
                <w:sz w:val="21"/>
                <w:szCs w:val="21"/>
                <w:lang w:val="en-US" w:eastAsia="zh-CN"/>
              </w:rPr>
            </w:pPr>
            <w:r>
              <w:rPr>
                <w:color w:val="auto"/>
                <w:sz w:val="21"/>
                <w:szCs w:val="21"/>
              </w:rPr>
              <w:t>340.0</w:t>
            </w:r>
          </w:p>
        </w:tc>
      </w:tr>
      <w:tr w14:paraId="43BB195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7" w:type="dxa"/>
            <w:vAlign w:val="center"/>
          </w:tcPr>
          <w:p w14:paraId="2F4AF368">
            <w:pPr>
              <w:widowControl/>
              <w:adjustRightInd w:val="0"/>
              <w:snapToGrid w:val="0"/>
              <w:jc w:val="center"/>
              <w:rPr>
                <w:color w:val="auto"/>
                <w:sz w:val="21"/>
                <w:szCs w:val="21"/>
              </w:rPr>
            </w:pPr>
            <w:r>
              <w:rPr>
                <w:color w:val="auto"/>
                <w:sz w:val="21"/>
                <w:szCs w:val="21"/>
              </w:rPr>
              <w:t>D10%最远距离</w:t>
            </w:r>
          </w:p>
        </w:tc>
        <w:tc>
          <w:tcPr>
            <w:tcW w:w="915" w:type="dxa"/>
            <w:vAlign w:val="center"/>
          </w:tcPr>
          <w:p w14:paraId="2710A30E">
            <w:pPr>
              <w:widowControl/>
              <w:adjustRightInd w:val="0"/>
              <w:snapToGrid w:val="0"/>
              <w:jc w:val="center"/>
              <w:rPr>
                <w:color w:val="auto"/>
                <w:sz w:val="21"/>
                <w:szCs w:val="21"/>
              </w:rPr>
            </w:pPr>
            <w:r>
              <w:rPr>
                <w:color w:val="auto"/>
                <w:sz w:val="21"/>
                <w:szCs w:val="21"/>
              </w:rPr>
              <w:t>/</w:t>
            </w:r>
          </w:p>
        </w:tc>
        <w:tc>
          <w:tcPr>
            <w:tcW w:w="915" w:type="dxa"/>
            <w:vAlign w:val="center"/>
          </w:tcPr>
          <w:p w14:paraId="57D5495E">
            <w:pPr>
              <w:widowControl/>
              <w:adjustRightInd w:val="0"/>
              <w:snapToGrid w:val="0"/>
              <w:jc w:val="center"/>
              <w:rPr>
                <w:color w:val="auto"/>
                <w:sz w:val="21"/>
                <w:szCs w:val="21"/>
              </w:rPr>
            </w:pPr>
            <w:r>
              <w:rPr>
                <w:color w:val="auto"/>
                <w:sz w:val="21"/>
                <w:szCs w:val="21"/>
              </w:rPr>
              <w:t>/</w:t>
            </w:r>
          </w:p>
        </w:tc>
        <w:tc>
          <w:tcPr>
            <w:tcW w:w="915" w:type="dxa"/>
            <w:vAlign w:val="center"/>
          </w:tcPr>
          <w:p w14:paraId="652B6898">
            <w:pPr>
              <w:widowControl/>
              <w:adjustRightInd w:val="0"/>
              <w:snapToGrid w:val="0"/>
              <w:jc w:val="center"/>
              <w:rPr>
                <w:color w:val="auto"/>
                <w:sz w:val="21"/>
                <w:szCs w:val="21"/>
              </w:rPr>
            </w:pPr>
            <w:r>
              <w:rPr>
                <w:color w:val="auto"/>
                <w:sz w:val="21"/>
                <w:szCs w:val="21"/>
              </w:rPr>
              <w:t>/</w:t>
            </w:r>
          </w:p>
        </w:tc>
        <w:tc>
          <w:tcPr>
            <w:tcW w:w="915" w:type="dxa"/>
            <w:vAlign w:val="center"/>
          </w:tcPr>
          <w:p w14:paraId="11032CF2">
            <w:pPr>
              <w:widowControl/>
              <w:adjustRightInd w:val="0"/>
              <w:snapToGrid w:val="0"/>
              <w:jc w:val="center"/>
              <w:rPr>
                <w:color w:val="auto"/>
                <w:sz w:val="21"/>
                <w:szCs w:val="21"/>
              </w:rPr>
            </w:pPr>
            <w:r>
              <w:rPr>
                <w:color w:val="auto"/>
                <w:sz w:val="21"/>
                <w:szCs w:val="21"/>
              </w:rPr>
              <w:t>/</w:t>
            </w:r>
          </w:p>
        </w:tc>
        <w:tc>
          <w:tcPr>
            <w:tcW w:w="916" w:type="dxa"/>
            <w:vAlign w:val="center"/>
          </w:tcPr>
          <w:p w14:paraId="3010044B">
            <w:pPr>
              <w:widowControl/>
              <w:adjustRightInd w:val="0"/>
              <w:snapToGrid w:val="0"/>
              <w:jc w:val="center"/>
              <w:rPr>
                <w:color w:val="auto"/>
                <w:sz w:val="21"/>
                <w:szCs w:val="21"/>
              </w:rPr>
            </w:pPr>
            <w:r>
              <w:rPr>
                <w:color w:val="auto"/>
                <w:sz w:val="21"/>
                <w:szCs w:val="21"/>
              </w:rPr>
              <w:t>/</w:t>
            </w:r>
          </w:p>
        </w:tc>
        <w:tc>
          <w:tcPr>
            <w:tcW w:w="916" w:type="dxa"/>
            <w:vAlign w:val="center"/>
          </w:tcPr>
          <w:p w14:paraId="306F28D2">
            <w:pPr>
              <w:widowControl/>
              <w:adjustRightInd w:val="0"/>
              <w:snapToGrid w:val="0"/>
              <w:jc w:val="center"/>
              <w:rPr>
                <w:color w:val="auto"/>
                <w:sz w:val="21"/>
                <w:szCs w:val="21"/>
              </w:rPr>
            </w:pPr>
            <w:r>
              <w:rPr>
                <w:color w:val="auto"/>
                <w:sz w:val="21"/>
                <w:szCs w:val="21"/>
              </w:rPr>
              <w:t>/</w:t>
            </w:r>
          </w:p>
        </w:tc>
        <w:tc>
          <w:tcPr>
            <w:tcW w:w="916" w:type="dxa"/>
            <w:shd w:val="clear" w:color="auto" w:fill="auto"/>
            <w:vAlign w:val="center"/>
          </w:tcPr>
          <w:p w14:paraId="702F8A07">
            <w:pPr>
              <w:widowControl/>
              <w:adjustRightInd w:val="0"/>
              <w:snapToGrid w:val="0"/>
              <w:jc w:val="center"/>
              <w:rPr>
                <w:color w:val="auto"/>
                <w:sz w:val="21"/>
                <w:szCs w:val="21"/>
                <w:lang w:val="en-US" w:eastAsia="zh-CN"/>
              </w:rPr>
            </w:pPr>
            <w:r>
              <w:rPr>
                <w:color w:val="auto"/>
                <w:sz w:val="21"/>
                <w:szCs w:val="21"/>
              </w:rPr>
              <w:t>/</w:t>
            </w:r>
          </w:p>
        </w:tc>
        <w:tc>
          <w:tcPr>
            <w:tcW w:w="916" w:type="dxa"/>
            <w:shd w:val="clear" w:color="auto" w:fill="auto"/>
            <w:vAlign w:val="center"/>
          </w:tcPr>
          <w:p w14:paraId="568EF219">
            <w:pPr>
              <w:widowControl/>
              <w:adjustRightInd w:val="0"/>
              <w:snapToGrid w:val="0"/>
              <w:jc w:val="center"/>
              <w:rPr>
                <w:color w:val="auto"/>
                <w:sz w:val="21"/>
                <w:szCs w:val="21"/>
                <w:lang w:val="en-US" w:eastAsia="zh-CN"/>
              </w:rPr>
            </w:pPr>
            <w:r>
              <w:rPr>
                <w:color w:val="auto"/>
                <w:sz w:val="21"/>
                <w:szCs w:val="21"/>
              </w:rPr>
              <w:t>/</w:t>
            </w:r>
          </w:p>
        </w:tc>
      </w:tr>
    </w:tbl>
    <w:p w14:paraId="08613F60">
      <w:pPr>
        <w:spacing w:line="460" w:lineRule="exact"/>
        <w:jc w:val="center"/>
        <w:rPr>
          <w:b/>
          <w:color w:val="auto"/>
          <w:sz w:val="24"/>
          <w:szCs w:val="24"/>
        </w:rPr>
      </w:pPr>
      <w:r>
        <w:rPr>
          <w:rFonts w:hint="eastAsia"/>
          <w:b/>
          <w:color w:val="auto"/>
          <w:sz w:val="24"/>
          <w:szCs w:val="24"/>
        </w:rPr>
        <w:t>表4-</w:t>
      </w:r>
      <w:r>
        <w:rPr>
          <w:rFonts w:hint="eastAsia"/>
          <w:b/>
          <w:color w:val="auto"/>
          <w:sz w:val="24"/>
          <w:szCs w:val="24"/>
          <w:lang w:val="en-US" w:eastAsia="zh-CN"/>
        </w:rPr>
        <w:t>9</w:t>
      </w:r>
      <w:r>
        <w:rPr>
          <w:b/>
          <w:color w:val="auto"/>
          <w:sz w:val="24"/>
          <w:szCs w:val="24"/>
        </w:rPr>
        <w:t xml:space="preserve">  </w:t>
      </w:r>
      <w:r>
        <w:rPr>
          <w:rFonts w:hint="eastAsia"/>
          <w:b/>
          <w:color w:val="auto"/>
          <w:sz w:val="24"/>
          <w:szCs w:val="24"/>
          <w:lang w:val="en-US" w:eastAsia="zh-CN"/>
        </w:rPr>
        <w:t>DA003</w:t>
      </w:r>
      <w:r>
        <w:rPr>
          <w:rFonts w:hint="eastAsia"/>
          <w:b/>
          <w:color w:val="auto"/>
          <w:sz w:val="24"/>
          <w:szCs w:val="24"/>
        </w:rPr>
        <w:t>排气筒估算模式预测结果</w:t>
      </w:r>
    </w:p>
    <w:tbl>
      <w:tblPr>
        <w:tblStyle w:val="37"/>
        <w:tblW w:w="5000" w:type="pct"/>
        <w:jc w:val="center"/>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915"/>
        <w:gridCol w:w="915"/>
        <w:gridCol w:w="915"/>
        <w:gridCol w:w="915"/>
        <w:gridCol w:w="916"/>
        <w:gridCol w:w="916"/>
        <w:gridCol w:w="916"/>
        <w:gridCol w:w="916"/>
      </w:tblGrid>
      <w:tr w14:paraId="57ACA97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vMerge w:val="restart"/>
            <w:vAlign w:val="center"/>
          </w:tcPr>
          <w:p w14:paraId="50020BF7">
            <w:pPr>
              <w:widowControl/>
              <w:adjustRightInd w:val="0"/>
              <w:snapToGrid w:val="0"/>
              <w:jc w:val="center"/>
              <w:rPr>
                <w:b/>
                <w:bCs/>
                <w:color w:val="auto"/>
                <w:kern w:val="0"/>
                <w:sz w:val="21"/>
                <w:szCs w:val="21"/>
              </w:rPr>
            </w:pPr>
            <w:r>
              <w:rPr>
                <w:b/>
                <w:bCs/>
                <w:color w:val="auto"/>
                <w:kern w:val="0"/>
                <w:sz w:val="21"/>
                <w:szCs w:val="21"/>
              </w:rPr>
              <w:t>距源中心下风向距离D（m）</w:t>
            </w:r>
          </w:p>
        </w:tc>
        <w:tc>
          <w:tcPr>
            <w:tcW w:w="1878" w:type="dxa"/>
            <w:gridSpan w:val="2"/>
            <w:vAlign w:val="center"/>
          </w:tcPr>
          <w:p w14:paraId="37D7354E">
            <w:pPr>
              <w:widowControl/>
              <w:adjustRightInd w:val="0"/>
              <w:snapToGrid w:val="0"/>
              <w:jc w:val="center"/>
              <w:rPr>
                <w:rFonts w:hint="default" w:eastAsia="宋体"/>
                <w:b/>
                <w:bCs/>
                <w:color w:val="auto"/>
                <w:kern w:val="0"/>
                <w:sz w:val="21"/>
                <w:szCs w:val="21"/>
                <w:lang w:val="en-US" w:eastAsia="zh-CN"/>
              </w:rPr>
            </w:pPr>
            <w:r>
              <w:rPr>
                <w:rFonts w:hint="eastAsia"/>
                <w:b/>
                <w:bCs/>
                <w:color w:val="auto"/>
                <w:kern w:val="0"/>
                <w:sz w:val="21"/>
                <w:szCs w:val="21"/>
                <w:lang w:val="en-US" w:eastAsia="zh-CN"/>
              </w:rPr>
              <w:t>SO2</w:t>
            </w:r>
          </w:p>
        </w:tc>
        <w:tc>
          <w:tcPr>
            <w:tcW w:w="1878" w:type="dxa"/>
            <w:gridSpan w:val="2"/>
            <w:vAlign w:val="center"/>
          </w:tcPr>
          <w:p w14:paraId="415C286C">
            <w:pPr>
              <w:widowControl/>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NOx</w:t>
            </w:r>
          </w:p>
        </w:tc>
        <w:tc>
          <w:tcPr>
            <w:tcW w:w="1880" w:type="dxa"/>
            <w:gridSpan w:val="2"/>
            <w:vAlign w:val="center"/>
          </w:tcPr>
          <w:p w14:paraId="703832AE">
            <w:pPr>
              <w:widowControl/>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TSP</w:t>
            </w:r>
          </w:p>
        </w:tc>
        <w:tc>
          <w:tcPr>
            <w:tcW w:w="1880" w:type="dxa"/>
            <w:gridSpan w:val="2"/>
            <w:vAlign w:val="center"/>
          </w:tcPr>
          <w:p w14:paraId="0AC5D670">
            <w:pPr>
              <w:widowControl/>
              <w:adjustRightInd w:val="0"/>
              <w:snapToGrid w:val="0"/>
              <w:jc w:val="center"/>
              <w:rPr>
                <w:rFonts w:hint="default"/>
                <w:b/>
                <w:color w:val="auto"/>
                <w:sz w:val="21"/>
                <w:szCs w:val="21"/>
                <w:lang w:val="en-US" w:eastAsia="zh-CN"/>
              </w:rPr>
            </w:pPr>
            <w:r>
              <w:rPr>
                <w:rFonts w:hint="eastAsia"/>
                <w:b/>
                <w:color w:val="auto"/>
                <w:sz w:val="21"/>
                <w:szCs w:val="21"/>
                <w:lang w:val="en-US" w:eastAsia="zh-CN"/>
              </w:rPr>
              <w:t>汞</w:t>
            </w:r>
          </w:p>
        </w:tc>
      </w:tr>
      <w:tr w14:paraId="60393D0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vMerge w:val="continue"/>
            <w:tcBorders>
              <w:bottom w:val="single" w:color="auto" w:sz="12" w:space="0"/>
            </w:tcBorders>
            <w:vAlign w:val="center"/>
          </w:tcPr>
          <w:p w14:paraId="4BECC503">
            <w:pPr>
              <w:widowControl/>
              <w:jc w:val="center"/>
              <w:rPr>
                <w:b/>
                <w:bCs/>
                <w:color w:val="auto"/>
                <w:kern w:val="0"/>
                <w:sz w:val="21"/>
                <w:szCs w:val="21"/>
              </w:rPr>
            </w:pPr>
          </w:p>
        </w:tc>
        <w:tc>
          <w:tcPr>
            <w:tcW w:w="939" w:type="dxa"/>
            <w:tcBorders>
              <w:bottom w:val="single" w:color="auto" w:sz="12" w:space="0"/>
            </w:tcBorders>
            <w:vAlign w:val="center"/>
          </w:tcPr>
          <w:p w14:paraId="3E9DE7AA">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39" w:type="dxa"/>
            <w:tcBorders>
              <w:bottom w:val="single" w:color="auto" w:sz="12" w:space="0"/>
            </w:tcBorders>
            <w:vAlign w:val="center"/>
          </w:tcPr>
          <w:p w14:paraId="5EC5F252">
            <w:pPr>
              <w:widowControl/>
              <w:adjustRightInd w:val="0"/>
              <w:snapToGrid w:val="0"/>
              <w:jc w:val="center"/>
              <w:rPr>
                <w:b/>
                <w:bCs/>
                <w:color w:val="auto"/>
                <w:kern w:val="0"/>
                <w:sz w:val="21"/>
                <w:szCs w:val="21"/>
              </w:rPr>
            </w:pPr>
            <w:r>
              <w:rPr>
                <w:b/>
                <w:bCs/>
                <w:color w:val="auto"/>
                <w:kern w:val="0"/>
                <w:sz w:val="21"/>
                <w:szCs w:val="21"/>
              </w:rPr>
              <w:t>浓度占标率（%）</w:t>
            </w:r>
          </w:p>
        </w:tc>
        <w:tc>
          <w:tcPr>
            <w:tcW w:w="939" w:type="dxa"/>
            <w:tcBorders>
              <w:bottom w:val="single" w:color="auto" w:sz="12" w:space="0"/>
            </w:tcBorders>
            <w:vAlign w:val="center"/>
          </w:tcPr>
          <w:p w14:paraId="5FE30372">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39" w:type="dxa"/>
            <w:tcBorders>
              <w:bottom w:val="single" w:color="auto" w:sz="12" w:space="0"/>
            </w:tcBorders>
            <w:vAlign w:val="center"/>
          </w:tcPr>
          <w:p w14:paraId="1803703D">
            <w:pPr>
              <w:widowControl/>
              <w:adjustRightInd w:val="0"/>
              <w:snapToGrid w:val="0"/>
              <w:jc w:val="center"/>
              <w:rPr>
                <w:b/>
                <w:bCs/>
                <w:color w:val="auto"/>
                <w:kern w:val="0"/>
                <w:sz w:val="21"/>
                <w:szCs w:val="21"/>
              </w:rPr>
            </w:pPr>
            <w:r>
              <w:rPr>
                <w:b/>
                <w:bCs/>
                <w:color w:val="auto"/>
                <w:kern w:val="0"/>
                <w:sz w:val="21"/>
                <w:szCs w:val="21"/>
              </w:rPr>
              <w:t>浓度占标率（%）</w:t>
            </w:r>
          </w:p>
        </w:tc>
        <w:tc>
          <w:tcPr>
            <w:tcW w:w="940" w:type="dxa"/>
            <w:tcBorders>
              <w:bottom w:val="single" w:color="auto" w:sz="12" w:space="0"/>
            </w:tcBorders>
            <w:vAlign w:val="center"/>
          </w:tcPr>
          <w:p w14:paraId="79C29D89">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40" w:type="dxa"/>
            <w:tcBorders>
              <w:bottom w:val="single" w:color="auto" w:sz="12" w:space="0"/>
            </w:tcBorders>
            <w:vAlign w:val="center"/>
          </w:tcPr>
          <w:p w14:paraId="7253B160">
            <w:pPr>
              <w:widowControl/>
              <w:adjustRightInd w:val="0"/>
              <w:snapToGrid w:val="0"/>
              <w:jc w:val="center"/>
              <w:rPr>
                <w:b/>
                <w:bCs/>
                <w:color w:val="auto"/>
                <w:kern w:val="0"/>
                <w:sz w:val="21"/>
                <w:szCs w:val="21"/>
              </w:rPr>
            </w:pPr>
            <w:r>
              <w:rPr>
                <w:b/>
                <w:bCs/>
                <w:color w:val="auto"/>
                <w:kern w:val="0"/>
                <w:sz w:val="21"/>
                <w:szCs w:val="21"/>
              </w:rPr>
              <w:t>浓度占标率（%）</w:t>
            </w:r>
          </w:p>
        </w:tc>
        <w:tc>
          <w:tcPr>
            <w:tcW w:w="940" w:type="dxa"/>
            <w:tcBorders>
              <w:bottom w:val="single" w:color="auto" w:sz="12" w:space="0"/>
            </w:tcBorders>
            <w:shd w:val="clear" w:color="auto" w:fill="auto"/>
            <w:vAlign w:val="center"/>
          </w:tcPr>
          <w:p w14:paraId="34BBE952">
            <w:pPr>
              <w:widowControl/>
              <w:adjustRightInd w:val="0"/>
              <w:snapToGrid w:val="0"/>
              <w:jc w:val="center"/>
              <w:rPr>
                <w:rFonts w:ascii="Times New Roman" w:hAnsi="Times New Roman" w:eastAsia="宋体" w:cs="Times New Roman"/>
                <w:b/>
                <w:bCs/>
                <w:color w:val="auto"/>
                <w:kern w:val="0"/>
                <w:sz w:val="21"/>
                <w:szCs w:val="21"/>
                <w:lang w:val="en-US" w:eastAsia="zh-CN" w:bidi="ar-SA"/>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40" w:type="dxa"/>
            <w:tcBorders>
              <w:bottom w:val="single" w:color="auto" w:sz="12" w:space="0"/>
            </w:tcBorders>
            <w:shd w:val="clear" w:color="auto" w:fill="auto"/>
            <w:vAlign w:val="center"/>
          </w:tcPr>
          <w:p w14:paraId="7F401179">
            <w:pPr>
              <w:widowControl/>
              <w:adjustRightInd w:val="0"/>
              <w:snapToGrid w:val="0"/>
              <w:jc w:val="center"/>
              <w:rPr>
                <w:rFonts w:ascii="Times New Roman" w:hAnsi="Times New Roman" w:eastAsia="宋体" w:cs="Times New Roman"/>
                <w:b/>
                <w:bCs/>
                <w:color w:val="auto"/>
                <w:kern w:val="0"/>
                <w:sz w:val="21"/>
                <w:szCs w:val="21"/>
                <w:lang w:val="en-US" w:eastAsia="zh-CN" w:bidi="ar-SA"/>
              </w:rPr>
            </w:pPr>
            <w:r>
              <w:rPr>
                <w:b/>
                <w:bCs/>
                <w:color w:val="auto"/>
                <w:kern w:val="0"/>
                <w:sz w:val="21"/>
                <w:szCs w:val="21"/>
              </w:rPr>
              <w:t>浓度占标率（%）</w:t>
            </w:r>
          </w:p>
        </w:tc>
      </w:tr>
      <w:tr w14:paraId="40CC7E87">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tcBorders>
              <w:top w:val="single" w:color="auto" w:sz="12" w:space="0"/>
            </w:tcBorders>
            <w:shd w:val="clear" w:color="auto" w:fill="auto"/>
            <w:vAlign w:val="center"/>
          </w:tcPr>
          <w:p w14:paraId="25FD7216">
            <w:pPr>
              <w:widowControl/>
              <w:adjustRightInd w:val="0"/>
              <w:snapToGrid w:val="0"/>
              <w:jc w:val="center"/>
              <w:rPr>
                <w:color w:val="auto"/>
                <w:sz w:val="21"/>
                <w:szCs w:val="21"/>
                <w:lang w:val="en-US" w:eastAsia="zh-CN"/>
              </w:rPr>
            </w:pPr>
            <w:r>
              <w:rPr>
                <w:color w:val="auto"/>
                <w:sz w:val="21"/>
                <w:szCs w:val="21"/>
              </w:rPr>
              <w:t>1.0</w:t>
            </w:r>
          </w:p>
        </w:tc>
        <w:tc>
          <w:tcPr>
            <w:tcW w:w="939" w:type="dxa"/>
            <w:tcBorders>
              <w:top w:val="single" w:color="auto" w:sz="12" w:space="0"/>
            </w:tcBorders>
            <w:shd w:val="clear" w:color="auto" w:fill="auto"/>
            <w:vAlign w:val="center"/>
          </w:tcPr>
          <w:p w14:paraId="51E618BD">
            <w:pPr>
              <w:widowControl/>
              <w:adjustRightInd w:val="0"/>
              <w:snapToGrid w:val="0"/>
              <w:jc w:val="center"/>
              <w:rPr>
                <w:color w:val="auto"/>
                <w:sz w:val="21"/>
                <w:szCs w:val="21"/>
                <w:lang w:val="en-US" w:eastAsia="zh-CN"/>
              </w:rPr>
            </w:pPr>
            <w:r>
              <w:rPr>
                <w:color w:val="auto"/>
                <w:sz w:val="21"/>
                <w:szCs w:val="21"/>
              </w:rPr>
              <w:t>0.0000</w:t>
            </w:r>
          </w:p>
        </w:tc>
        <w:tc>
          <w:tcPr>
            <w:tcW w:w="939" w:type="dxa"/>
            <w:tcBorders>
              <w:top w:val="single" w:color="auto" w:sz="12" w:space="0"/>
            </w:tcBorders>
            <w:shd w:val="clear" w:color="auto" w:fill="auto"/>
            <w:vAlign w:val="center"/>
          </w:tcPr>
          <w:p w14:paraId="14F2C94C">
            <w:pPr>
              <w:widowControl/>
              <w:adjustRightInd w:val="0"/>
              <w:snapToGrid w:val="0"/>
              <w:jc w:val="center"/>
              <w:rPr>
                <w:color w:val="auto"/>
                <w:sz w:val="21"/>
                <w:szCs w:val="21"/>
                <w:lang w:val="en-US" w:eastAsia="zh-CN"/>
              </w:rPr>
            </w:pPr>
            <w:r>
              <w:rPr>
                <w:color w:val="auto"/>
                <w:sz w:val="21"/>
                <w:szCs w:val="21"/>
              </w:rPr>
              <w:t>0.0000</w:t>
            </w:r>
          </w:p>
        </w:tc>
        <w:tc>
          <w:tcPr>
            <w:tcW w:w="939" w:type="dxa"/>
            <w:tcBorders>
              <w:top w:val="single" w:color="auto" w:sz="12" w:space="0"/>
            </w:tcBorders>
            <w:shd w:val="clear" w:color="auto" w:fill="auto"/>
            <w:vAlign w:val="center"/>
          </w:tcPr>
          <w:p w14:paraId="54D41116">
            <w:pPr>
              <w:widowControl/>
              <w:adjustRightInd w:val="0"/>
              <w:snapToGrid w:val="0"/>
              <w:jc w:val="center"/>
              <w:rPr>
                <w:color w:val="auto"/>
                <w:sz w:val="21"/>
                <w:szCs w:val="21"/>
                <w:lang w:val="en-US" w:eastAsia="zh-CN"/>
              </w:rPr>
            </w:pPr>
            <w:r>
              <w:rPr>
                <w:rFonts w:eastAsia="宋体"/>
                <w:color w:val="auto"/>
                <w:sz w:val="21"/>
                <w:szCs w:val="21"/>
              </w:rPr>
              <w:t>0.0000</w:t>
            </w:r>
          </w:p>
        </w:tc>
        <w:tc>
          <w:tcPr>
            <w:tcW w:w="939" w:type="dxa"/>
            <w:tcBorders>
              <w:top w:val="single" w:color="auto" w:sz="12" w:space="0"/>
            </w:tcBorders>
            <w:shd w:val="clear" w:color="auto" w:fill="auto"/>
            <w:vAlign w:val="center"/>
          </w:tcPr>
          <w:p w14:paraId="152C6B87">
            <w:pPr>
              <w:widowControl/>
              <w:adjustRightInd w:val="0"/>
              <w:snapToGrid w:val="0"/>
              <w:jc w:val="center"/>
              <w:rPr>
                <w:color w:val="auto"/>
                <w:sz w:val="21"/>
                <w:szCs w:val="21"/>
                <w:lang w:val="en-US" w:eastAsia="zh-CN"/>
              </w:rPr>
            </w:pPr>
            <w:r>
              <w:rPr>
                <w:rFonts w:eastAsia="宋体"/>
                <w:color w:val="auto"/>
                <w:sz w:val="21"/>
                <w:szCs w:val="21"/>
              </w:rPr>
              <w:t>0.0000</w:t>
            </w:r>
          </w:p>
        </w:tc>
        <w:tc>
          <w:tcPr>
            <w:tcW w:w="940" w:type="dxa"/>
            <w:tcBorders>
              <w:top w:val="single" w:color="auto" w:sz="12" w:space="0"/>
            </w:tcBorders>
            <w:shd w:val="clear" w:color="auto" w:fill="auto"/>
            <w:vAlign w:val="center"/>
          </w:tcPr>
          <w:p w14:paraId="61C45155">
            <w:pPr>
              <w:widowControl/>
              <w:adjustRightInd w:val="0"/>
              <w:snapToGrid w:val="0"/>
              <w:jc w:val="center"/>
              <w:rPr>
                <w:color w:val="auto"/>
                <w:sz w:val="21"/>
                <w:szCs w:val="21"/>
                <w:lang w:val="en-US" w:eastAsia="zh-CN"/>
              </w:rPr>
            </w:pPr>
            <w:r>
              <w:rPr>
                <w:color w:val="auto"/>
                <w:sz w:val="21"/>
                <w:szCs w:val="21"/>
              </w:rPr>
              <w:t>0.0000</w:t>
            </w:r>
          </w:p>
        </w:tc>
        <w:tc>
          <w:tcPr>
            <w:tcW w:w="940" w:type="dxa"/>
            <w:tcBorders>
              <w:top w:val="single" w:color="auto" w:sz="12" w:space="0"/>
            </w:tcBorders>
            <w:shd w:val="clear" w:color="auto" w:fill="auto"/>
            <w:vAlign w:val="center"/>
          </w:tcPr>
          <w:p w14:paraId="756D4121">
            <w:pPr>
              <w:widowControl/>
              <w:adjustRightInd w:val="0"/>
              <w:snapToGrid w:val="0"/>
              <w:jc w:val="center"/>
              <w:rPr>
                <w:color w:val="auto"/>
                <w:sz w:val="21"/>
                <w:szCs w:val="21"/>
                <w:lang w:val="en-US" w:eastAsia="zh-CN"/>
              </w:rPr>
            </w:pPr>
            <w:r>
              <w:rPr>
                <w:color w:val="auto"/>
                <w:sz w:val="21"/>
                <w:szCs w:val="21"/>
              </w:rPr>
              <w:t>0.0000</w:t>
            </w:r>
          </w:p>
        </w:tc>
        <w:tc>
          <w:tcPr>
            <w:tcW w:w="940" w:type="dxa"/>
            <w:tcBorders>
              <w:top w:val="single" w:color="auto" w:sz="12" w:space="0"/>
            </w:tcBorders>
            <w:shd w:val="clear" w:color="auto" w:fill="auto"/>
            <w:vAlign w:val="center"/>
          </w:tcPr>
          <w:p w14:paraId="4BA64FB3">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0.0000</w:t>
            </w:r>
          </w:p>
        </w:tc>
        <w:tc>
          <w:tcPr>
            <w:tcW w:w="940" w:type="dxa"/>
            <w:tcBorders>
              <w:top w:val="single" w:color="auto" w:sz="12" w:space="0"/>
            </w:tcBorders>
            <w:shd w:val="clear" w:color="auto" w:fill="auto"/>
            <w:vAlign w:val="center"/>
          </w:tcPr>
          <w:p w14:paraId="140F4BE3">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0.0000</w:t>
            </w:r>
          </w:p>
        </w:tc>
      </w:tr>
      <w:tr w14:paraId="3F7977F5">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0186B3A8">
            <w:pPr>
              <w:widowControl/>
              <w:adjustRightInd w:val="0"/>
              <w:snapToGrid w:val="0"/>
              <w:jc w:val="center"/>
              <w:rPr>
                <w:color w:val="auto"/>
                <w:sz w:val="21"/>
                <w:szCs w:val="21"/>
                <w:lang w:val="en-US" w:eastAsia="zh-CN"/>
              </w:rPr>
            </w:pPr>
            <w:r>
              <w:rPr>
                <w:color w:val="auto"/>
                <w:sz w:val="21"/>
                <w:szCs w:val="21"/>
              </w:rPr>
              <w:t>25.0</w:t>
            </w:r>
          </w:p>
        </w:tc>
        <w:tc>
          <w:tcPr>
            <w:tcW w:w="939" w:type="dxa"/>
            <w:shd w:val="clear" w:color="auto" w:fill="auto"/>
            <w:vAlign w:val="center"/>
          </w:tcPr>
          <w:p w14:paraId="3E769389">
            <w:pPr>
              <w:widowControl/>
              <w:adjustRightInd w:val="0"/>
              <w:snapToGrid w:val="0"/>
              <w:jc w:val="center"/>
              <w:rPr>
                <w:color w:val="auto"/>
                <w:sz w:val="21"/>
                <w:szCs w:val="21"/>
                <w:lang w:val="en-US" w:eastAsia="zh-CN"/>
              </w:rPr>
            </w:pPr>
            <w:r>
              <w:rPr>
                <w:color w:val="auto"/>
                <w:sz w:val="21"/>
                <w:szCs w:val="21"/>
              </w:rPr>
              <w:t>0.2625</w:t>
            </w:r>
          </w:p>
        </w:tc>
        <w:tc>
          <w:tcPr>
            <w:tcW w:w="939" w:type="dxa"/>
            <w:shd w:val="clear" w:color="auto" w:fill="auto"/>
            <w:vAlign w:val="center"/>
          </w:tcPr>
          <w:p w14:paraId="7E48B46A">
            <w:pPr>
              <w:widowControl/>
              <w:adjustRightInd w:val="0"/>
              <w:snapToGrid w:val="0"/>
              <w:jc w:val="center"/>
              <w:rPr>
                <w:color w:val="auto"/>
                <w:sz w:val="21"/>
                <w:szCs w:val="21"/>
                <w:lang w:val="en-US" w:eastAsia="zh-CN"/>
              </w:rPr>
            </w:pPr>
            <w:r>
              <w:rPr>
                <w:color w:val="auto"/>
                <w:sz w:val="21"/>
                <w:szCs w:val="21"/>
              </w:rPr>
              <w:t>0.0525</w:t>
            </w:r>
          </w:p>
        </w:tc>
        <w:tc>
          <w:tcPr>
            <w:tcW w:w="939" w:type="dxa"/>
            <w:shd w:val="clear" w:color="auto" w:fill="auto"/>
            <w:vAlign w:val="center"/>
          </w:tcPr>
          <w:p w14:paraId="0BFD72CE">
            <w:pPr>
              <w:widowControl/>
              <w:adjustRightInd w:val="0"/>
              <w:snapToGrid w:val="0"/>
              <w:jc w:val="center"/>
              <w:rPr>
                <w:color w:val="auto"/>
                <w:sz w:val="21"/>
                <w:szCs w:val="21"/>
                <w:lang w:val="en-US" w:eastAsia="zh-CN"/>
              </w:rPr>
            </w:pPr>
            <w:r>
              <w:rPr>
                <w:rFonts w:eastAsia="宋体"/>
                <w:color w:val="auto"/>
                <w:sz w:val="21"/>
                <w:szCs w:val="21"/>
              </w:rPr>
              <w:t>0.3658</w:t>
            </w:r>
          </w:p>
        </w:tc>
        <w:tc>
          <w:tcPr>
            <w:tcW w:w="939" w:type="dxa"/>
            <w:shd w:val="clear" w:color="auto" w:fill="auto"/>
            <w:vAlign w:val="center"/>
          </w:tcPr>
          <w:p w14:paraId="3513B044">
            <w:pPr>
              <w:widowControl/>
              <w:adjustRightInd w:val="0"/>
              <w:snapToGrid w:val="0"/>
              <w:jc w:val="center"/>
              <w:rPr>
                <w:color w:val="auto"/>
                <w:sz w:val="21"/>
                <w:szCs w:val="21"/>
                <w:lang w:val="en-US" w:eastAsia="zh-CN"/>
              </w:rPr>
            </w:pPr>
            <w:r>
              <w:rPr>
                <w:rFonts w:eastAsia="宋体"/>
                <w:color w:val="auto"/>
                <w:sz w:val="21"/>
                <w:szCs w:val="21"/>
              </w:rPr>
              <w:t>0.1463</w:t>
            </w:r>
          </w:p>
        </w:tc>
        <w:tc>
          <w:tcPr>
            <w:tcW w:w="940" w:type="dxa"/>
            <w:shd w:val="clear" w:color="auto" w:fill="auto"/>
            <w:vAlign w:val="center"/>
          </w:tcPr>
          <w:p w14:paraId="167F17DA">
            <w:pPr>
              <w:widowControl/>
              <w:adjustRightInd w:val="0"/>
              <w:snapToGrid w:val="0"/>
              <w:jc w:val="center"/>
              <w:rPr>
                <w:color w:val="auto"/>
                <w:sz w:val="21"/>
                <w:szCs w:val="21"/>
                <w:lang w:val="en-US" w:eastAsia="zh-CN"/>
              </w:rPr>
            </w:pPr>
            <w:r>
              <w:rPr>
                <w:color w:val="auto"/>
                <w:sz w:val="21"/>
                <w:szCs w:val="21"/>
              </w:rPr>
              <w:t>0.0027</w:t>
            </w:r>
          </w:p>
        </w:tc>
        <w:tc>
          <w:tcPr>
            <w:tcW w:w="940" w:type="dxa"/>
            <w:shd w:val="clear" w:color="auto" w:fill="auto"/>
            <w:vAlign w:val="center"/>
          </w:tcPr>
          <w:p w14:paraId="49C75092">
            <w:pPr>
              <w:widowControl/>
              <w:adjustRightInd w:val="0"/>
              <w:snapToGrid w:val="0"/>
              <w:jc w:val="center"/>
              <w:rPr>
                <w:color w:val="auto"/>
                <w:sz w:val="21"/>
                <w:szCs w:val="21"/>
                <w:lang w:val="en-US" w:eastAsia="zh-CN"/>
              </w:rPr>
            </w:pPr>
            <w:r>
              <w:rPr>
                <w:color w:val="auto"/>
                <w:sz w:val="21"/>
                <w:szCs w:val="21"/>
              </w:rPr>
              <w:t>0.0003</w:t>
            </w:r>
          </w:p>
        </w:tc>
        <w:tc>
          <w:tcPr>
            <w:tcW w:w="940" w:type="dxa"/>
            <w:shd w:val="clear" w:color="auto" w:fill="auto"/>
            <w:vAlign w:val="center"/>
          </w:tcPr>
          <w:p w14:paraId="50DB6988">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0.0005</w:t>
            </w:r>
          </w:p>
        </w:tc>
        <w:tc>
          <w:tcPr>
            <w:tcW w:w="940" w:type="dxa"/>
            <w:shd w:val="clear" w:color="auto" w:fill="auto"/>
            <w:vAlign w:val="center"/>
          </w:tcPr>
          <w:p w14:paraId="6831CB62">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0.1767</w:t>
            </w:r>
          </w:p>
        </w:tc>
      </w:tr>
      <w:tr w14:paraId="736E601C">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5FA6E093">
            <w:pPr>
              <w:widowControl/>
              <w:adjustRightInd w:val="0"/>
              <w:snapToGrid w:val="0"/>
              <w:jc w:val="center"/>
              <w:rPr>
                <w:color w:val="auto"/>
                <w:sz w:val="21"/>
                <w:szCs w:val="21"/>
                <w:lang w:val="en-US" w:eastAsia="zh-CN"/>
              </w:rPr>
            </w:pPr>
            <w:r>
              <w:rPr>
                <w:color w:val="auto"/>
                <w:sz w:val="21"/>
                <w:szCs w:val="21"/>
              </w:rPr>
              <w:t>50.0</w:t>
            </w:r>
          </w:p>
        </w:tc>
        <w:tc>
          <w:tcPr>
            <w:tcW w:w="939" w:type="dxa"/>
            <w:shd w:val="clear" w:color="auto" w:fill="auto"/>
            <w:vAlign w:val="center"/>
          </w:tcPr>
          <w:p w14:paraId="58CA0C4D">
            <w:pPr>
              <w:widowControl/>
              <w:adjustRightInd w:val="0"/>
              <w:snapToGrid w:val="0"/>
              <w:jc w:val="center"/>
              <w:rPr>
                <w:color w:val="auto"/>
                <w:sz w:val="21"/>
                <w:szCs w:val="21"/>
                <w:lang w:val="en-US" w:eastAsia="zh-CN"/>
              </w:rPr>
            </w:pPr>
            <w:r>
              <w:rPr>
                <w:color w:val="auto"/>
                <w:sz w:val="21"/>
                <w:szCs w:val="21"/>
              </w:rPr>
              <w:t>0.6291</w:t>
            </w:r>
          </w:p>
        </w:tc>
        <w:tc>
          <w:tcPr>
            <w:tcW w:w="939" w:type="dxa"/>
            <w:shd w:val="clear" w:color="auto" w:fill="auto"/>
            <w:vAlign w:val="center"/>
          </w:tcPr>
          <w:p w14:paraId="32213E8B">
            <w:pPr>
              <w:widowControl/>
              <w:adjustRightInd w:val="0"/>
              <w:snapToGrid w:val="0"/>
              <w:jc w:val="center"/>
              <w:rPr>
                <w:color w:val="auto"/>
                <w:sz w:val="21"/>
                <w:szCs w:val="21"/>
                <w:lang w:val="en-US" w:eastAsia="zh-CN"/>
              </w:rPr>
            </w:pPr>
            <w:r>
              <w:rPr>
                <w:color w:val="auto"/>
                <w:sz w:val="21"/>
                <w:szCs w:val="21"/>
              </w:rPr>
              <w:t>0.1258</w:t>
            </w:r>
          </w:p>
        </w:tc>
        <w:tc>
          <w:tcPr>
            <w:tcW w:w="939" w:type="dxa"/>
            <w:shd w:val="clear" w:color="auto" w:fill="auto"/>
            <w:vAlign w:val="center"/>
          </w:tcPr>
          <w:p w14:paraId="400DDB22">
            <w:pPr>
              <w:widowControl/>
              <w:adjustRightInd w:val="0"/>
              <w:snapToGrid w:val="0"/>
              <w:jc w:val="center"/>
              <w:rPr>
                <w:color w:val="auto"/>
                <w:sz w:val="21"/>
                <w:szCs w:val="21"/>
                <w:lang w:val="en-US" w:eastAsia="zh-CN"/>
              </w:rPr>
            </w:pPr>
            <w:r>
              <w:rPr>
                <w:rFonts w:eastAsia="宋体"/>
                <w:color w:val="auto"/>
                <w:sz w:val="21"/>
                <w:szCs w:val="21"/>
              </w:rPr>
              <w:t>0.8769</w:t>
            </w:r>
          </w:p>
        </w:tc>
        <w:tc>
          <w:tcPr>
            <w:tcW w:w="939" w:type="dxa"/>
            <w:shd w:val="clear" w:color="auto" w:fill="auto"/>
            <w:vAlign w:val="center"/>
          </w:tcPr>
          <w:p w14:paraId="59052026">
            <w:pPr>
              <w:widowControl/>
              <w:adjustRightInd w:val="0"/>
              <w:snapToGrid w:val="0"/>
              <w:jc w:val="center"/>
              <w:rPr>
                <w:color w:val="auto"/>
                <w:sz w:val="21"/>
                <w:szCs w:val="21"/>
                <w:lang w:val="en-US" w:eastAsia="zh-CN"/>
              </w:rPr>
            </w:pPr>
            <w:r>
              <w:rPr>
                <w:rFonts w:eastAsia="宋体"/>
                <w:color w:val="auto"/>
                <w:sz w:val="21"/>
                <w:szCs w:val="21"/>
              </w:rPr>
              <w:t>0.3508</w:t>
            </w:r>
          </w:p>
        </w:tc>
        <w:tc>
          <w:tcPr>
            <w:tcW w:w="940" w:type="dxa"/>
            <w:shd w:val="clear" w:color="auto" w:fill="auto"/>
            <w:vAlign w:val="center"/>
          </w:tcPr>
          <w:p w14:paraId="612DF480">
            <w:pPr>
              <w:widowControl/>
              <w:adjustRightInd w:val="0"/>
              <w:snapToGrid w:val="0"/>
              <w:jc w:val="center"/>
              <w:rPr>
                <w:color w:val="auto"/>
                <w:sz w:val="21"/>
                <w:szCs w:val="21"/>
                <w:lang w:val="en-US" w:eastAsia="zh-CN"/>
              </w:rPr>
            </w:pPr>
            <w:r>
              <w:rPr>
                <w:color w:val="auto"/>
                <w:sz w:val="21"/>
                <w:szCs w:val="21"/>
              </w:rPr>
              <w:t>0.0064</w:t>
            </w:r>
          </w:p>
        </w:tc>
        <w:tc>
          <w:tcPr>
            <w:tcW w:w="940" w:type="dxa"/>
            <w:shd w:val="clear" w:color="auto" w:fill="auto"/>
            <w:vAlign w:val="center"/>
          </w:tcPr>
          <w:p w14:paraId="6F5AD0A7">
            <w:pPr>
              <w:widowControl/>
              <w:adjustRightInd w:val="0"/>
              <w:snapToGrid w:val="0"/>
              <w:jc w:val="center"/>
              <w:rPr>
                <w:color w:val="auto"/>
                <w:sz w:val="21"/>
                <w:szCs w:val="21"/>
                <w:lang w:val="en-US" w:eastAsia="zh-CN"/>
              </w:rPr>
            </w:pPr>
            <w:r>
              <w:rPr>
                <w:color w:val="auto"/>
                <w:sz w:val="21"/>
                <w:szCs w:val="21"/>
              </w:rPr>
              <w:t>0.0007</w:t>
            </w:r>
          </w:p>
        </w:tc>
        <w:tc>
          <w:tcPr>
            <w:tcW w:w="940" w:type="dxa"/>
            <w:shd w:val="clear" w:color="auto" w:fill="auto"/>
            <w:vAlign w:val="center"/>
          </w:tcPr>
          <w:p w14:paraId="454D2520">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0.0013</w:t>
            </w:r>
          </w:p>
        </w:tc>
        <w:tc>
          <w:tcPr>
            <w:tcW w:w="940" w:type="dxa"/>
            <w:shd w:val="clear" w:color="auto" w:fill="auto"/>
            <w:vAlign w:val="center"/>
          </w:tcPr>
          <w:p w14:paraId="0A722A68">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0.4236</w:t>
            </w:r>
          </w:p>
        </w:tc>
      </w:tr>
      <w:tr w14:paraId="3A8F132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2FDA1AC7">
            <w:pPr>
              <w:widowControl/>
              <w:adjustRightInd w:val="0"/>
              <w:snapToGrid w:val="0"/>
              <w:jc w:val="center"/>
              <w:rPr>
                <w:color w:val="auto"/>
                <w:sz w:val="21"/>
                <w:szCs w:val="21"/>
                <w:lang w:val="en-US" w:eastAsia="zh-CN"/>
              </w:rPr>
            </w:pPr>
            <w:r>
              <w:rPr>
                <w:color w:val="auto"/>
                <w:sz w:val="21"/>
                <w:szCs w:val="21"/>
              </w:rPr>
              <w:t>75.0</w:t>
            </w:r>
          </w:p>
        </w:tc>
        <w:tc>
          <w:tcPr>
            <w:tcW w:w="939" w:type="dxa"/>
            <w:shd w:val="clear" w:color="auto" w:fill="auto"/>
            <w:vAlign w:val="center"/>
          </w:tcPr>
          <w:p w14:paraId="4A5E7599">
            <w:pPr>
              <w:widowControl/>
              <w:adjustRightInd w:val="0"/>
              <w:snapToGrid w:val="0"/>
              <w:jc w:val="center"/>
              <w:rPr>
                <w:color w:val="auto"/>
                <w:sz w:val="21"/>
                <w:szCs w:val="21"/>
                <w:lang w:val="en-US" w:eastAsia="zh-CN"/>
              </w:rPr>
            </w:pPr>
            <w:r>
              <w:rPr>
                <w:color w:val="auto"/>
                <w:sz w:val="21"/>
                <w:szCs w:val="21"/>
              </w:rPr>
              <w:t>0.5841</w:t>
            </w:r>
          </w:p>
        </w:tc>
        <w:tc>
          <w:tcPr>
            <w:tcW w:w="939" w:type="dxa"/>
            <w:shd w:val="clear" w:color="auto" w:fill="auto"/>
            <w:vAlign w:val="center"/>
          </w:tcPr>
          <w:p w14:paraId="00B131DF">
            <w:pPr>
              <w:widowControl/>
              <w:adjustRightInd w:val="0"/>
              <w:snapToGrid w:val="0"/>
              <w:jc w:val="center"/>
              <w:rPr>
                <w:color w:val="auto"/>
                <w:sz w:val="21"/>
                <w:szCs w:val="21"/>
                <w:lang w:val="en-US" w:eastAsia="zh-CN"/>
              </w:rPr>
            </w:pPr>
            <w:r>
              <w:rPr>
                <w:color w:val="auto"/>
                <w:sz w:val="21"/>
                <w:szCs w:val="21"/>
              </w:rPr>
              <w:t>0.1168</w:t>
            </w:r>
          </w:p>
        </w:tc>
        <w:tc>
          <w:tcPr>
            <w:tcW w:w="939" w:type="dxa"/>
            <w:shd w:val="clear" w:color="auto" w:fill="auto"/>
            <w:vAlign w:val="center"/>
          </w:tcPr>
          <w:p w14:paraId="2B7E0DD4">
            <w:pPr>
              <w:widowControl/>
              <w:adjustRightInd w:val="0"/>
              <w:snapToGrid w:val="0"/>
              <w:jc w:val="center"/>
              <w:rPr>
                <w:color w:val="auto"/>
                <w:sz w:val="21"/>
                <w:szCs w:val="21"/>
                <w:lang w:val="en-US" w:eastAsia="zh-CN"/>
              </w:rPr>
            </w:pPr>
            <w:r>
              <w:rPr>
                <w:rFonts w:eastAsia="宋体"/>
                <w:color w:val="auto"/>
                <w:sz w:val="21"/>
                <w:szCs w:val="21"/>
              </w:rPr>
              <w:t>0.8142</w:t>
            </w:r>
          </w:p>
        </w:tc>
        <w:tc>
          <w:tcPr>
            <w:tcW w:w="939" w:type="dxa"/>
            <w:shd w:val="clear" w:color="auto" w:fill="auto"/>
            <w:vAlign w:val="center"/>
          </w:tcPr>
          <w:p w14:paraId="56BB10C3">
            <w:pPr>
              <w:widowControl/>
              <w:adjustRightInd w:val="0"/>
              <w:snapToGrid w:val="0"/>
              <w:jc w:val="center"/>
              <w:rPr>
                <w:color w:val="auto"/>
                <w:sz w:val="21"/>
                <w:szCs w:val="21"/>
                <w:lang w:val="en-US" w:eastAsia="zh-CN"/>
              </w:rPr>
            </w:pPr>
            <w:r>
              <w:rPr>
                <w:rFonts w:eastAsia="宋体"/>
                <w:color w:val="auto"/>
                <w:sz w:val="21"/>
                <w:szCs w:val="21"/>
              </w:rPr>
              <w:t>0.3257</w:t>
            </w:r>
          </w:p>
        </w:tc>
        <w:tc>
          <w:tcPr>
            <w:tcW w:w="940" w:type="dxa"/>
            <w:shd w:val="clear" w:color="auto" w:fill="auto"/>
            <w:vAlign w:val="center"/>
          </w:tcPr>
          <w:p w14:paraId="3D737207">
            <w:pPr>
              <w:widowControl/>
              <w:adjustRightInd w:val="0"/>
              <w:snapToGrid w:val="0"/>
              <w:jc w:val="center"/>
              <w:rPr>
                <w:color w:val="auto"/>
                <w:sz w:val="21"/>
                <w:szCs w:val="21"/>
                <w:lang w:val="en-US" w:eastAsia="zh-CN"/>
              </w:rPr>
            </w:pPr>
            <w:r>
              <w:rPr>
                <w:color w:val="auto"/>
                <w:sz w:val="21"/>
                <w:szCs w:val="21"/>
              </w:rPr>
              <w:t>0.0059</w:t>
            </w:r>
          </w:p>
        </w:tc>
        <w:tc>
          <w:tcPr>
            <w:tcW w:w="940" w:type="dxa"/>
            <w:shd w:val="clear" w:color="auto" w:fill="auto"/>
            <w:vAlign w:val="center"/>
          </w:tcPr>
          <w:p w14:paraId="01CF6938">
            <w:pPr>
              <w:widowControl/>
              <w:adjustRightInd w:val="0"/>
              <w:snapToGrid w:val="0"/>
              <w:jc w:val="center"/>
              <w:rPr>
                <w:color w:val="auto"/>
                <w:sz w:val="21"/>
                <w:szCs w:val="21"/>
                <w:lang w:val="en-US" w:eastAsia="zh-CN"/>
              </w:rPr>
            </w:pPr>
            <w:r>
              <w:rPr>
                <w:color w:val="auto"/>
                <w:sz w:val="21"/>
                <w:szCs w:val="21"/>
              </w:rPr>
              <w:t>0.0007</w:t>
            </w:r>
          </w:p>
        </w:tc>
        <w:tc>
          <w:tcPr>
            <w:tcW w:w="940" w:type="dxa"/>
            <w:shd w:val="clear" w:color="auto" w:fill="auto"/>
            <w:vAlign w:val="center"/>
          </w:tcPr>
          <w:p w14:paraId="297AD24C">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0.0012</w:t>
            </w:r>
          </w:p>
        </w:tc>
        <w:tc>
          <w:tcPr>
            <w:tcW w:w="940" w:type="dxa"/>
            <w:shd w:val="clear" w:color="auto" w:fill="auto"/>
            <w:vAlign w:val="center"/>
          </w:tcPr>
          <w:p w14:paraId="449EE130">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0.3933</w:t>
            </w:r>
          </w:p>
        </w:tc>
      </w:tr>
      <w:tr w14:paraId="2E70490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609BAC15">
            <w:pPr>
              <w:widowControl/>
              <w:adjustRightInd w:val="0"/>
              <w:snapToGrid w:val="0"/>
              <w:jc w:val="center"/>
              <w:rPr>
                <w:color w:val="auto"/>
                <w:sz w:val="21"/>
                <w:szCs w:val="21"/>
                <w:lang w:val="en-US" w:eastAsia="zh-CN"/>
              </w:rPr>
            </w:pPr>
            <w:r>
              <w:rPr>
                <w:color w:val="auto"/>
                <w:sz w:val="21"/>
                <w:szCs w:val="21"/>
              </w:rPr>
              <w:t>100.0</w:t>
            </w:r>
          </w:p>
        </w:tc>
        <w:tc>
          <w:tcPr>
            <w:tcW w:w="939" w:type="dxa"/>
            <w:shd w:val="clear" w:color="auto" w:fill="auto"/>
            <w:vAlign w:val="center"/>
          </w:tcPr>
          <w:p w14:paraId="2AB48C1D">
            <w:pPr>
              <w:widowControl/>
              <w:adjustRightInd w:val="0"/>
              <w:snapToGrid w:val="0"/>
              <w:jc w:val="center"/>
              <w:rPr>
                <w:color w:val="auto"/>
                <w:sz w:val="21"/>
                <w:szCs w:val="21"/>
                <w:lang w:val="en-US" w:eastAsia="zh-CN"/>
              </w:rPr>
            </w:pPr>
            <w:r>
              <w:rPr>
                <w:color w:val="auto"/>
                <w:sz w:val="21"/>
                <w:szCs w:val="21"/>
              </w:rPr>
              <w:t>0.4686</w:t>
            </w:r>
          </w:p>
        </w:tc>
        <w:tc>
          <w:tcPr>
            <w:tcW w:w="939" w:type="dxa"/>
            <w:shd w:val="clear" w:color="auto" w:fill="auto"/>
            <w:vAlign w:val="center"/>
          </w:tcPr>
          <w:p w14:paraId="4B7A3498">
            <w:pPr>
              <w:widowControl/>
              <w:adjustRightInd w:val="0"/>
              <w:snapToGrid w:val="0"/>
              <w:jc w:val="center"/>
              <w:rPr>
                <w:color w:val="auto"/>
                <w:sz w:val="21"/>
                <w:szCs w:val="21"/>
                <w:lang w:val="en-US" w:eastAsia="zh-CN"/>
              </w:rPr>
            </w:pPr>
            <w:r>
              <w:rPr>
                <w:color w:val="auto"/>
                <w:sz w:val="21"/>
                <w:szCs w:val="21"/>
              </w:rPr>
              <w:t>0.0937</w:t>
            </w:r>
          </w:p>
        </w:tc>
        <w:tc>
          <w:tcPr>
            <w:tcW w:w="939" w:type="dxa"/>
            <w:shd w:val="clear" w:color="auto" w:fill="auto"/>
            <w:vAlign w:val="center"/>
          </w:tcPr>
          <w:p w14:paraId="51AD5FEF">
            <w:pPr>
              <w:widowControl/>
              <w:adjustRightInd w:val="0"/>
              <w:snapToGrid w:val="0"/>
              <w:jc w:val="center"/>
              <w:rPr>
                <w:color w:val="auto"/>
                <w:sz w:val="21"/>
                <w:szCs w:val="21"/>
                <w:lang w:val="en-US" w:eastAsia="zh-CN"/>
              </w:rPr>
            </w:pPr>
            <w:r>
              <w:rPr>
                <w:rFonts w:eastAsia="宋体"/>
                <w:color w:val="auto"/>
                <w:sz w:val="21"/>
                <w:szCs w:val="21"/>
              </w:rPr>
              <w:t>0.6533</w:t>
            </w:r>
          </w:p>
        </w:tc>
        <w:tc>
          <w:tcPr>
            <w:tcW w:w="939" w:type="dxa"/>
            <w:shd w:val="clear" w:color="auto" w:fill="auto"/>
            <w:vAlign w:val="center"/>
          </w:tcPr>
          <w:p w14:paraId="66AAB781">
            <w:pPr>
              <w:widowControl/>
              <w:adjustRightInd w:val="0"/>
              <w:snapToGrid w:val="0"/>
              <w:jc w:val="center"/>
              <w:rPr>
                <w:color w:val="auto"/>
                <w:sz w:val="21"/>
                <w:szCs w:val="21"/>
                <w:lang w:val="en-US" w:eastAsia="zh-CN"/>
              </w:rPr>
            </w:pPr>
            <w:r>
              <w:rPr>
                <w:rFonts w:eastAsia="宋体"/>
                <w:color w:val="auto"/>
                <w:sz w:val="21"/>
                <w:szCs w:val="21"/>
              </w:rPr>
              <w:t>0.2613</w:t>
            </w:r>
          </w:p>
        </w:tc>
        <w:tc>
          <w:tcPr>
            <w:tcW w:w="940" w:type="dxa"/>
            <w:shd w:val="clear" w:color="auto" w:fill="auto"/>
            <w:vAlign w:val="center"/>
          </w:tcPr>
          <w:p w14:paraId="01CC0716">
            <w:pPr>
              <w:widowControl/>
              <w:adjustRightInd w:val="0"/>
              <w:snapToGrid w:val="0"/>
              <w:jc w:val="center"/>
              <w:rPr>
                <w:color w:val="auto"/>
                <w:sz w:val="21"/>
                <w:szCs w:val="21"/>
                <w:lang w:val="en-US" w:eastAsia="zh-CN"/>
              </w:rPr>
            </w:pPr>
            <w:r>
              <w:rPr>
                <w:color w:val="auto"/>
                <w:sz w:val="21"/>
                <w:szCs w:val="21"/>
              </w:rPr>
              <w:t>0.0047</w:t>
            </w:r>
          </w:p>
        </w:tc>
        <w:tc>
          <w:tcPr>
            <w:tcW w:w="940" w:type="dxa"/>
            <w:shd w:val="clear" w:color="auto" w:fill="auto"/>
            <w:vAlign w:val="center"/>
          </w:tcPr>
          <w:p w14:paraId="51EB5EB0">
            <w:pPr>
              <w:widowControl/>
              <w:adjustRightInd w:val="0"/>
              <w:snapToGrid w:val="0"/>
              <w:jc w:val="center"/>
              <w:rPr>
                <w:color w:val="auto"/>
                <w:sz w:val="21"/>
                <w:szCs w:val="21"/>
                <w:lang w:val="en-US" w:eastAsia="zh-CN"/>
              </w:rPr>
            </w:pPr>
            <w:r>
              <w:rPr>
                <w:color w:val="auto"/>
                <w:sz w:val="21"/>
                <w:szCs w:val="21"/>
              </w:rPr>
              <w:t>0.0005</w:t>
            </w:r>
          </w:p>
        </w:tc>
        <w:tc>
          <w:tcPr>
            <w:tcW w:w="940" w:type="dxa"/>
            <w:shd w:val="clear" w:color="auto" w:fill="auto"/>
            <w:vAlign w:val="center"/>
          </w:tcPr>
          <w:p w14:paraId="5DDB9D91">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0.0009</w:t>
            </w:r>
          </w:p>
        </w:tc>
        <w:tc>
          <w:tcPr>
            <w:tcW w:w="940" w:type="dxa"/>
            <w:shd w:val="clear" w:color="auto" w:fill="auto"/>
            <w:vAlign w:val="center"/>
          </w:tcPr>
          <w:p w14:paraId="5BBF547F">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0.3156</w:t>
            </w:r>
          </w:p>
        </w:tc>
      </w:tr>
      <w:tr w14:paraId="55A1F27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02C70E76">
            <w:pPr>
              <w:widowControl/>
              <w:adjustRightInd w:val="0"/>
              <w:snapToGrid w:val="0"/>
              <w:jc w:val="center"/>
              <w:rPr>
                <w:color w:val="auto"/>
                <w:sz w:val="21"/>
                <w:szCs w:val="21"/>
                <w:lang w:val="en-US" w:eastAsia="zh-CN"/>
              </w:rPr>
            </w:pPr>
            <w:r>
              <w:rPr>
                <w:color w:val="auto"/>
                <w:sz w:val="21"/>
                <w:szCs w:val="21"/>
              </w:rPr>
              <w:t>200.0</w:t>
            </w:r>
          </w:p>
        </w:tc>
        <w:tc>
          <w:tcPr>
            <w:tcW w:w="939" w:type="dxa"/>
            <w:shd w:val="clear" w:color="auto" w:fill="auto"/>
            <w:vAlign w:val="center"/>
          </w:tcPr>
          <w:p w14:paraId="4C01B854">
            <w:pPr>
              <w:widowControl/>
              <w:adjustRightInd w:val="0"/>
              <w:snapToGrid w:val="0"/>
              <w:jc w:val="center"/>
              <w:rPr>
                <w:color w:val="auto"/>
                <w:sz w:val="21"/>
                <w:szCs w:val="21"/>
                <w:lang w:val="en-US" w:eastAsia="zh-CN"/>
              </w:rPr>
            </w:pPr>
            <w:r>
              <w:rPr>
                <w:color w:val="auto"/>
                <w:sz w:val="21"/>
                <w:szCs w:val="21"/>
              </w:rPr>
              <w:t>0.7259</w:t>
            </w:r>
          </w:p>
        </w:tc>
        <w:tc>
          <w:tcPr>
            <w:tcW w:w="939" w:type="dxa"/>
            <w:shd w:val="clear" w:color="auto" w:fill="auto"/>
            <w:vAlign w:val="center"/>
          </w:tcPr>
          <w:p w14:paraId="71026903">
            <w:pPr>
              <w:widowControl/>
              <w:adjustRightInd w:val="0"/>
              <w:snapToGrid w:val="0"/>
              <w:jc w:val="center"/>
              <w:rPr>
                <w:color w:val="auto"/>
                <w:sz w:val="21"/>
                <w:szCs w:val="21"/>
                <w:lang w:val="en-US" w:eastAsia="zh-CN"/>
              </w:rPr>
            </w:pPr>
            <w:r>
              <w:rPr>
                <w:color w:val="auto"/>
                <w:sz w:val="21"/>
                <w:szCs w:val="21"/>
              </w:rPr>
              <w:t>0.1452</w:t>
            </w:r>
          </w:p>
        </w:tc>
        <w:tc>
          <w:tcPr>
            <w:tcW w:w="939" w:type="dxa"/>
            <w:shd w:val="clear" w:color="auto" w:fill="auto"/>
            <w:vAlign w:val="center"/>
          </w:tcPr>
          <w:p w14:paraId="1EABF548">
            <w:pPr>
              <w:widowControl/>
              <w:adjustRightInd w:val="0"/>
              <w:snapToGrid w:val="0"/>
              <w:jc w:val="center"/>
              <w:rPr>
                <w:color w:val="auto"/>
                <w:sz w:val="21"/>
                <w:szCs w:val="21"/>
                <w:lang w:val="en-US" w:eastAsia="zh-CN"/>
              </w:rPr>
            </w:pPr>
            <w:r>
              <w:rPr>
                <w:rFonts w:eastAsia="宋体"/>
                <w:color w:val="auto"/>
                <w:sz w:val="21"/>
                <w:szCs w:val="21"/>
              </w:rPr>
              <w:t>1.0118</w:t>
            </w:r>
          </w:p>
        </w:tc>
        <w:tc>
          <w:tcPr>
            <w:tcW w:w="939" w:type="dxa"/>
            <w:shd w:val="clear" w:color="auto" w:fill="auto"/>
            <w:vAlign w:val="center"/>
          </w:tcPr>
          <w:p w14:paraId="4D991B8D">
            <w:pPr>
              <w:widowControl/>
              <w:adjustRightInd w:val="0"/>
              <w:snapToGrid w:val="0"/>
              <w:jc w:val="center"/>
              <w:rPr>
                <w:color w:val="auto"/>
                <w:sz w:val="21"/>
                <w:szCs w:val="21"/>
                <w:lang w:val="en-US" w:eastAsia="zh-CN"/>
              </w:rPr>
            </w:pPr>
            <w:r>
              <w:rPr>
                <w:rFonts w:eastAsia="宋体"/>
                <w:color w:val="auto"/>
                <w:sz w:val="21"/>
                <w:szCs w:val="21"/>
              </w:rPr>
              <w:t>0.4047</w:t>
            </w:r>
          </w:p>
        </w:tc>
        <w:tc>
          <w:tcPr>
            <w:tcW w:w="940" w:type="dxa"/>
            <w:shd w:val="clear" w:color="auto" w:fill="auto"/>
            <w:vAlign w:val="center"/>
          </w:tcPr>
          <w:p w14:paraId="0E58D94D">
            <w:pPr>
              <w:widowControl/>
              <w:adjustRightInd w:val="0"/>
              <w:snapToGrid w:val="0"/>
              <w:jc w:val="center"/>
              <w:rPr>
                <w:color w:val="auto"/>
                <w:sz w:val="21"/>
                <w:szCs w:val="21"/>
                <w:lang w:val="en-US" w:eastAsia="zh-CN"/>
              </w:rPr>
            </w:pPr>
            <w:r>
              <w:rPr>
                <w:color w:val="auto"/>
                <w:sz w:val="21"/>
                <w:szCs w:val="21"/>
              </w:rPr>
              <w:t>0.0073</w:t>
            </w:r>
          </w:p>
        </w:tc>
        <w:tc>
          <w:tcPr>
            <w:tcW w:w="940" w:type="dxa"/>
            <w:shd w:val="clear" w:color="auto" w:fill="auto"/>
            <w:vAlign w:val="center"/>
          </w:tcPr>
          <w:p w14:paraId="47055838">
            <w:pPr>
              <w:widowControl/>
              <w:adjustRightInd w:val="0"/>
              <w:snapToGrid w:val="0"/>
              <w:jc w:val="center"/>
              <w:rPr>
                <w:color w:val="auto"/>
                <w:sz w:val="21"/>
                <w:szCs w:val="21"/>
                <w:lang w:val="en-US" w:eastAsia="zh-CN"/>
              </w:rPr>
            </w:pPr>
            <w:r>
              <w:rPr>
                <w:color w:val="auto"/>
                <w:sz w:val="21"/>
                <w:szCs w:val="21"/>
              </w:rPr>
              <w:t>0.0008</w:t>
            </w:r>
          </w:p>
        </w:tc>
        <w:tc>
          <w:tcPr>
            <w:tcW w:w="940" w:type="dxa"/>
            <w:shd w:val="clear" w:color="auto" w:fill="auto"/>
            <w:vAlign w:val="center"/>
          </w:tcPr>
          <w:p w14:paraId="667C13C3">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0.0015</w:t>
            </w:r>
          </w:p>
        </w:tc>
        <w:tc>
          <w:tcPr>
            <w:tcW w:w="940" w:type="dxa"/>
            <w:shd w:val="clear" w:color="auto" w:fill="auto"/>
            <w:vAlign w:val="center"/>
          </w:tcPr>
          <w:p w14:paraId="7FFBF186">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0.4888</w:t>
            </w:r>
          </w:p>
        </w:tc>
      </w:tr>
      <w:tr w14:paraId="169CB7D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0F1282DE">
            <w:pPr>
              <w:widowControl/>
              <w:adjustRightInd w:val="0"/>
              <w:snapToGrid w:val="0"/>
              <w:jc w:val="center"/>
              <w:rPr>
                <w:color w:val="auto"/>
                <w:sz w:val="21"/>
                <w:szCs w:val="21"/>
                <w:lang w:val="en-US" w:eastAsia="zh-CN"/>
              </w:rPr>
            </w:pPr>
            <w:r>
              <w:rPr>
                <w:color w:val="auto"/>
                <w:sz w:val="21"/>
                <w:szCs w:val="21"/>
              </w:rPr>
              <w:t>300.0</w:t>
            </w:r>
          </w:p>
        </w:tc>
        <w:tc>
          <w:tcPr>
            <w:tcW w:w="939" w:type="dxa"/>
            <w:shd w:val="clear" w:color="auto" w:fill="auto"/>
            <w:vAlign w:val="center"/>
          </w:tcPr>
          <w:p w14:paraId="7C9FBE7A">
            <w:pPr>
              <w:widowControl/>
              <w:adjustRightInd w:val="0"/>
              <w:snapToGrid w:val="0"/>
              <w:jc w:val="center"/>
              <w:rPr>
                <w:color w:val="auto"/>
                <w:sz w:val="21"/>
                <w:szCs w:val="21"/>
                <w:lang w:val="en-US" w:eastAsia="zh-CN"/>
              </w:rPr>
            </w:pPr>
            <w:r>
              <w:rPr>
                <w:color w:val="auto"/>
                <w:sz w:val="21"/>
                <w:szCs w:val="21"/>
              </w:rPr>
              <w:t>1.0024</w:t>
            </w:r>
          </w:p>
        </w:tc>
        <w:tc>
          <w:tcPr>
            <w:tcW w:w="939" w:type="dxa"/>
            <w:shd w:val="clear" w:color="auto" w:fill="auto"/>
            <w:vAlign w:val="center"/>
          </w:tcPr>
          <w:p w14:paraId="0EB8ED96">
            <w:pPr>
              <w:widowControl/>
              <w:adjustRightInd w:val="0"/>
              <w:snapToGrid w:val="0"/>
              <w:jc w:val="center"/>
              <w:rPr>
                <w:color w:val="auto"/>
                <w:sz w:val="21"/>
                <w:szCs w:val="21"/>
                <w:lang w:val="en-US" w:eastAsia="zh-CN"/>
              </w:rPr>
            </w:pPr>
            <w:r>
              <w:rPr>
                <w:color w:val="auto"/>
                <w:sz w:val="21"/>
                <w:szCs w:val="21"/>
              </w:rPr>
              <w:t>0.2005</w:t>
            </w:r>
          </w:p>
        </w:tc>
        <w:tc>
          <w:tcPr>
            <w:tcW w:w="939" w:type="dxa"/>
            <w:shd w:val="clear" w:color="auto" w:fill="auto"/>
            <w:vAlign w:val="center"/>
          </w:tcPr>
          <w:p w14:paraId="69AF21FF">
            <w:pPr>
              <w:widowControl/>
              <w:adjustRightInd w:val="0"/>
              <w:snapToGrid w:val="0"/>
              <w:jc w:val="center"/>
              <w:rPr>
                <w:color w:val="auto"/>
                <w:sz w:val="21"/>
                <w:szCs w:val="21"/>
                <w:lang w:val="en-US" w:eastAsia="zh-CN"/>
              </w:rPr>
            </w:pPr>
            <w:r>
              <w:rPr>
                <w:rFonts w:eastAsia="宋体"/>
                <w:color w:val="auto"/>
                <w:sz w:val="21"/>
                <w:szCs w:val="21"/>
              </w:rPr>
              <w:t>1.3973</w:t>
            </w:r>
          </w:p>
        </w:tc>
        <w:tc>
          <w:tcPr>
            <w:tcW w:w="939" w:type="dxa"/>
            <w:shd w:val="clear" w:color="auto" w:fill="auto"/>
            <w:vAlign w:val="center"/>
          </w:tcPr>
          <w:p w14:paraId="67C89240">
            <w:pPr>
              <w:widowControl/>
              <w:adjustRightInd w:val="0"/>
              <w:snapToGrid w:val="0"/>
              <w:jc w:val="center"/>
              <w:rPr>
                <w:color w:val="auto"/>
                <w:sz w:val="21"/>
                <w:szCs w:val="21"/>
                <w:lang w:val="en-US" w:eastAsia="zh-CN"/>
              </w:rPr>
            </w:pPr>
            <w:r>
              <w:rPr>
                <w:rFonts w:eastAsia="宋体"/>
                <w:color w:val="auto"/>
                <w:sz w:val="21"/>
                <w:szCs w:val="21"/>
              </w:rPr>
              <w:t>0.5589</w:t>
            </w:r>
          </w:p>
        </w:tc>
        <w:tc>
          <w:tcPr>
            <w:tcW w:w="940" w:type="dxa"/>
            <w:shd w:val="clear" w:color="auto" w:fill="auto"/>
            <w:vAlign w:val="center"/>
          </w:tcPr>
          <w:p w14:paraId="5BEC63B9">
            <w:pPr>
              <w:widowControl/>
              <w:adjustRightInd w:val="0"/>
              <w:snapToGrid w:val="0"/>
              <w:jc w:val="center"/>
              <w:rPr>
                <w:color w:val="auto"/>
                <w:sz w:val="21"/>
                <w:szCs w:val="21"/>
                <w:lang w:val="en-US" w:eastAsia="zh-CN"/>
              </w:rPr>
            </w:pPr>
            <w:r>
              <w:rPr>
                <w:color w:val="auto"/>
                <w:sz w:val="21"/>
                <w:szCs w:val="21"/>
              </w:rPr>
              <w:t>0.0101</w:t>
            </w:r>
          </w:p>
        </w:tc>
        <w:tc>
          <w:tcPr>
            <w:tcW w:w="940" w:type="dxa"/>
            <w:shd w:val="clear" w:color="auto" w:fill="auto"/>
            <w:vAlign w:val="center"/>
          </w:tcPr>
          <w:p w14:paraId="42D07CA8">
            <w:pPr>
              <w:widowControl/>
              <w:adjustRightInd w:val="0"/>
              <w:snapToGrid w:val="0"/>
              <w:jc w:val="center"/>
              <w:rPr>
                <w:color w:val="auto"/>
                <w:sz w:val="21"/>
                <w:szCs w:val="21"/>
                <w:lang w:val="en-US" w:eastAsia="zh-CN"/>
              </w:rPr>
            </w:pPr>
            <w:r>
              <w:rPr>
                <w:color w:val="auto"/>
                <w:sz w:val="21"/>
                <w:szCs w:val="21"/>
              </w:rPr>
              <w:t>1.0024</w:t>
            </w:r>
          </w:p>
        </w:tc>
        <w:tc>
          <w:tcPr>
            <w:tcW w:w="940" w:type="dxa"/>
            <w:shd w:val="clear" w:color="auto" w:fill="auto"/>
            <w:vAlign w:val="center"/>
          </w:tcPr>
          <w:p w14:paraId="7A39CA70">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0.0020</w:t>
            </w:r>
          </w:p>
        </w:tc>
        <w:tc>
          <w:tcPr>
            <w:tcW w:w="940" w:type="dxa"/>
            <w:shd w:val="clear" w:color="auto" w:fill="auto"/>
            <w:vAlign w:val="center"/>
          </w:tcPr>
          <w:p w14:paraId="77A0972F">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0.6750</w:t>
            </w:r>
          </w:p>
        </w:tc>
      </w:tr>
      <w:tr w14:paraId="6B868B2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7628E270">
            <w:pPr>
              <w:widowControl/>
              <w:adjustRightInd w:val="0"/>
              <w:snapToGrid w:val="0"/>
              <w:jc w:val="center"/>
              <w:rPr>
                <w:color w:val="auto"/>
                <w:sz w:val="21"/>
                <w:szCs w:val="21"/>
                <w:lang w:val="en-US" w:eastAsia="zh-CN"/>
              </w:rPr>
            </w:pPr>
            <w:r>
              <w:rPr>
                <w:color w:val="auto"/>
                <w:sz w:val="21"/>
                <w:szCs w:val="21"/>
              </w:rPr>
              <w:t>400.0</w:t>
            </w:r>
          </w:p>
        </w:tc>
        <w:tc>
          <w:tcPr>
            <w:tcW w:w="939" w:type="dxa"/>
            <w:shd w:val="clear" w:color="auto" w:fill="auto"/>
            <w:vAlign w:val="center"/>
          </w:tcPr>
          <w:p w14:paraId="168C1FB8">
            <w:pPr>
              <w:widowControl/>
              <w:adjustRightInd w:val="0"/>
              <w:snapToGrid w:val="0"/>
              <w:jc w:val="center"/>
              <w:rPr>
                <w:color w:val="auto"/>
                <w:sz w:val="21"/>
                <w:szCs w:val="21"/>
                <w:lang w:val="en-US" w:eastAsia="zh-CN"/>
              </w:rPr>
            </w:pPr>
            <w:r>
              <w:rPr>
                <w:color w:val="auto"/>
                <w:sz w:val="21"/>
                <w:szCs w:val="21"/>
              </w:rPr>
              <w:t>0.9917</w:t>
            </w:r>
          </w:p>
        </w:tc>
        <w:tc>
          <w:tcPr>
            <w:tcW w:w="939" w:type="dxa"/>
            <w:shd w:val="clear" w:color="auto" w:fill="auto"/>
            <w:vAlign w:val="center"/>
          </w:tcPr>
          <w:p w14:paraId="78114283">
            <w:pPr>
              <w:widowControl/>
              <w:adjustRightInd w:val="0"/>
              <w:snapToGrid w:val="0"/>
              <w:jc w:val="center"/>
              <w:rPr>
                <w:color w:val="auto"/>
                <w:sz w:val="21"/>
                <w:szCs w:val="21"/>
                <w:lang w:val="en-US" w:eastAsia="zh-CN"/>
              </w:rPr>
            </w:pPr>
            <w:r>
              <w:rPr>
                <w:color w:val="auto"/>
                <w:sz w:val="21"/>
                <w:szCs w:val="21"/>
              </w:rPr>
              <w:t>0.1983</w:t>
            </w:r>
          </w:p>
        </w:tc>
        <w:tc>
          <w:tcPr>
            <w:tcW w:w="939" w:type="dxa"/>
            <w:shd w:val="clear" w:color="auto" w:fill="auto"/>
            <w:vAlign w:val="center"/>
          </w:tcPr>
          <w:p w14:paraId="317C1413">
            <w:pPr>
              <w:widowControl/>
              <w:adjustRightInd w:val="0"/>
              <w:snapToGrid w:val="0"/>
              <w:jc w:val="center"/>
              <w:rPr>
                <w:color w:val="auto"/>
                <w:sz w:val="21"/>
                <w:szCs w:val="21"/>
                <w:lang w:val="en-US" w:eastAsia="zh-CN"/>
              </w:rPr>
            </w:pPr>
            <w:r>
              <w:rPr>
                <w:rFonts w:eastAsia="宋体"/>
                <w:color w:val="auto"/>
                <w:sz w:val="21"/>
                <w:szCs w:val="21"/>
              </w:rPr>
              <w:t>1.3973</w:t>
            </w:r>
          </w:p>
        </w:tc>
        <w:tc>
          <w:tcPr>
            <w:tcW w:w="939" w:type="dxa"/>
            <w:shd w:val="clear" w:color="auto" w:fill="auto"/>
            <w:vAlign w:val="center"/>
          </w:tcPr>
          <w:p w14:paraId="197951B7">
            <w:pPr>
              <w:widowControl/>
              <w:adjustRightInd w:val="0"/>
              <w:snapToGrid w:val="0"/>
              <w:jc w:val="center"/>
              <w:rPr>
                <w:color w:val="auto"/>
                <w:sz w:val="21"/>
                <w:szCs w:val="21"/>
                <w:lang w:val="en-US" w:eastAsia="zh-CN"/>
              </w:rPr>
            </w:pPr>
            <w:r>
              <w:rPr>
                <w:rFonts w:eastAsia="宋体"/>
                <w:color w:val="auto"/>
                <w:sz w:val="21"/>
                <w:szCs w:val="21"/>
              </w:rPr>
              <w:t>0.5589</w:t>
            </w:r>
          </w:p>
        </w:tc>
        <w:tc>
          <w:tcPr>
            <w:tcW w:w="940" w:type="dxa"/>
            <w:shd w:val="clear" w:color="auto" w:fill="auto"/>
            <w:vAlign w:val="center"/>
          </w:tcPr>
          <w:p w14:paraId="60BA8E64">
            <w:pPr>
              <w:widowControl/>
              <w:adjustRightInd w:val="0"/>
              <w:snapToGrid w:val="0"/>
              <w:jc w:val="center"/>
              <w:rPr>
                <w:color w:val="auto"/>
                <w:sz w:val="21"/>
                <w:szCs w:val="21"/>
                <w:lang w:val="en-US" w:eastAsia="zh-CN"/>
              </w:rPr>
            </w:pPr>
            <w:r>
              <w:rPr>
                <w:color w:val="auto"/>
                <w:sz w:val="21"/>
                <w:szCs w:val="21"/>
              </w:rPr>
              <w:t>0.0100</w:t>
            </w:r>
          </w:p>
        </w:tc>
        <w:tc>
          <w:tcPr>
            <w:tcW w:w="940" w:type="dxa"/>
            <w:shd w:val="clear" w:color="auto" w:fill="auto"/>
            <w:vAlign w:val="center"/>
          </w:tcPr>
          <w:p w14:paraId="1AA39B32">
            <w:pPr>
              <w:widowControl/>
              <w:adjustRightInd w:val="0"/>
              <w:snapToGrid w:val="0"/>
              <w:jc w:val="center"/>
              <w:rPr>
                <w:color w:val="auto"/>
                <w:sz w:val="21"/>
                <w:szCs w:val="21"/>
                <w:lang w:val="en-US" w:eastAsia="zh-CN"/>
              </w:rPr>
            </w:pPr>
            <w:r>
              <w:rPr>
                <w:color w:val="auto"/>
                <w:sz w:val="21"/>
                <w:szCs w:val="21"/>
              </w:rPr>
              <w:t>0.0011</w:t>
            </w:r>
          </w:p>
        </w:tc>
        <w:tc>
          <w:tcPr>
            <w:tcW w:w="940" w:type="dxa"/>
            <w:shd w:val="clear" w:color="auto" w:fill="auto"/>
            <w:vAlign w:val="center"/>
          </w:tcPr>
          <w:p w14:paraId="15DDB801">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0.0020</w:t>
            </w:r>
          </w:p>
        </w:tc>
        <w:tc>
          <w:tcPr>
            <w:tcW w:w="940" w:type="dxa"/>
            <w:shd w:val="clear" w:color="auto" w:fill="auto"/>
            <w:vAlign w:val="center"/>
          </w:tcPr>
          <w:p w14:paraId="490A88F4">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0.6678</w:t>
            </w:r>
          </w:p>
        </w:tc>
      </w:tr>
      <w:tr w14:paraId="0AF00B22">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61132892">
            <w:pPr>
              <w:widowControl/>
              <w:adjustRightInd w:val="0"/>
              <w:snapToGrid w:val="0"/>
              <w:jc w:val="center"/>
              <w:rPr>
                <w:color w:val="auto"/>
                <w:sz w:val="21"/>
                <w:szCs w:val="21"/>
                <w:lang w:val="en-US" w:eastAsia="zh-CN"/>
              </w:rPr>
            </w:pPr>
            <w:r>
              <w:rPr>
                <w:color w:val="auto"/>
                <w:sz w:val="21"/>
                <w:szCs w:val="21"/>
              </w:rPr>
              <w:t>500.0</w:t>
            </w:r>
          </w:p>
        </w:tc>
        <w:tc>
          <w:tcPr>
            <w:tcW w:w="939" w:type="dxa"/>
            <w:shd w:val="clear" w:color="auto" w:fill="auto"/>
            <w:vAlign w:val="center"/>
          </w:tcPr>
          <w:p w14:paraId="5B064BF8">
            <w:pPr>
              <w:widowControl/>
              <w:adjustRightInd w:val="0"/>
              <w:snapToGrid w:val="0"/>
              <w:jc w:val="center"/>
              <w:rPr>
                <w:color w:val="auto"/>
                <w:sz w:val="21"/>
                <w:szCs w:val="21"/>
                <w:lang w:val="en-US" w:eastAsia="zh-CN"/>
              </w:rPr>
            </w:pPr>
            <w:r>
              <w:rPr>
                <w:color w:val="auto"/>
                <w:sz w:val="21"/>
                <w:szCs w:val="21"/>
              </w:rPr>
              <w:t>0.9095</w:t>
            </w:r>
          </w:p>
        </w:tc>
        <w:tc>
          <w:tcPr>
            <w:tcW w:w="939" w:type="dxa"/>
            <w:shd w:val="clear" w:color="auto" w:fill="auto"/>
            <w:vAlign w:val="center"/>
          </w:tcPr>
          <w:p w14:paraId="58B08326">
            <w:pPr>
              <w:widowControl/>
              <w:adjustRightInd w:val="0"/>
              <w:snapToGrid w:val="0"/>
              <w:jc w:val="center"/>
              <w:rPr>
                <w:color w:val="auto"/>
                <w:sz w:val="21"/>
                <w:szCs w:val="21"/>
                <w:lang w:val="en-US" w:eastAsia="zh-CN"/>
              </w:rPr>
            </w:pPr>
            <w:r>
              <w:rPr>
                <w:color w:val="auto"/>
                <w:sz w:val="21"/>
                <w:szCs w:val="21"/>
              </w:rPr>
              <w:t>0.1819</w:t>
            </w:r>
          </w:p>
        </w:tc>
        <w:tc>
          <w:tcPr>
            <w:tcW w:w="939" w:type="dxa"/>
            <w:shd w:val="clear" w:color="auto" w:fill="auto"/>
            <w:vAlign w:val="center"/>
          </w:tcPr>
          <w:p w14:paraId="6A70C287">
            <w:pPr>
              <w:widowControl/>
              <w:adjustRightInd w:val="0"/>
              <w:snapToGrid w:val="0"/>
              <w:jc w:val="center"/>
              <w:rPr>
                <w:color w:val="auto"/>
                <w:sz w:val="21"/>
                <w:szCs w:val="21"/>
                <w:lang w:val="en-US" w:eastAsia="zh-CN"/>
              </w:rPr>
            </w:pPr>
            <w:r>
              <w:rPr>
                <w:rFonts w:eastAsia="宋体"/>
                <w:color w:val="auto"/>
                <w:sz w:val="21"/>
                <w:szCs w:val="21"/>
              </w:rPr>
              <w:t>1.2678</w:t>
            </w:r>
          </w:p>
        </w:tc>
        <w:tc>
          <w:tcPr>
            <w:tcW w:w="939" w:type="dxa"/>
            <w:shd w:val="clear" w:color="auto" w:fill="auto"/>
            <w:vAlign w:val="center"/>
          </w:tcPr>
          <w:p w14:paraId="0744B96B">
            <w:pPr>
              <w:widowControl/>
              <w:adjustRightInd w:val="0"/>
              <w:snapToGrid w:val="0"/>
              <w:jc w:val="center"/>
              <w:rPr>
                <w:color w:val="auto"/>
                <w:sz w:val="21"/>
                <w:szCs w:val="21"/>
                <w:lang w:val="en-US" w:eastAsia="zh-CN"/>
              </w:rPr>
            </w:pPr>
            <w:r>
              <w:rPr>
                <w:rFonts w:eastAsia="宋体"/>
                <w:color w:val="auto"/>
                <w:sz w:val="21"/>
                <w:szCs w:val="21"/>
              </w:rPr>
              <w:t>0.5071</w:t>
            </w:r>
          </w:p>
        </w:tc>
        <w:tc>
          <w:tcPr>
            <w:tcW w:w="940" w:type="dxa"/>
            <w:shd w:val="clear" w:color="auto" w:fill="auto"/>
            <w:vAlign w:val="center"/>
          </w:tcPr>
          <w:p w14:paraId="72F41DB3">
            <w:pPr>
              <w:widowControl/>
              <w:adjustRightInd w:val="0"/>
              <w:snapToGrid w:val="0"/>
              <w:jc w:val="center"/>
              <w:rPr>
                <w:color w:val="auto"/>
                <w:sz w:val="21"/>
                <w:szCs w:val="21"/>
                <w:lang w:val="en-US" w:eastAsia="zh-CN"/>
              </w:rPr>
            </w:pPr>
            <w:r>
              <w:rPr>
                <w:color w:val="auto"/>
                <w:sz w:val="21"/>
                <w:szCs w:val="21"/>
              </w:rPr>
              <w:t>0.0092</w:t>
            </w:r>
          </w:p>
        </w:tc>
        <w:tc>
          <w:tcPr>
            <w:tcW w:w="940" w:type="dxa"/>
            <w:shd w:val="clear" w:color="auto" w:fill="auto"/>
            <w:vAlign w:val="center"/>
          </w:tcPr>
          <w:p w14:paraId="38666B52">
            <w:pPr>
              <w:widowControl/>
              <w:adjustRightInd w:val="0"/>
              <w:snapToGrid w:val="0"/>
              <w:jc w:val="center"/>
              <w:rPr>
                <w:color w:val="auto"/>
                <w:sz w:val="21"/>
                <w:szCs w:val="21"/>
                <w:lang w:val="en-US" w:eastAsia="zh-CN"/>
              </w:rPr>
            </w:pPr>
            <w:r>
              <w:rPr>
                <w:color w:val="auto"/>
                <w:sz w:val="21"/>
                <w:szCs w:val="21"/>
              </w:rPr>
              <w:t>0.0010</w:t>
            </w:r>
          </w:p>
        </w:tc>
        <w:tc>
          <w:tcPr>
            <w:tcW w:w="940" w:type="dxa"/>
            <w:shd w:val="clear" w:color="auto" w:fill="auto"/>
            <w:vAlign w:val="center"/>
          </w:tcPr>
          <w:p w14:paraId="1280CE22">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0.0018</w:t>
            </w:r>
          </w:p>
        </w:tc>
        <w:tc>
          <w:tcPr>
            <w:tcW w:w="940" w:type="dxa"/>
            <w:shd w:val="clear" w:color="auto" w:fill="auto"/>
            <w:vAlign w:val="center"/>
          </w:tcPr>
          <w:p w14:paraId="0A02A4AC">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0.6124</w:t>
            </w:r>
          </w:p>
        </w:tc>
      </w:tr>
      <w:tr w14:paraId="6F537FB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7F5B2F5A">
            <w:pPr>
              <w:widowControl/>
              <w:adjustRightInd w:val="0"/>
              <w:snapToGrid w:val="0"/>
              <w:jc w:val="center"/>
              <w:rPr>
                <w:color w:val="auto"/>
                <w:sz w:val="21"/>
                <w:szCs w:val="21"/>
                <w:lang w:val="en-US" w:eastAsia="zh-CN"/>
              </w:rPr>
            </w:pPr>
            <w:r>
              <w:rPr>
                <w:color w:val="auto"/>
                <w:sz w:val="21"/>
                <w:szCs w:val="21"/>
              </w:rPr>
              <w:t>600.0</w:t>
            </w:r>
          </w:p>
        </w:tc>
        <w:tc>
          <w:tcPr>
            <w:tcW w:w="939" w:type="dxa"/>
            <w:shd w:val="clear" w:color="auto" w:fill="auto"/>
            <w:vAlign w:val="center"/>
          </w:tcPr>
          <w:p w14:paraId="62BBD877">
            <w:pPr>
              <w:widowControl/>
              <w:adjustRightInd w:val="0"/>
              <w:snapToGrid w:val="0"/>
              <w:jc w:val="center"/>
              <w:rPr>
                <w:color w:val="auto"/>
                <w:sz w:val="21"/>
                <w:szCs w:val="21"/>
                <w:lang w:val="en-US" w:eastAsia="zh-CN"/>
              </w:rPr>
            </w:pPr>
            <w:r>
              <w:rPr>
                <w:color w:val="auto"/>
                <w:sz w:val="21"/>
                <w:szCs w:val="21"/>
              </w:rPr>
              <w:t>0.8239</w:t>
            </w:r>
          </w:p>
        </w:tc>
        <w:tc>
          <w:tcPr>
            <w:tcW w:w="939" w:type="dxa"/>
            <w:shd w:val="clear" w:color="auto" w:fill="auto"/>
            <w:vAlign w:val="center"/>
          </w:tcPr>
          <w:p w14:paraId="55780077">
            <w:pPr>
              <w:widowControl/>
              <w:adjustRightInd w:val="0"/>
              <w:snapToGrid w:val="0"/>
              <w:jc w:val="center"/>
              <w:rPr>
                <w:color w:val="auto"/>
                <w:sz w:val="21"/>
                <w:szCs w:val="21"/>
                <w:lang w:val="en-US" w:eastAsia="zh-CN"/>
              </w:rPr>
            </w:pPr>
            <w:r>
              <w:rPr>
                <w:color w:val="auto"/>
                <w:sz w:val="21"/>
                <w:szCs w:val="21"/>
              </w:rPr>
              <w:t>0.1648</w:t>
            </w:r>
          </w:p>
        </w:tc>
        <w:tc>
          <w:tcPr>
            <w:tcW w:w="939" w:type="dxa"/>
            <w:shd w:val="clear" w:color="auto" w:fill="auto"/>
            <w:vAlign w:val="center"/>
          </w:tcPr>
          <w:p w14:paraId="1C8D8F2D">
            <w:pPr>
              <w:widowControl/>
              <w:adjustRightInd w:val="0"/>
              <w:snapToGrid w:val="0"/>
              <w:jc w:val="center"/>
              <w:rPr>
                <w:color w:val="auto"/>
                <w:sz w:val="21"/>
                <w:szCs w:val="21"/>
                <w:lang w:val="en-US" w:eastAsia="zh-CN"/>
              </w:rPr>
            </w:pPr>
            <w:r>
              <w:rPr>
                <w:rFonts w:eastAsia="宋体"/>
                <w:color w:val="auto"/>
                <w:sz w:val="21"/>
                <w:szCs w:val="21"/>
              </w:rPr>
              <w:t>1.1484</w:t>
            </w:r>
          </w:p>
        </w:tc>
        <w:tc>
          <w:tcPr>
            <w:tcW w:w="939" w:type="dxa"/>
            <w:shd w:val="clear" w:color="auto" w:fill="auto"/>
            <w:vAlign w:val="center"/>
          </w:tcPr>
          <w:p w14:paraId="354491B3">
            <w:pPr>
              <w:widowControl/>
              <w:adjustRightInd w:val="0"/>
              <w:snapToGrid w:val="0"/>
              <w:jc w:val="center"/>
              <w:rPr>
                <w:color w:val="auto"/>
                <w:sz w:val="21"/>
                <w:szCs w:val="21"/>
                <w:lang w:val="en-US" w:eastAsia="zh-CN"/>
              </w:rPr>
            </w:pPr>
            <w:r>
              <w:rPr>
                <w:rFonts w:eastAsia="宋体"/>
                <w:color w:val="auto"/>
                <w:sz w:val="21"/>
                <w:szCs w:val="21"/>
              </w:rPr>
              <w:t>0.4594</w:t>
            </w:r>
          </w:p>
        </w:tc>
        <w:tc>
          <w:tcPr>
            <w:tcW w:w="940" w:type="dxa"/>
            <w:shd w:val="clear" w:color="auto" w:fill="auto"/>
            <w:vAlign w:val="center"/>
          </w:tcPr>
          <w:p w14:paraId="1CAFD510">
            <w:pPr>
              <w:widowControl/>
              <w:adjustRightInd w:val="0"/>
              <w:snapToGrid w:val="0"/>
              <w:jc w:val="center"/>
              <w:rPr>
                <w:color w:val="auto"/>
                <w:sz w:val="21"/>
                <w:szCs w:val="21"/>
                <w:lang w:val="en-US" w:eastAsia="zh-CN"/>
              </w:rPr>
            </w:pPr>
            <w:r>
              <w:rPr>
                <w:color w:val="auto"/>
                <w:sz w:val="21"/>
                <w:szCs w:val="21"/>
              </w:rPr>
              <w:t>0.0083</w:t>
            </w:r>
          </w:p>
        </w:tc>
        <w:tc>
          <w:tcPr>
            <w:tcW w:w="940" w:type="dxa"/>
            <w:shd w:val="clear" w:color="auto" w:fill="auto"/>
            <w:vAlign w:val="center"/>
          </w:tcPr>
          <w:p w14:paraId="188C3DF5">
            <w:pPr>
              <w:widowControl/>
              <w:adjustRightInd w:val="0"/>
              <w:snapToGrid w:val="0"/>
              <w:jc w:val="center"/>
              <w:rPr>
                <w:color w:val="auto"/>
                <w:sz w:val="21"/>
                <w:szCs w:val="21"/>
                <w:lang w:val="en-US" w:eastAsia="zh-CN"/>
              </w:rPr>
            </w:pPr>
            <w:r>
              <w:rPr>
                <w:color w:val="auto"/>
                <w:sz w:val="21"/>
                <w:szCs w:val="21"/>
              </w:rPr>
              <w:t>0.0009</w:t>
            </w:r>
          </w:p>
        </w:tc>
        <w:tc>
          <w:tcPr>
            <w:tcW w:w="940" w:type="dxa"/>
            <w:shd w:val="clear" w:color="auto" w:fill="auto"/>
            <w:vAlign w:val="center"/>
          </w:tcPr>
          <w:p w14:paraId="29357ACE">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0.0017</w:t>
            </w:r>
          </w:p>
        </w:tc>
        <w:tc>
          <w:tcPr>
            <w:tcW w:w="940" w:type="dxa"/>
            <w:shd w:val="clear" w:color="auto" w:fill="auto"/>
            <w:vAlign w:val="center"/>
          </w:tcPr>
          <w:p w14:paraId="1570C0DF">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0.5548</w:t>
            </w:r>
          </w:p>
        </w:tc>
      </w:tr>
      <w:tr w14:paraId="4FAD9F5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403161D7">
            <w:pPr>
              <w:widowControl/>
              <w:adjustRightInd w:val="0"/>
              <w:snapToGrid w:val="0"/>
              <w:jc w:val="center"/>
              <w:rPr>
                <w:color w:val="auto"/>
                <w:sz w:val="21"/>
                <w:szCs w:val="21"/>
                <w:lang w:val="en-US" w:eastAsia="zh-CN"/>
              </w:rPr>
            </w:pPr>
            <w:r>
              <w:rPr>
                <w:color w:val="auto"/>
                <w:sz w:val="21"/>
                <w:szCs w:val="21"/>
              </w:rPr>
              <w:t>700.0</w:t>
            </w:r>
          </w:p>
        </w:tc>
        <w:tc>
          <w:tcPr>
            <w:tcW w:w="939" w:type="dxa"/>
            <w:shd w:val="clear" w:color="auto" w:fill="auto"/>
            <w:vAlign w:val="center"/>
          </w:tcPr>
          <w:p w14:paraId="4C2DD56C">
            <w:pPr>
              <w:widowControl/>
              <w:adjustRightInd w:val="0"/>
              <w:snapToGrid w:val="0"/>
              <w:jc w:val="center"/>
              <w:rPr>
                <w:color w:val="auto"/>
                <w:sz w:val="21"/>
                <w:szCs w:val="21"/>
                <w:lang w:val="en-US" w:eastAsia="zh-CN"/>
              </w:rPr>
            </w:pPr>
            <w:r>
              <w:rPr>
                <w:color w:val="auto"/>
                <w:sz w:val="21"/>
                <w:szCs w:val="21"/>
              </w:rPr>
              <w:t>0.7456</w:t>
            </w:r>
          </w:p>
        </w:tc>
        <w:tc>
          <w:tcPr>
            <w:tcW w:w="939" w:type="dxa"/>
            <w:shd w:val="clear" w:color="auto" w:fill="auto"/>
            <w:vAlign w:val="center"/>
          </w:tcPr>
          <w:p w14:paraId="2E8E9B11">
            <w:pPr>
              <w:widowControl/>
              <w:adjustRightInd w:val="0"/>
              <w:snapToGrid w:val="0"/>
              <w:jc w:val="center"/>
              <w:rPr>
                <w:color w:val="auto"/>
                <w:sz w:val="21"/>
                <w:szCs w:val="21"/>
                <w:lang w:val="en-US" w:eastAsia="zh-CN"/>
              </w:rPr>
            </w:pPr>
            <w:r>
              <w:rPr>
                <w:color w:val="auto"/>
                <w:sz w:val="21"/>
                <w:szCs w:val="21"/>
              </w:rPr>
              <w:t>0.1491</w:t>
            </w:r>
          </w:p>
        </w:tc>
        <w:tc>
          <w:tcPr>
            <w:tcW w:w="939" w:type="dxa"/>
            <w:shd w:val="clear" w:color="auto" w:fill="auto"/>
            <w:vAlign w:val="center"/>
          </w:tcPr>
          <w:p w14:paraId="02F2DAC0">
            <w:pPr>
              <w:widowControl/>
              <w:adjustRightInd w:val="0"/>
              <w:snapToGrid w:val="0"/>
              <w:jc w:val="center"/>
              <w:rPr>
                <w:color w:val="auto"/>
                <w:sz w:val="21"/>
                <w:szCs w:val="21"/>
                <w:lang w:val="en-US" w:eastAsia="zh-CN"/>
              </w:rPr>
            </w:pPr>
            <w:r>
              <w:rPr>
                <w:rFonts w:eastAsia="宋体"/>
                <w:color w:val="auto"/>
                <w:sz w:val="21"/>
                <w:szCs w:val="21"/>
              </w:rPr>
              <w:t>1.0393</w:t>
            </w:r>
          </w:p>
        </w:tc>
        <w:tc>
          <w:tcPr>
            <w:tcW w:w="939" w:type="dxa"/>
            <w:shd w:val="clear" w:color="auto" w:fill="auto"/>
            <w:vAlign w:val="center"/>
          </w:tcPr>
          <w:p w14:paraId="636E7CFD">
            <w:pPr>
              <w:widowControl/>
              <w:adjustRightInd w:val="0"/>
              <w:snapToGrid w:val="0"/>
              <w:jc w:val="center"/>
              <w:rPr>
                <w:color w:val="auto"/>
                <w:sz w:val="21"/>
                <w:szCs w:val="21"/>
                <w:lang w:val="en-US" w:eastAsia="zh-CN"/>
              </w:rPr>
            </w:pPr>
            <w:r>
              <w:rPr>
                <w:rFonts w:eastAsia="宋体"/>
                <w:color w:val="auto"/>
                <w:sz w:val="21"/>
                <w:szCs w:val="21"/>
              </w:rPr>
              <w:t>0.4157</w:t>
            </w:r>
          </w:p>
        </w:tc>
        <w:tc>
          <w:tcPr>
            <w:tcW w:w="940" w:type="dxa"/>
            <w:shd w:val="clear" w:color="auto" w:fill="auto"/>
            <w:vAlign w:val="center"/>
          </w:tcPr>
          <w:p w14:paraId="6F2643E5">
            <w:pPr>
              <w:widowControl/>
              <w:adjustRightInd w:val="0"/>
              <w:snapToGrid w:val="0"/>
              <w:jc w:val="center"/>
              <w:rPr>
                <w:color w:val="auto"/>
                <w:sz w:val="21"/>
                <w:szCs w:val="21"/>
                <w:lang w:val="en-US" w:eastAsia="zh-CN"/>
              </w:rPr>
            </w:pPr>
            <w:r>
              <w:rPr>
                <w:color w:val="auto"/>
                <w:sz w:val="21"/>
                <w:szCs w:val="21"/>
              </w:rPr>
              <w:t>0.0075</w:t>
            </w:r>
          </w:p>
        </w:tc>
        <w:tc>
          <w:tcPr>
            <w:tcW w:w="940" w:type="dxa"/>
            <w:shd w:val="clear" w:color="auto" w:fill="auto"/>
            <w:vAlign w:val="center"/>
          </w:tcPr>
          <w:p w14:paraId="4509C286">
            <w:pPr>
              <w:widowControl/>
              <w:adjustRightInd w:val="0"/>
              <w:snapToGrid w:val="0"/>
              <w:jc w:val="center"/>
              <w:rPr>
                <w:color w:val="auto"/>
                <w:sz w:val="21"/>
                <w:szCs w:val="21"/>
                <w:lang w:val="en-US" w:eastAsia="zh-CN"/>
              </w:rPr>
            </w:pPr>
            <w:r>
              <w:rPr>
                <w:color w:val="auto"/>
                <w:sz w:val="21"/>
                <w:szCs w:val="21"/>
              </w:rPr>
              <w:t>0.0008</w:t>
            </w:r>
          </w:p>
        </w:tc>
        <w:tc>
          <w:tcPr>
            <w:tcW w:w="940" w:type="dxa"/>
            <w:shd w:val="clear" w:color="auto" w:fill="auto"/>
            <w:vAlign w:val="center"/>
          </w:tcPr>
          <w:p w14:paraId="01F7A610">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0.0015</w:t>
            </w:r>
          </w:p>
        </w:tc>
        <w:tc>
          <w:tcPr>
            <w:tcW w:w="940" w:type="dxa"/>
            <w:shd w:val="clear" w:color="auto" w:fill="auto"/>
            <w:vAlign w:val="center"/>
          </w:tcPr>
          <w:p w14:paraId="67BBCEAC">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0.5021</w:t>
            </w:r>
          </w:p>
        </w:tc>
      </w:tr>
      <w:tr w14:paraId="366AEEC3">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2ECEFB25">
            <w:pPr>
              <w:widowControl/>
              <w:adjustRightInd w:val="0"/>
              <w:snapToGrid w:val="0"/>
              <w:jc w:val="center"/>
              <w:rPr>
                <w:color w:val="auto"/>
                <w:sz w:val="21"/>
                <w:szCs w:val="21"/>
                <w:lang w:val="en-US" w:eastAsia="zh-CN"/>
              </w:rPr>
            </w:pPr>
            <w:r>
              <w:rPr>
                <w:color w:val="auto"/>
                <w:sz w:val="21"/>
                <w:szCs w:val="21"/>
              </w:rPr>
              <w:t>800.0</w:t>
            </w:r>
          </w:p>
        </w:tc>
        <w:tc>
          <w:tcPr>
            <w:tcW w:w="939" w:type="dxa"/>
            <w:shd w:val="clear" w:color="auto" w:fill="auto"/>
            <w:vAlign w:val="center"/>
          </w:tcPr>
          <w:p w14:paraId="19C74796">
            <w:pPr>
              <w:widowControl/>
              <w:adjustRightInd w:val="0"/>
              <w:snapToGrid w:val="0"/>
              <w:jc w:val="center"/>
              <w:rPr>
                <w:color w:val="auto"/>
                <w:sz w:val="21"/>
                <w:szCs w:val="21"/>
                <w:lang w:val="en-US" w:eastAsia="zh-CN"/>
              </w:rPr>
            </w:pPr>
            <w:r>
              <w:rPr>
                <w:color w:val="auto"/>
                <w:sz w:val="21"/>
                <w:szCs w:val="21"/>
              </w:rPr>
              <w:t>0.6773</w:t>
            </w:r>
          </w:p>
        </w:tc>
        <w:tc>
          <w:tcPr>
            <w:tcW w:w="939" w:type="dxa"/>
            <w:shd w:val="clear" w:color="auto" w:fill="auto"/>
            <w:vAlign w:val="center"/>
          </w:tcPr>
          <w:p w14:paraId="32B4B05D">
            <w:pPr>
              <w:widowControl/>
              <w:adjustRightInd w:val="0"/>
              <w:snapToGrid w:val="0"/>
              <w:jc w:val="center"/>
              <w:rPr>
                <w:color w:val="auto"/>
                <w:sz w:val="21"/>
                <w:szCs w:val="21"/>
                <w:lang w:val="en-US" w:eastAsia="zh-CN"/>
              </w:rPr>
            </w:pPr>
            <w:r>
              <w:rPr>
                <w:color w:val="auto"/>
                <w:sz w:val="21"/>
                <w:szCs w:val="21"/>
              </w:rPr>
              <w:t>0.1355</w:t>
            </w:r>
          </w:p>
        </w:tc>
        <w:tc>
          <w:tcPr>
            <w:tcW w:w="939" w:type="dxa"/>
            <w:shd w:val="clear" w:color="auto" w:fill="auto"/>
            <w:vAlign w:val="center"/>
          </w:tcPr>
          <w:p w14:paraId="50DD44F1">
            <w:pPr>
              <w:widowControl/>
              <w:adjustRightInd w:val="0"/>
              <w:snapToGrid w:val="0"/>
              <w:jc w:val="center"/>
              <w:rPr>
                <w:color w:val="auto"/>
                <w:sz w:val="21"/>
                <w:szCs w:val="21"/>
                <w:lang w:val="en-US" w:eastAsia="zh-CN"/>
              </w:rPr>
            </w:pPr>
            <w:r>
              <w:rPr>
                <w:rFonts w:eastAsia="宋体"/>
                <w:color w:val="auto"/>
                <w:sz w:val="21"/>
                <w:szCs w:val="21"/>
              </w:rPr>
              <w:t>0.9441</w:t>
            </w:r>
          </w:p>
        </w:tc>
        <w:tc>
          <w:tcPr>
            <w:tcW w:w="939" w:type="dxa"/>
            <w:shd w:val="clear" w:color="auto" w:fill="auto"/>
            <w:vAlign w:val="center"/>
          </w:tcPr>
          <w:p w14:paraId="47140C37">
            <w:pPr>
              <w:widowControl/>
              <w:adjustRightInd w:val="0"/>
              <w:snapToGrid w:val="0"/>
              <w:jc w:val="center"/>
              <w:rPr>
                <w:color w:val="auto"/>
                <w:sz w:val="21"/>
                <w:szCs w:val="21"/>
                <w:lang w:val="en-US" w:eastAsia="zh-CN"/>
              </w:rPr>
            </w:pPr>
            <w:r>
              <w:rPr>
                <w:rFonts w:eastAsia="宋体"/>
                <w:color w:val="auto"/>
                <w:sz w:val="21"/>
                <w:szCs w:val="21"/>
              </w:rPr>
              <w:t>0.3776</w:t>
            </w:r>
          </w:p>
        </w:tc>
        <w:tc>
          <w:tcPr>
            <w:tcW w:w="940" w:type="dxa"/>
            <w:shd w:val="clear" w:color="auto" w:fill="auto"/>
            <w:vAlign w:val="center"/>
          </w:tcPr>
          <w:p w14:paraId="1556F174">
            <w:pPr>
              <w:widowControl/>
              <w:adjustRightInd w:val="0"/>
              <w:snapToGrid w:val="0"/>
              <w:jc w:val="center"/>
              <w:rPr>
                <w:color w:val="auto"/>
                <w:sz w:val="21"/>
                <w:szCs w:val="21"/>
                <w:lang w:val="en-US" w:eastAsia="zh-CN"/>
              </w:rPr>
            </w:pPr>
            <w:r>
              <w:rPr>
                <w:color w:val="auto"/>
                <w:sz w:val="21"/>
                <w:szCs w:val="21"/>
              </w:rPr>
              <w:t>0.0068</w:t>
            </w:r>
          </w:p>
        </w:tc>
        <w:tc>
          <w:tcPr>
            <w:tcW w:w="940" w:type="dxa"/>
            <w:shd w:val="clear" w:color="auto" w:fill="auto"/>
            <w:vAlign w:val="center"/>
          </w:tcPr>
          <w:p w14:paraId="5EF5F652">
            <w:pPr>
              <w:widowControl/>
              <w:adjustRightInd w:val="0"/>
              <w:snapToGrid w:val="0"/>
              <w:jc w:val="center"/>
              <w:rPr>
                <w:color w:val="auto"/>
                <w:sz w:val="21"/>
                <w:szCs w:val="21"/>
                <w:lang w:val="en-US" w:eastAsia="zh-CN"/>
              </w:rPr>
            </w:pPr>
            <w:r>
              <w:rPr>
                <w:color w:val="auto"/>
                <w:sz w:val="21"/>
                <w:szCs w:val="21"/>
              </w:rPr>
              <w:t>0.0008</w:t>
            </w:r>
          </w:p>
        </w:tc>
        <w:tc>
          <w:tcPr>
            <w:tcW w:w="940" w:type="dxa"/>
            <w:shd w:val="clear" w:color="auto" w:fill="auto"/>
            <w:vAlign w:val="center"/>
          </w:tcPr>
          <w:p w14:paraId="18CE33E3">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0.0014</w:t>
            </w:r>
          </w:p>
        </w:tc>
        <w:tc>
          <w:tcPr>
            <w:tcW w:w="940" w:type="dxa"/>
            <w:shd w:val="clear" w:color="auto" w:fill="auto"/>
            <w:vAlign w:val="center"/>
          </w:tcPr>
          <w:p w14:paraId="464AD1EE">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0.4561</w:t>
            </w:r>
          </w:p>
        </w:tc>
      </w:tr>
      <w:tr w14:paraId="7D681DC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46F498A5">
            <w:pPr>
              <w:widowControl/>
              <w:adjustRightInd w:val="0"/>
              <w:snapToGrid w:val="0"/>
              <w:jc w:val="center"/>
              <w:rPr>
                <w:color w:val="auto"/>
                <w:sz w:val="21"/>
                <w:szCs w:val="21"/>
                <w:lang w:val="en-US" w:eastAsia="zh-CN"/>
              </w:rPr>
            </w:pPr>
            <w:r>
              <w:rPr>
                <w:color w:val="auto"/>
                <w:sz w:val="21"/>
                <w:szCs w:val="21"/>
              </w:rPr>
              <w:t>900.0</w:t>
            </w:r>
          </w:p>
        </w:tc>
        <w:tc>
          <w:tcPr>
            <w:tcW w:w="939" w:type="dxa"/>
            <w:shd w:val="clear" w:color="auto" w:fill="auto"/>
            <w:vAlign w:val="center"/>
          </w:tcPr>
          <w:p w14:paraId="7877EEE6">
            <w:pPr>
              <w:widowControl/>
              <w:adjustRightInd w:val="0"/>
              <w:snapToGrid w:val="0"/>
              <w:jc w:val="center"/>
              <w:rPr>
                <w:color w:val="auto"/>
                <w:sz w:val="21"/>
                <w:szCs w:val="21"/>
                <w:lang w:val="en-US" w:eastAsia="zh-CN"/>
              </w:rPr>
            </w:pPr>
            <w:r>
              <w:rPr>
                <w:color w:val="auto"/>
                <w:sz w:val="21"/>
                <w:szCs w:val="21"/>
              </w:rPr>
              <w:t>0.6208</w:t>
            </w:r>
          </w:p>
        </w:tc>
        <w:tc>
          <w:tcPr>
            <w:tcW w:w="939" w:type="dxa"/>
            <w:shd w:val="clear" w:color="auto" w:fill="auto"/>
            <w:vAlign w:val="center"/>
          </w:tcPr>
          <w:p w14:paraId="70310E40">
            <w:pPr>
              <w:widowControl/>
              <w:adjustRightInd w:val="0"/>
              <w:snapToGrid w:val="0"/>
              <w:jc w:val="center"/>
              <w:rPr>
                <w:color w:val="auto"/>
                <w:sz w:val="21"/>
                <w:szCs w:val="21"/>
                <w:lang w:val="en-US" w:eastAsia="zh-CN"/>
              </w:rPr>
            </w:pPr>
            <w:r>
              <w:rPr>
                <w:color w:val="auto"/>
                <w:sz w:val="21"/>
                <w:szCs w:val="21"/>
              </w:rPr>
              <w:t>0.1242</w:t>
            </w:r>
          </w:p>
        </w:tc>
        <w:tc>
          <w:tcPr>
            <w:tcW w:w="939" w:type="dxa"/>
            <w:shd w:val="clear" w:color="auto" w:fill="auto"/>
            <w:vAlign w:val="center"/>
          </w:tcPr>
          <w:p w14:paraId="08E64453">
            <w:pPr>
              <w:widowControl/>
              <w:adjustRightInd w:val="0"/>
              <w:snapToGrid w:val="0"/>
              <w:jc w:val="center"/>
              <w:rPr>
                <w:color w:val="auto"/>
                <w:sz w:val="21"/>
                <w:szCs w:val="21"/>
                <w:lang w:val="en-US" w:eastAsia="zh-CN"/>
              </w:rPr>
            </w:pPr>
            <w:r>
              <w:rPr>
                <w:rFonts w:eastAsia="宋体"/>
                <w:color w:val="auto"/>
                <w:sz w:val="21"/>
                <w:szCs w:val="21"/>
              </w:rPr>
              <w:t>0.8654</w:t>
            </w:r>
          </w:p>
        </w:tc>
        <w:tc>
          <w:tcPr>
            <w:tcW w:w="939" w:type="dxa"/>
            <w:shd w:val="clear" w:color="auto" w:fill="auto"/>
            <w:vAlign w:val="center"/>
          </w:tcPr>
          <w:p w14:paraId="70E9C425">
            <w:pPr>
              <w:widowControl/>
              <w:adjustRightInd w:val="0"/>
              <w:snapToGrid w:val="0"/>
              <w:jc w:val="center"/>
              <w:rPr>
                <w:color w:val="auto"/>
                <w:sz w:val="21"/>
                <w:szCs w:val="21"/>
                <w:lang w:val="en-US" w:eastAsia="zh-CN"/>
              </w:rPr>
            </w:pPr>
            <w:r>
              <w:rPr>
                <w:rFonts w:eastAsia="宋体"/>
                <w:color w:val="auto"/>
                <w:sz w:val="21"/>
                <w:szCs w:val="21"/>
              </w:rPr>
              <w:t>0.3462</w:t>
            </w:r>
          </w:p>
        </w:tc>
        <w:tc>
          <w:tcPr>
            <w:tcW w:w="940" w:type="dxa"/>
            <w:shd w:val="clear" w:color="auto" w:fill="auto"/>
            <w:vAlign w:val="center"/>
          </w:tcPr>
          <w:p w14:paraId="1A7C59DE">
            <w:pPr>
              <w:widowControl/>
              <w:adjustRightInd w:val="0"/>
              <w:snapToGrid w:val="0"/>
              <w:jc w:val="center"/>
              <w:rPr>
                <w:color w:val="auto"/>
                <w:sz w:val="21"/>
                <w:szCs w:val="21"/>
                <w:lang w:val="en-US" w:eastAsia="zh-CN"/>
              </w:rPr>
            </w:pPr>
            <w:r>
              <w:rPr>
                <w:color w:val="auto"/>
                <w:sz w:val="21"/>
                <w:szCs w:val="21"/>
              </w:rPr>
              <w:t>0.0063</w:t>
            </w:r>
          </w:p>
        </w:tc>
        <w:tc>
          <w:tcPr>
            <w:tcW w:w="940" w:type="dxa"/>
            <w:shd w:val="clear" w:color="auto" w:fill="auto"/>
            <w:vAlign w:val="center"/>
          </w:tcPr>
          <w:p w14:paraId="1172C563">
            <w:pPr>
              <w:widowControl/>
              <w:adjustRightInd w:val="0"/>
              <w:snapToGrid w:val="0"/>
              <w:jc w:val="center"/>
              <w:rPr>
                <w:color w:val="auto"/>
                <w:sz w:val="21"/>
                <w:szCs w:val="21"/>
                <w:lang w:val="en-US" w:eastAsia="zh-CN"/>
              </w:rPr>
            </w:pPr>
            <w:r>
              <w:rPr>
                <w:color w:val="auto"/>
                <w:sz w:val="21"/>
                <w:szCs w:val="21"/>
              </w:rPr>
              <w:t>0.0007</w:t>
            </w:r>
          </w:p>
        </w:tc>
        <w:tc>
          <w:tcPr>
            <w:tcW w:w="940" w:type="dxa"/>
            <w:shd w:val="clear" w:color="auto" w:fill="auto"/>
            <w:vAlign w:val="center"/>
          </w:tcPr>
          <w:p w14:paraId="676D53F1">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0.0013</w:t>
            </w:r>
          </w:p>
        </w:tc>
        <w:tc>
          <w:tcPr>
            <w:tcW w:w="940" w:type="dxa"/>
            <w:shd w:val="clear" w:color="auto" w:fill="auto"/>
            <w:vAlign w:val="center"/>
          </w:tcPr>
          <w:p w14:paraId="2641C0D2">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0.4181</w:t>
            </w:r>
          </w:p>
        </w:tc>
      </w:tr>
      <w:tr w14:paraId="70CA67F8">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3BE9939C">
            <w:pPr>
              <w:widowControl/>
              <w:adjustRightInd w:val="0"/>
              <w:snapToGrid w:val="0"/>
              <w:jc w:val="center"/>
              <w:rPr>
                <w:color w:val="auto"/>
                <w:sz w:val="21"/>
                <w:szCs w:val="21"/>
                <w:lang w:val="en-US" w:eastAsia="zh-CN"/>
              </w:rPr>
            </w:pPr>
            <w:r>
              <w:rPr>
                <w:color w:val="auto"/>
                <w:sz w:val="21"/>
                <w:szCs w:val="21"/>
              </w:rPr>
              <w:t>1000.0</w:t>
            </w:r>
          </w:p>
        </w:tc>
        <w:tc>
          <w:tcPr>
            <w:tcW w:w="939" w:type="dxa"/>
            <w:shd w:val="clear" w:color="auto" w:fill="auto"/>
            <w:vAlign w:val="center"/>
          </w:tcPr>
          <w:p w14:paraId="759A8C73">
            <w:pPr>
              <w:widowControl/>
              <w:adjustRightInd w:val="0"/>
              <w:snapToGrid w:val="0"/>
              <w:jc w:val="center"/>
              <w:rPr>
                <w:color w:val="auto"/>
                <w:sz w:val="21"/>
                <w:szCs w:val="21"/>
                <w:lang w:val="en-US" w:eastAsia="zh-CN"/>
              </w:rPr>
            </w:pPr>
            <w:r>
              <w:rPr>
                <w:color w:val="auto"/>
                <w:sz w:val="21"/>
                <w:szCs w:val="21"/>
              </w:rPr>
              <w:t>0.5714</w:t>
            </w:r>
          </w:p>
        </w:tc>
        <w:tc>
          <w:tcPr>
            <w:tcW w:w="939" w:type="dxa"/>
            <w:shd w:val="clear" w:color="auto" w:fill="auto"/>
            <w:vAlign w:val="center"/>
          </w:tcPr>
          <w:p w14:paraId="170D6423">
            <w:pPr>
              <w:widowControl/>
              <w:adjustRightInd w:val="0"/>
              <w:snapToGrid w:val="0"/>
              <w:jc w:val="center"/>
              <w:rPr>
                <w:color w:val="auto"/>
                <w:sz w:val="21"/>
                <w:szCs w:val="21"/>
                <w:lang w:val="en-US" w:eastAsia="zh-CN"/>
              </w:rPr>
            </w:pPr>
            <w:r>
              <w:rPr>
                <w:color w:val="auto"/>
                <w:sz w:val="21"/>
                <w:szCs w:val="21"/>
              </w:rPr>
              <w:t>0.1143</w:t>
            </w:r>
          </w:p>
        </w:tc>
        <w:tc>
          <w:tcPr>
            <w:tcW w:w="939" w:type="dxa"/>
            <w:shd w:val="clear" w:color="auto" w:fill="auto"/>
            <w:vAlign w:val="center"/>
          </w:tcPr>
          <w:p w14:paraId="6B567D05">
            <w:pPr>
              <w:widowControl/>
              <w:adjustRightInd w:val="0"/>
              <w:snapToGrid w:val="0"/>
              <w:jc w:val="center"/>
              <w:rPr>
                <w:color w:val="auto"/>
                <w:sz w:val="21"/>
                <w:szCs w:val="21"/>
                <w:lang w:val="en-US" w:eastAsia="zh-CN"/>
              </w:rPr>
            </w:pPr>
            <w:r>
              <w:rPr>
                <w:rFonts w:eastAsia="宋体"/>
                <w:color w:val="auto"/>
                <w:sz w:val="21"/>
                <w:szCs w:val="21"/>
              </w:rPr>
              <w:t>0.7965</w:t>
            </w:r>
          </w:p>
        </w:tc>
        <w:tc>
          <w:tcPr>
            <w:tcW w:w="939" w:type="dxa"/>
            <w:shd w:val="clear" w:color="auto" w:fill="auto"/>
            <w:vAlign w:val="center"/>
          </w:tcPr>
          <w:p w14:paraId="080D9901">
            <w:pPr>
              <w:widowControl/>
              <w:adjustRightInd w:val="0"/>
              <w:snapToGrid w:val="0"/>
              <w:jc w:val="center"/>
              <w:rPr>
                <w:color w:val="auto"/>
                <w:sz w:val="21"/>
                <w:szCs w:val="21"/>
                <w:lang w:val="en-US" w:eastAsia="zh-CN"/>
              </w:rPr>
            </w:pPr>
            <w:r>
              <w:rPr>
                <w:rFonts w:eastAsia="宋体"/>
                <w:color w:val="auto"/>
                <w:sz w:val="21"/>
                <w:szCs w:val="21"/>
              </w:rPr>
              <w:t>0.3186</w:t>
            </w:r>
          </w:p>
        </w:tc>
        <w:tc>
          <w:tcPr>
            <w:tcW w:w="940" w:type="dxa"/>
            <w:shd w:val="clear" w:color="auto" w:fill="auto"/>
            <w:vAlign w:val="center"/>
          </w:tcPr>
          <w:p w14:paraId="2D218CB9">
            <w:pPr>
              <w:widowControl/>
              <w:adjustRightInd w:val="0"/>
              <w:snapToGrid w:val="0"/>
              <w:jc w:val="center"/>
              <w:rPr>
                <w:color w:val="auto"/>
                <w:sz w:val="21"/>
                <w:szCs w:val="21"/>
                <w:lang w:val="en-US" w:eastAsia="zh-CN"/>
              </w:rPr>
            </w:pPr>
            <w:r>
              <w:rPr>
                <w:color w:val="auto"/>
                <w:sz w:val="21"/>
                <w:szCs w:val="21"/>
              </w:rPr>
              <w:t>0.0058</w:t>
            </w:r>
          </w:p>
        </w:tc>
        <w:tc>
          <w:tcPr>
            <w:tcW w:w="940" w:type="dxa"/>
            <w:shd w:val="clear" w:color="auto" w:fill="auto"/>
            <w:vAlign w:val="center"/>
          </w:tcPr>
          <w:p w14:paraId="28E2516C">
            <w:pPr>
              <w:widowControl/>
              <w:adjustRightInd w:val="0"/>
              <w:snapToGrid w:val="0"/>
              <w:jc w:val="center"/>
              <w:rPr>
                <w:color w:val="auto"/>
                <w:sz w:val="21"/>
                <w:szCs w:val="21"/>
                <w:lang w:val="en-US" w:eastAsia="zh-CN"/>
              </w:rPr>
            </w:pPr>
            <w:r>
              <w:rPr>
                <w:color w:val="auto"/>
                <w:sz w:val="21"/>
                <w:szCs w:val="21"/>
              </w:rPr>
              <w:t>0.0006</w:t>
            </w:r>
          </w:p>
        </w:tc>
        <w:tc>
          <w:tcPr>
            <w:tcW w:w="940" w:type="dxa"/>
            <w:shd w:val="clear" w:color="auto" w:fill="auto"/>
            <w:vAlign w:val="center"/>
          </w:tcPr>
          <w:p w14:paraId="0A187F5E">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0.0012</w:t>
            </w:r>
          </w:p>
        </w:tc>
        <w:tc>
          <w:tcPr>
            <w:tcW w:w="940" w:type="dxa"/>
            <w:shd w:val="clear" w:color="auto" w:fill="auto"/>
            <w:vAlign w:val="center"/>
          </w:tcPr>
          <w:p w14:paraId="06DE3FF7">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0.3848</w:t>
            </w:r>
          </w:p>
        </w:tc>
      </w:tr>
      <w:tr w14:paraId="522D707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4809BFEE">
            <w:pPr>
              <w:widowControl/>
              <w:adjustRightInd w:val="0"/>
              <w:snapToGrid w:val="0"/>
              <w:jc w:val="center"/>
              <w:rPr>
                <w:color w:val="auto"/>
                <w:sz w:val="21"/>
                <w:szCs w:val="21"/>
                <w:lang w:val="en-US" w:eastAsia="zh-CN"/>
              </w:rPr>
            </w:pPr>
            <w:r>
              <w:rPr>
                <w:color w:val="auto"/>
                <w:sz w:val="21"/>
                <w:szCs w:val="21"/>
              </w:rPr>
              <w:t>2000.0</w:t>
            </w:r>
          </w:p>
        </w:tc>
        <w:tc>
          <w:tcPr>
            <w:tcW w:w="939" w:type="dxa"/>
            <w:shd w:val="clear" w:color="auto" w:fill="auto"/>
            <w:vAlign w:val="center"/>
          </w:tcPr>
          <w:p w14:paraId="0367BBB5">
            <w:pPr>
              <w:widowControl/>
              <w:adjustRightInd w:val="0"/>
              <w:snapToGrid w:val="0"/>
              <w:jc w:val="center"/>
              <w:rPr>
                <w:color w:val="auto"/>
                <w:sz w:val="21"/>
                <w:szCs w:val="21"/>
                <w:lang w:val="en-US" w:eastAsia="zh-CN"/>
              </w:rPr>
            </w:pPr>
            <w:r>
              <w:rPr>
                <w:color w:val="auto"/>
                <w:sz w:val="21"/>
                <w:szCs w:val="21"/>
              </w:rPr>
              <w:t>0.4298</w:t>
            </w:r>
          </w:p>
        </w:tc>
        <w:tc>
          <w:tcPr>
            <w:tcW w:w="939" w:type="dxa"/>
            <w:shd w:val="clear" w:color="auto" w:fill="auto"/>
            <w:vAlign w:val="center"/>
          </w:tcPr>
          <w:p w14:paraId="59CDE108">
            <w:pPr>
              <w:widowControl/>
              <w:adjustRightInd w:val="0"/>
              <w:snapToGrid w:val="0"/>
              <w:jc w:val="center"/>
              <w:rPr>
                <w:color w:val="auto"/>
                <w:sz w:val="21"/>
                <w:szCs w:val="21"/>
                <w:lang w:val="en-US" w:eastAsia="zh-CN"/>
              </w:rPr>
            </w:pPr>
            <w:r>
              <w:rPr>
                <w:color w:val="auto"/>
                <w:sz w:val="21"/>
                <w:szCs w:val="21"/>
              </w:rPr>
              <w:t>0.0860</w:t>
            </w:r>
          </w:p>
        </w:tc>
        <w:tc>
          <w:tcPr>
            <w:tcW w:w="939" w:type="dxa"/>
            <w:shd w:val="clear" w:color="auto" w:fill="auto"/>
            <w:vAlign w:val="center"/>
          </w:tcPr>
          <w:p w14:paraId="063DE1BD">
            <w:pPr>
              <w:widowControl/>
              <w:adjustRightInd w:val="0"/>
              <w:snapToGrid w:val="0"/>
              <w:jc w:val="center"/>
              <w:rPr>
                <w:color w:val="auto"/>
                <w:sz w:val="21"/>
                <w:szCs w:val="21"/>
                <w:lang w:val="en-US" w:eastAsia="zh-CN"/>
              </w:rPr>
            </w:pPr>
            <w:r>
              <w:rPr>
                <w:rFonts w:eastAsia="宋体"/>
                <w:color w:val="auto"/>
                <w:sz w:val="21"/>
                <w:szCs w:val="21"/>
              </w:rPr>
              <w:t>0.5991</w:t>
            </w:r>
          </w:p>
        </w:tc>
        <w:tc>
          <w:tcPr>
            <w:tcW w:w="939" w:type="dxa"/>
            <w:shd w:val="clear" w:color="auto" w:fill="auto"/>
            <w:vAlign w:val="center"/>
          </w:tcPr>
          <w:p w14:paraId="5E8DA31E">
            <w:pPr>
              <w:widowControl/>
              <w:adjustRightInd w:val="0"/>
              <w:snapToGrid w:val="0"/>
              <w:jc w:val="center"/>
              <w:rPr>
                <w:color w:val="auto"/>
                <w:sz w:val="21"/>
                <w:szCs w:val="21"/>
                <w:lang w:val="en-US" w:eastAsia="zh-CN"/>
              </w:rPr>
            </w:pPr>
            <w:r>
              <w:rPr>
                <w:rFonts w:eastAsia="宋体"/>
                <w:color w:val="auto"/>
                <w:sz w:val="21"/>
                <w:szCs w:val="21"/>
              </w:rPr>
              <w:t>0.2396</w:t>
            </w:r>
          </w:p>
        </w:tc>
        <w:tc>
          <w:tcPr>
            <w:tcW w:w="940" w:type="dxa"/>
            <w:shd w:val="clear" w:color="auto" w:fill="auto"/>
            <w:vAlign w:val="center"/>
          </w:tcPr>
          <w:p w14:paraId="08749A5A">
            <w:pPr>
              <w:widowControl/>
              <w:adjustRightInd w:val="0"/>
              <w:snapToGrid w:val="0"/>
              <w:jc w:val="center"/>
              <w:rPr>
                <w:color w:val="auto"/>
                <w:sz w:val="21"/>
                <w:szCs w:val="21"/>
                <w:lang w:val="en-US" w:eastAsia="zh-CN"/>
              </w:rPr>
            </w:pPr>
            <w:r>
              <w:rPr>
                <w:color w:val="auto"/>
                <w:sz w:val="21"/>
                <w:szCs w:val="21"/>
              </w:rPr>
              <w:t>0.0043</w:t>
            </w:r>
          </w:p>
        </w:tc>
        <w:tc>
          <w:tcPr>
            <w:tcW w:w="940" w:type="dxa"/>
            <w:shd w:val="clear" w:color="auto" w:fill="auto"/>
            <w:vAlign w:val="center"/>
          </w:tcPr>
          <w:p w14:paraId="2179EB01">
            <w:pPr>
              <w:widowControl/>
              <w:adjustRightInd w:val="0"/>
              <w:snapToGrid w:val="0"/>
              <w:jc w:val="center"/>
              <w:rPr>
                <w:color w:val="auto"/>
                <w:sz w:val="21"/>
                <w:szCs w:val="21"/>
                <w:lang w:val="en-US" w:eastAsia="zh-CN"/>
              </w:rPr>
            </w:pPr>
            <w:r>
              <w:rPr>
                <w:color w:val="auto"/>
                <w:sz w:val="21"/>
                <w:szCs w:val="21"/>
              </w:rPr>
              <w:t>0.0005</w:t>
            </w:r>
          </w:p>
        </w:tc>
        <w:tc>
          <w:tcPr>
            <w:tcW w:w="940" w:type="dxa"/>
            <w:shd w:val="clear" w:color="auto" w:fill="auto"/>
            <w:vAlign w:val="center"/>
          </w:tcPr>
          <w:p w14:paraId="0B8EA7F3">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0.0009</w:t>
            </w:r>
          </w:p>
        </w:tc>
        <w:tc>
          <w:tcPr>
            <w:tcW w:w="940" w:type="dxa"/>
            <w:shd w:val="clear" w:color="auto" w:fill="auto"/>
            <w:vAlign w:val="center"/>
          </w:tcPr>
          <w:p w14:paraId="20A863E8">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0.2894</w:t>
            </w:r>
          </w:p>
        </w:tc>
      </w:tr>
      <w:tr w14:paraId="16695D62">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217ABBEB">
            <w:pPr>
              <w:widowControl/>
              <w:adjustRightInd w:val="0"/>
              <w:snapToGrid w:val="0"/>
              <w:jc w:val="center"/>
              <w:rPr>
                <w:color w:val="auto"/>
                <w:sz w:val="21"/>
                <w:szCs w:val="21"/>
                <w:lang w:val="en-US" w:eastAsia="zh-CN"/>
              </w:rPr>
            </w:pPr>
            <w:r>
              <w:rPr>
                <w:color w:val="auto"/>
                <w:sz w:val="21"/>
                <w:szCs w:val="21"/>
              </w:rPr>
              <w:t>3000.0</w:t>
            </w:r>
          </w:p>
        </w:tc>
        <w:tc>
          <w:tcPr>
            <w:tcW w:w="939" w:type="dxa"/>
            <w:shd w:val="clear" w:color="auto" w:fill="auto"/>
            <w:vAlign w:val="center"/>
          </w:tcPr>
          <w:p w14:paraId="6D289076">
            <w:pPr>
              <w:widowControl/>
              <w:adjustRightInd w:val="0"/>
              <w:snapToGrid w:val="0"/>
              <w:jc w:val="center"/>
              <w:rPr>
                <w:color w:val="auto"/>
                <w:sz w:val="21"/>
                <w:szCs w:val="21"/>
                <w:lang w:val="en-US" w:eastAsia="zh-CN"/>
              </w:rPr>
            </w:pPr>
            <w:r>
              <w:rPr>
                <w:color w:val="auto"/>
                <w:sz w:val="21"/>
                <w:szCs w:val="21"/>
              </w:rPr>
              <w:t>0.3243</w:t>
            </w:r>
          </w:p>
        </w:tc>
        <w:tc>
          <w:tcPr>
            <w:tcW w:w="939" w:type="dxa"/>
            <w:shd w:val="clear" w:color="auto" w:fill="auto"/>
            <w:vAlign w:val="center"/>
          </w:tcPr>
          <w:p w14:paraId="4C6E7728">
            <w:pPr>
              <w:widowControl/>
              <w:adjustRightInd w:val="0"/>
              <w:snapToGrid w:val="0"/>
              <w:jc w:val="center"/>
              <w:rPr>
                <w:color w:val="auto"/>
                <w:sz w:val="21"/>
                <w:szCs w:val="21"/>
                <w:lang w:val="en-US" w:eastAsia="zh-CN"/>
              </w:rPr>
            </w:pPr>
            <w:r>
              <w:rPr>
                <w:color w:val="auto"/>
                <w:sz w:val="21"/>
                <w:szCs w:val="21"/>
              </w:rPr>
              <w:t>0.0649</w:t>
            </w:r>
          </w:p>
        </w:tc>
        <w:tc>
          <w:tcPr>
            <w:tcW w:w="939" w:type="dxa"/>
            <w:shd w:val="clear" w:color="auto" w:fill="auto"/>
            <w:vAlign w:val="center"/>
          </w:tcPr>
          <w:p w14:paraId="0355B40F">
            <w:pPr>
              <w:widowControl/>
              <w:adjustRightInd w:val="0"/>
              <w:snapToGrid w:val="0"/>
              <w:jc w:val="center"/>
              <w:rPr>
                <w:color w:val="auto"/>
                <w:sz w:val="21"/>
                <w:szCs w:val="21"/>
                <w:lang w:val="en-US" w:eastAsia="zh-CN"/>
              </w:rPr>
            </w:pPr>
            <w:r>
              <w:rPr>
                <w:rFonts w:eastAsia="宋体"/>
                <w:color w:val="auto"/>
                <w:sz w:val="21"/>
                <w:szCs w:val="21"/>
              </w:rPr>
              <w:t>0.4520</w:t>
            </w:r>
          </w:p>
        </w:tc>
        <w:tc>
          <w:tcPr>
            <w:tcW w:w="939" w:type="dxa"/>
            <w:shd w:val="clear" w:color="auto" w:fill="auto"/>
            <w:vAlign w:val="center"/>
          </w:tcPr>
          <w:p w14:paraId="38231DF2">
            <w:pPr>
              <w:widowControl/>
              <w:adjustRightInd w:val="0"/>
              <w:snapToGrid w:val="0"/>
              <w:jc w:val="center"/>
              <w:rPr>
                <w:color w:val="auto"/>
                <w:sz w:val="21"/>
                <w:szCs w:val="21"/>
                <w:lang w:val="en-US" w:eastAsia="zh-CN"/>
              </w:rPr>
            </w:pPr>
            <w:r>
              <w:rPr>
                <w:rFonts w:eastAsia="宋体"/>
                <w:color w:val="auto"/>
                <w:sz w:val="21"/>
                <w:szCs w:val="21"/>
              </w:rPr>
              <w:t>0.1808</w:t>
            </w:r>
          </w:p>
        </w:tc>
        <w:tc>
          <w:tcPr>
            <w:tcW w:w="940" w:type="dxa"/>
            <w:shd w:val="clear" w:color="auto" w:fill="auto"/>
            <w:vAlign w:val="center"/>
          </w:tcPr>
          <w:p w14:paraId="63E23B9A">
            <w:pPr>
              <w:widowControl/>
              <w:adjustRightInd w:val="0"/>
              <w:snapToGrid w:val="0"/>
              <w:jc w:val="center"/>
              <w:rPr>
                <w:color w:val="auto"/>
                <w:sz w:val="21"/>
                <w:szCs w:val="21"/>
                <w:lang w:val="en-US" w:eastAsia="zh-CN"/>
              </w:rPr>
            </w:pPr>
            <w:r>
              <w:rPr>
                <w:color w:val="auto"/>
                <w:sz w:val="21"/>
                <w:szCs w:val="21"/>
              </w:rPr>
              <w:t>0.0033</w:t>
            </w:r>
          </w:p>
        </w:tc>
        <w:tc>
          <w:tcPr>
            <w:tcW w:w="940" w:type="dxa"/>
            <w:shd w:val="clear" w:color="auto" w:fill="auto"/>
            <w:vAlign w:val="center"/>
          </w:tcPr>
          <w:p w14:paraId="0E0E135C">
            <w:pPr>
              <w:widowControl/>
              <w:adjustRightInd w:val="0"/>
              <w:snapToGrid w:val="0"/>
              <w:jc w:val="center"/>
              <w:rPr>
                <w:color w:val="auto"/>
                <w:sz w:val="21"/>
                <w:szCs w:val="21"/>
                <w:lang w:val="en-US" w:eastAsia="zh-CN"/>
              </w:rPr>
            </w:pPr>
            <w:r>
              <w:rPr>
                <w:color w:val="auto"/>
                <w:sz w:val="21"/>
                <w:szCs w:val="21"/>
              </w:rPr>
              <w:t>0.0004</w:t>
            </w:r>
          </w:p>
        </w:tc>
        <w:tc>
          <w:tcPr>
            <w:tcW w:w="940" w:type="dxa"/>
            <w:shd w:val="clear" w:color="auto" w:fill="auto"/>
            <w:vAlign w:val="center"/>
          </w:tcPr>
          <w:p w14:paraId="3BE6E96E">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0.0007</w:t>
            </w:r>
          </w:p>
        </w:tc>
        <w:tc>
          <w:tcPr>
            <w:tcW w:w="940" w:type="dxa"/>
            <w:shd w:val="clear" w:color="auto" w:fill="auto"/>
            <w:vAlign w:val="center"/>
          </w:tcPr>
          <w:p w14:paraId="6EC49079">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0.2184</w:t>
            </w:r>
          </w:p>
        </w:tc>
      </w:tr>
      <w:tr w14:paraId="00CFB19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6C63A05B">
            <w:pPr>
              <w:widowControl/>
              <w:adjustRightInd w:val="0"/>
              <w:snapToGrid w:val="0"/>
              <w:jc w:val="center"/>
              <w:rPr>
                <w:color w:val="auto"/>
                <w:sz w:val="21"/>
                <w:szCs w:val="21"/>
                <w:lang w:val="en-US" w:eastAsia="zh-CN"/>
              </w:rPr>
            </w:pPr>
            <w:r>
              <w:rPr>
                <w:color w:val="auto"/>
                <w:sz w:val="21"/>
                <w:szCs w:val="21"/>
              </w:rPr>
              <w:t>4000.0</w:t>
            </w:r>
          </w:p>
        </w:tc>
        <w:tc>
          <w:tcPr>
            <w:tcW w:w="939" w:type="dxa"/>
            <w:shd w:val="clear" w:color="auto" w:fill="auto"/>
            <w:vAlign w:val="center"/>
          </w:tcPr>
          <w:p w14:paraId="793C45D2">
            <w:pPr>
              <w:widowControl/>
              <w:adjustRightInd w:val="0"/>
              <w:snapToGrid w:val="0"/>
              <w:jc w:val="center"/>
              <w:rPr>
                <w:color w:val="auto"/>
                <w:sz w:val="21"/>
                <w:szCs w:val="21"/>
                <w:lang w:val="en-US" w:eastAsia="zh-CN"/>
              </w:rPr>
            </w:pPr>
            <w:r>
              <w:rPr>
                <w:color w:val="auto"/>
                <w:sz w:val="21"/>
                <w:szCs w:val="21"/>
              </w:rPr>
              <w:t>0.2614</w:t>
            </w:r>
          </w:p>
        </w:tc>
        <w:tc>
          <w:tcPr>
            <w:tcW w:w="939" w:type="dxa"/>
            <w:shd w:val="clear" w:color="auto" w:fill="auto"/>
            <w:vAlign w:val="center"/>
          </w:tcPr>
          <w:p w14:paraId="09F0EFE3">
            <w:pPr>
              <w:widowControl/>
              <w:adjustRightInd w:val="0"/>
              <w:snapToGrid w:val="0"/>
              <w:jc w:val="center"/>
              <w:rPr>
                <w:color w:val="auto"/>
                <w:sz w:val="21"/>
                <w:szCs w:val="21"/>
                <w:lang w:val="en-US" w:eastAsia="zh-CN"/>
              </w:rPr>
            </w:pPr>
            <w:r>
              <w:rPr>
                <w:color w:val="auto"/>
                <w:sz w:val="21"/>
                <w:szCs w:val="21"/>
              </w:rPr>
              <w:t>0.0523</w:t>
            </w:r>
          </w:p>
        </w:tc>
        <w:tc>
          <w:tcPr>
            <w:tcW w:w="939" w:type="dxa"/>
            <w:shd w:val="clear" w:color="auto" w:fill="auto"/>
            <w:vAlign w:val="center"/>
          </w:tcPr>
          <w:p w14:paraId="04501DEF">
            <w:pPr>
              <w:widowControl/>
              <w:adjustRightInd w:val="0"/>
              <w:snapToGrid w:val="0"/>
              <w:jc w:val="center"/>
              <w:rPr>
                <w:color w:val="auto"/>
                <w:sz w:val="21"/>
                <w:szCs w:val="21"/>
                <w:lang w:val="en-US" w:eastAsia="zh-CN"/>
              </w:rPr>
            </w:pPr>
            <w:r>
              <w:rPr>
                <w:rFonts w:eastAsia="宋体"/>
                <w:color w:val="auto"/>
                <w:sz w:val="21"/>
                <w:szCs w:val="21"/>
              </w:rPr>
              <w:t>0.3644</w:t>
            </w:r>
          </w:p>
        </w:tc>
        <w:tc>
          <w:tcPr>
            <w:tcW w:w="939" w:type="dxa"/>
            <w:shd w:val="clear" w:color="auto" w:fill="auto"/>
            <w:vAlign w:val="center"/>
          </w:tcPr>
          <w:p w14:paraId="5B57F61A">
            <w:pPr>
              <w:widowControl/>
              <w:adjustRightInd w:val="0"/>
              <w:snapToGrid w:val="0"/>
              <w:jc w:val="center"/>
              <w:rPr>
                <w:color w:val="auto"/>
                <w:sz w:val="21"/>
                <w:szCs w:val="21"/>
                <w:lang w:val="en-US" w:eastAsia="zh-CN"/>
              </w:rPr>
            </w:pPr>
            <w:r>
              <w:rPr>
                <w:rFonts w:eastAsia="宋体"/>
                <w:color w:val="auto"/>
                <w:sz w:val="21"/>
                <w:szCs w:val="21"/>
              </w:rPr>
              <w:t>0.1458</w:t>
            </w:r>
          </w:p>
        </w:tc>
        <w:tc>
          <w:tcPr>
            <w:tcW w:w="940" w:type="dxa"/>
            <w:shd w:val="clear" w:color="auto" w:fill="auto"/>
            <w:vAlign w:val="center"/>
          </w:tcPr>
          <w:p w14:paraId="52B709C9">
            <w:pPr>
              <w:widowControl/>
              <w:adjustRightInd w:val="0"/>
              <w:snapToGrid w:val="0"/>
              <w:jc w:val="center"/>
              <w:rPr>
                <w:color w:val="auto"/>
                <w:sz w:val="21"/>
                <w:szCs w:val="21"/>
                <w:lang w:val="en-US" w:eastAsia="zh-CN"/>
              </w:rPr>
            </w:pPr>
            <w:r>
              <w:rPr>
                <w:color w:val="auto"/>
                <w:sz w:val="21"/>
                <w:szCs w:val="21"/>
              </w:rPr>
              <w:t>0.0026</w:t>
            </w:r>
          </w:p>
        </w:tc>
        <w:tc>
          <w:tcPr>
            <w:tcW w:w="940" w:type="dxa"/>
            <w:shd w:val="clear" w:color="auto" w:fill="auto"/>
            <w:vAlign w:val="center"/>
          </w:tcPr>
          <w:p w14:paraId="6B78AD1B">
            <w:pPr>
              <w:widowControl/>
              <w:adjustRightInd w:val="0"/>
              <w:snapToGrid w:val="0"/>
              <w:jc w:val="center"/>
              <w:rPr>
                <w:color w:val="auto"/>
                <w:sz w:val="21"/>
                <w:szCs w:val="21"/>
                <w:lang w:val="en-US" w:eastAsia="zh-CN"/>
              </w:rPr>
            </w:pPr>
            <w:r>
              <w:rPr>
                <w:color w:val="auto"/>
                <w:sz w:val="21"/>
                <w:szCs w:val="21"/>
              </w:rPr>
              <w:t>0.0003</w:t>
            </w:r>
          </w:p>
        </w:tc>
        <w:tc>
          <w:tcPr>
            <w:tcW w:w="940" w:type="dxa"/>
            <w:shd w:val="clear" w:color="auto" w:fill="auto"/>
            <w:vAlign w:val="center"/>
          </w:tcPr>
          <w:p w14:paraId="7FBC1FC0">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0.0005</w:t>
            </w:r>
          </w:p>
        </w:tc>
        <w:tc>
          <w:tcPr>
            <w:tcW w:w="940" w:type="dxa"/>
            <w:shd w:val="clear" w:color="auto" w:fill="auto"/>
            <w:vAlign w:val="center"/>
          </w:tcPr>
          <w:p w14:paraId="3F378D0E">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0.1761</w:t>
            </w:r>
          </w:p>
        </w:tc>
      </w:tr>
      <w:tr w14:paraId="4BA8376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shd w:val="clear" w:color="auto" w:fill="auto"/>
            <w:vAlign w:val="center"/>
          </w:tcPr>
          <w:p w14:paraId="2A5922AC">
            <w:pPr>
              <w:widowControl/>
              <w:adjustRightInd w:val="0"/>
              <w:snapToGrid w:val="0"/>
              <w:jc w:val="center"/>
              <w:rPr>
                <w:color w:val="auto"/>
                <w:sz w:val="21"/>
                <w:szCs w:val="21"/>
                <w:lang w:val="en-US" w:eastAsia="zh-CN"/>
              </w:rPr>
            </w:pPr>
            <w:r>
              <w:rPr>
                <w:color w:val="auto"/>
                <w:sz w:val="21"/>
                <w:szCs w:val="21"/>
              </w:rPr>
              <w:t>5000.0</w:t>
            </w:r>
          </w:p>
        </w:tc>
        <w:tc>
          <w:tcPr>
            <w:tcW w:w="939" w:type="dxa"/>
            <w:shd w:val="clear" w:color="auto" w:fill="auto"/>
            <w:vAlign w:val="center"/>
          </w:tcPr>
          <w:p w14:paraId="6AC81C39">
            <w:pPr>
              <w:widowControl/>
              <w:adjustRightInd w:val="0"/>
              <w:snapToGrid w:val="0"/>
              <w:jc w:val="center"/>
              <w:rPr>
                <w:color w:val="auto"/>
                <w:sz w:val="21"/>
                <w:szCs w:val="21"/>
                <w:lang w:val="en-US" w:eastAsia="zh-CN"/>
              </w:rPr>
            </w:pPr>
            <w:r>
              <w:rPr>
                <w:color w:val="auto"/>
                <w:sz w:val="21"/>
                <w:szCs w:val="21"/>
              </w:rPr>
              <w:t>0.2184</w:t>
            </w:r>
          </w:p>
        </w:tc>
        <w:tc>
          <w:tcPr>
            <w:tcW w:w="939" w:type="dxa"/>
            <w:shd w:val="clear" w:color="auto" w:fill="auto"/>
            <w:vAlign w:val="center"/>
          </w:tcPr>
          <w:p w14:paraId="7A2C378C">
            <w:pPr>
              <w:widowControl/>
              <w:adjustRightInd w:val="0"/>
              <w:snapToGrid w:val="0"/>
              <w:jc w:val="center"/>
              <w:rPr>
                <w:color w:val="auto"/>
                <w:sz w:val="21"/>
                <w:szCs w:val="21"/>
                <w:lang w:val="en-US" w:eastAsia="zh-CN"/>
              </w:rPr>
            </w:pPr>
            <w:r>
              <w:rPr>
                <w:color w:val="auto"/>
                <w:sz w:val="21"/>
                <w:szCs w:val="21"/>
              </w:rPr>
              <w:t>0.0437</w:t>
            </w:r>
          </w:p>
        </w:tc>
        <w:tc>
          <w:tcPr>
            <w:tcW w:w="939" w:type="dxa"/>
            <w:shd w:val="clear" w:color="auto" w:fill="auto"/>
            <w:vAlign w:val="center"/>
          </w:tcPr>
          <w:p w14:paraId="3F88A86F">
            <w:pPr>
              <w:widowControl/>
              <w:adjustRightInd w:val="0"/>
              <w:snapToGrid w:val="0"/>
              <w:jc w:val="center"/>
              <w:rPr>
                <w:color w:val="auto"/>
                <w:sz w:val="21"/>
                <w:szCs w:val="21"/>
                <w:lang w:val="en-US" w:eastAsia="zh-CN"/>
              </w:rPr>
            </w:pPr>
            <w:r>
              <w:rPr>
                <w:rFonts w:eastAsia="宋体"/>
                <w:color w:val="auto"/>
                <w:sz w:val="21"/>
                <w:szCs w:val="21"/>
              </w:rPr>
              <w:t>0.3045</w:t>
            </w:r>
          </w:p>
        </w:tc>
        <w:tc>
          <w:tcPr>
            <w:tcW w:w="939" w:type="dxa"/>
            <w:shd w:val="clear" w:color="auto" w:fill="auto"/>
            <w:vAlign w:val="center"/>
          </w:tcPr>
          <w:p w14:paraId="7832E0EC">
            <w:pPr>
              <w:widowControl/>
              <w:adjustRightInd w:val="0"/>
              <w:snapToGrid w:val="0"/>
              <w:jc w:val="center"/>
              <w:rPr>
                <w:color w:val="auto"/>
                <w:sz w:val="21"/>
                <w:szCs w:val="21"/>
                <w:lang w:val="en-US" w:eastAsia="zh-CN"/>
              </w:rPr>
            </w:pPr>
            <w:r>
              <w:rPr>
                <w:rFonts w:eastAsia="宋体"/>
                <w:color w:val="auto"/>
                <w:sz w:val="21"/>
                <w:szCs w:val="21"/>
              </w:rPr>
              <w:t>0.1218</w:t>
            </w:r>
          </w:p>
        </w:tc>
        <w:tc>
          <w:tcPr>
            <w:tcW w:w="940" w:type="dxa"/>
            <w:shd w:val="clear" w:color="auto" w:fill="auto"/>
            <w:vAlign w:val="center"/>
          </w:tcPr>
          <w:p w14:paraId="5E42CD64">
            <w:pPr>
              <w:widowControl/>
              <w:adjustRightInd w:val="0"/>
              <w:snapToGrid w:val="0"/>
              <w:jc w:val="center"/>
              <w:rPr>
                <w:color w:val="auto"/>
                <w:sz w:val="21"/>
                <w:szCs w:val="21"/>
                <w:lang w:val="en-US" w:eastAsia="zh-CN"/>
              </w:rPr>
            </w:pPr>
            <w:r>
              <w:rPr>
                <w:color w:val="auto"/>
                <w:sz w:val="21"/>
                <w:szCs w:val="21"/>
              </w:rPr>
              <w:t>0.0022</w:t>
            </w:r>
          </w:p>
        </w:tc>
        <w:tc>
          <w:tcPr>
            <w:tcW w:w="940" w:type="dxa"/>
            <w:shd w:val="clear" w:color="auto" w:fill="auto"/>
            <w:vAlign w:val="center"/>
          </w:tcPr>
          <w:p w14:paraId="4B7054CB">
            <w:pPr>
              <w:widowControl/>
              <w:adjustRightInd w:val="0"/>
              <w:snapToGrid w:val="0"/>
              <w:jc w:val="center"/>
              <w:rPr>
                <w:color w:val="auto"/>
                <w:sz w:val="21"/>
                <w:szCs w:val="21"/>
                <w:lang w:val="en-US" w:eastAsia="zh-CN"/>
              </w:rPr>
            </w:pPr>
            <w:r>
              <w:rPr>
                <w:color w:val="auto"/>
                <w:sz w:val="21"/>
                <w:szCs w:val="21"/>
              </w:rPr>
              <w:t>0.0002</w:t>
            </w:r>
          </w:p>
        </w:tc>
        <w:tc>
          <w:tcPr>
            <w:tcW w:w="940" w:type="dxa"/>
            <w:shd w:val="clear" w:color="auto" w:fill="auto"/>
            <w:vAlign w:val="center"/>
          </w:tcPr>
          <w:p w14:paraId="2D0C6EF8">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0.0004</w:t>
            </w:r>
          </w:p>
        </w:tc>
        <w:tc>
          <w:tcPr>
            <w:tcW w:w="940" w:type="dxa"/>
            <w:shd w:val="clear" w:color="auto" w:fill="auto"/>
            <w:vAlign w:val="center"/>
          </w:tcPr>
          <w:p w14:paraId="0DB1398F">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0.1471</w:t>
            </w:r>
          </w:p>
        </w:tc>
      </w:tr>
      <w:tr w14:paraId="37B508D7">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vAlign w:val="center"/>
          </w:tcPr>
          <w:p w14:paraId="2622B05D">
            <w:pPr>
              <w:widowControl/>
              <w:adjustRightInd w:val="0"/>
              <w:snapToGrid w:val="0"/>
              <w:jc w:val="center"/>
              <w:rPr>
                <w:color w:val="auto"/>
                <w:sz w:val="21"/>
                <w:szCs w:val="21"/>
              </w:rPr>
            </w:pPr>
            <w:r>
              <w:rPr>
                <w:color w:val="auto"/>
                <w:sz w:val="21"/>
                <w:szCs w:val="21"/>
              </w:rPr>
              <w:t>下风向最大浓度</w:t>
            </w:r>
          </w:p>
        </w:tc>
        <w:tc>
          <w:tcPr>
            <w:tcW w:w="939" w:type="dxa"/>
            <w:vAlign w:val="center"/>
          </w:tcPr>
          <w:p w14:paraId="3DEE61E2">
            <w:pPr>
              <w:widowControl/>
              <w:adjustRightInd w:val="0"/>
              <w:snapToGrid w:val="0"/>
              <w:jc w:val="center"/>
              <w:rPr>
                <w:color w:val="auto"/>
                <w:sz w:val="21"/>
                <w:szCs w:val="21"/>
              </w:rPr>
            </w:pPr>
            <w:r>
              <w:rPr>
                <w:color w:val="auto"/>
                <w:sz w:val="21"/>
                <w:szCs w:val="21"/>
              </w:rPr>
              <w:t>1.0200</w:t>
            </w:r>
          </w:p>
        </w:tc>
        <w:tc>
          <w:tcPr>
            <w:tcW w:w="939" w:type="dxa"/>
            <w:vAlign w:val="center"/>
          </w:tcPr>
          <w:p w14:paraId="731A2493">
            <w:pPr>
              <w:widowControl/>
              <w:adjustRightInd w:val="0"/>
              <w:snapToGrid w:val="0"/>
              <w:jc w:val="center"/>
              <w:rPr>
                <w:color w:val="auto"/>
                <w:sz w:val="21"/>
                <w:szCs w:val="21"/>
              </w:rPr>
            </w:pPr>
            <w:r>
              <w:rPr>
                <w:color w:val="auto"/>
                <w:sz w:val="21"/>
                <w:szCs w:val="21"/>
              </w:rPr>
              <w:t>0.2040</w:t>
            </w:r>
          </w:p>
        </w:tc>
        <w:tc>
          <w:tcPr>
            <w:tcW w:w="939" w:type="dxa"/>
            <w:vAlign w:val="center"/>
          </w:tcPr>
          <w:p w14:paraId="45875D44">
            <w:pPr>
              <w:widowControl/>
              <w:adjustRightInd w:val="0"/>
              <w:snapToGrid w:val="0"/>
              <w:jc w:val="center"/>
              <w:rPr>
                <w:color w:val="auto"/>
                <w:sz w:val="21"/>
                <w:szCs w:val="21"/>
              </w:rPr>
            </w:pPr>
            <w:r>
              <w:rPr>
                <w:rFonts w:eastAsia="宋体"/>
                <w:color w:val="auto"/>
                <w:sz w:val="21"/>
                <w:szCs w:val="21"/>
              </w:rPr>
              <w:t>1.4218</w:t>
            </w:r>
          </w:p>
        </w:tc>
        <w:tc>
          <w:tcPr>
            <w:tcW w:w="939" w:type="dxa"/>
            <w:vAlign w:val="center"/>
          </w:tcPr>
          <w:p w14:paraId="4086DDB0">
            <w:pPr>
              <w:widowControl/>
              <w:adjustRightInd w:val="0"/>
              <w:snapToGrid w:val="0"/>
              <w:jc w:val="center"/>
              <w:rPr>
                <w:color w:val="auto"/>
                <w:sz w:val="21"/>
                <w:szCs w:val="21"/>
              </w:rPr>
            </w:pPr>
            <w:r>
              <w:rPr>
                <w:rFonts w:eastAsia="宋体"/>
                <w:color w:val="auto"/>
                <w:sz w:val="21"/>
                <w:szCs w:val="21"/>
              </w:rPr>
              <w:t>0.5687</w:t>
            </w:r>
          </w:p>
        </w:tc>
        <w:tc>
          <w:tcPr>
            <w:tcW w:w="940" w:type="dxa"/>
            <w:vAlign w:val="center"/>
          </w:tcPr>
          <w:p w14:paraId="6333D319">
            <w:pPr>
              <w:widowControl/>
              <w:adjustRightInd w:val="0"/>
              <w:snapToGrid w:val="0"/>
              <w:jc w:val="center"/>
              <w:rPr>
                <w:color w:val="auto"/>
                <w:sz w:val="21"/>
                <w:szCs w:val="21"/>
              </w:rPr>
            </w:pPr>
            <w:r>
              <w:rPr>
                <w:color w:val="auto"/>
                <w:sz w:val="21"/>
                <w:szCs w:val="21"/>
              </w:rPr>
              <w:t>0.0103</w:t>
            </w:r>
          </w:p>
        </w:tc>
        <w:tc>
          <w:tcPr>
            <w:tcW w:w="940" w:type="dxa"/>
            <w:vAlign w:val="center"/>
          </w:tcPr>
          <w:p w14:paraId="34383227">
            <w:pPr>
              <w:widowControl/>
              <w:adjustRightInd w:val="0"/>
              <w:snapToGrid w:val="0"/>
              <w:jc w:val="center"/>
              <w:rPr>
                <w:color w:val="auto"/>
                <w:sz w:val="21"/>
                <w:szCs w:val="21"/>
              </w:rPr>
            </w:pPr>
            <w:r>
              <w:rPr>
                <w:color w:val="auto"/>
                <w:sz w:val="21"/>
                <w:szCs w:val="21"/>
              </w:rPr>
              <w:t>0.0011</w:t>
            </w:r>
          </w:p>
        </w:tc>
        <w:tc>
          <w:tcPr>
            <w:tcW w:w="940" w:type="dxa"/>
            <w:shd w:val="clear" w:color="auto" w:fill="auto"/>
            <w:vAlign w:val="center"/>
          </w:tcPr>
          <w:p w14:paraId="1C3711B3">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0.0021</w:t>
            </w:r>
          </w:p>
        </w:tc>
        <w:tc>
          <w:tcPr>
            <w:tcW w:w="940" w:type="dxa"/>
            <w:shd w:val="clear" w:color="auto" w:fill="auto"/>
            <w:vAlign w:val="center"/>
          </w:tcPr>
          <w:p w14:paraId="1F6E5C5E">
            <w:pPr>
              <w:widowControl/>
              <w:adjustRightInd w:val="0"/>
              <w:snapToGrid w:val="0"/>
              <w:jc w:val="center"/>
              <w:rPr>
                <w:color w:val="auto"/>
                <w:sz w:val="21"/>
                <w:szCs w:val="21"/>
                <w:lang w:val="en-US" w:eastAsia="zh-CN"/>
              </w:rPr>
            </w:pPr>
            <w:r>
              <w:rPr>
                <w:rFonts w:ascii="Times New Roman" w:hAnsi="Times New Roman" w:eastAsia="宋体" w:cs="Times New Roman"/>
                <w:color w:val="auto"/>
                <w:sz w:val="21"/>
                <w:szCs w:val="21"/>
              </w:rPr>
              <w:t>0.6869</w:t>
            </w:r>
          </w:p>
        </w:tc>
      </w:tr>
      <w:tr w14:paraId="005502E3">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vAlign w:val="center"/>
          </w:tcPr>
          <w:p w14:paraId="2EFF5E3E">
            <w:pPr>
              <w:widowControl/>
              <w:adjustRightInd w:val="0"/>
              <w:snapToGrid w:val="0"/>
              <w:jc w:val="center"/>
              <w:rPr>
                <w:color w:val="auto"/>
                <w:sz w:val="21"/>
                <w:szCs w:val="21"/>
              </w:rPr>
            </w:pPr>
            <w:r>
              <w:rPr>
                <w:color w:val="auto"/>
                <w:sz w:val="21"/>
                <w:szCs w:val="21"/>
              </w:rPr>
              <w:t>下风向最大浓度出现距离</w:t>
            </w:r>
          </w:p>
        </w:tc>
        <w:tc>
          <w:tcPr>
            <w:tcW w:w="939" w:type="dxa"/>
            <w:vAlign w:val="center"/>
          </w:tcPr>
          <w:p w14:paraId="27E57B19">
            <w:pPr>
              <w:widowControl/>
              <w:adjustRightInd w:val="0"/>
              <w:snapToGrid w:val="0"/>
              <w:jc w:val="center"/>
              <w:rPr>
                <w:color w:val="auto"/>
                <w:sz w:val="21"/>
                <w:szCs w:val="21"/>
              </w:rPr>
            </w:pPr>
            <w:r>
              <w:rPr>
                <w:color w:val="auto"/>
                <w:sz w:val="21"/>
                <w:szCs w:val="21"/>
              </w:rPr>
              <w:t>340.0</w:t>
            </w:r>
          </w:p>
        </w:tc>
        <w:tc>
          <w:tcPr>
            <w:tcW w:w="939" w:type="dxa"/>
            <w:vAlign w:val="center"/>
          </w:tcPr>
          <w:p w14:paraId="63A75869">
            <w:pPr>
              <w:widowControl/>
              <w:adjustRightInd w:val="0"/>
              <w:snapToGrid w:val="0"/>
              <w:jc w:val="center"/>
              <w:rPr>
                <w:color w:val="auto"/>
                <w:sz w:val="21"/>
                <w:szCs w:val="21"/>
              </w:rPr>
            </w:pPr>
            <w:r>
              <w:rPr>
                <w:color w:val="auto"/>
                <w:sz w:val="21"/>
                <w:szCs w:val="21"/>
              </w:rPr>
              <w:t>340.0</w:t>
            </w:r>
          </w:p>
        </w:tc>
        <w:tc>
          <w:tcPr>
            <w:tcW w:w="939" w:type="dxa"/>
            <w:vAlign w:val="center"/>
          </w:tcPr>
          <w:p w14:paraId="4D7607DD">
            <w:pPr>
              <w:widowControl/>
              <w:adjustRightInd w:val="0"/>
              <w:snapToGrid w:val="0"/>
              <w:jc w:val="center"/>
              <w:rPr>
                <w:color w:val="auto"/>
                <w:sz w:val="21"/>
                <w:szCs w:val="21"/>
              </w:rPr>
            </w:pPr>
            <w:r>
              <w:rPr>
                <w:rFonts w:eastAsia="宋体"/>
                <w:color w:val="auto"/>
                <w:sz w:val="21"/>
                <w:szCs w:val="21"/>
              </w:rPr>
              <w:t>340.0</w:t>
            </w:r>
          </w:p>
        </w:tc>
        <w:tc>
          <w:tcPr>
            <w:tcW w:w="939" w:type="dxa"/>
            <w:vAlign w:val="center"/>
          </w:tcPr>
          <w:p w14:paraId="494A2244">
            <w:pPr>
              <w:widowControl/>
              <w:adjustRightInd w:val="0"/>
              <w:snapToGrid w:val="0"/>
              <w:jc w:val="center"/>
              <w:rPr>
                <w:color w:val="auto"/>
                <w:sz w:val="21"/>
                <w:szCs w:val="21"/>
              </w:rPr>
            </w:pPr>
            <w:r>
              <w:rPr>
                <w:rFonts w:eastAsia="宋体"/>
                <w:color w:val="auto"/>
                <w:sz w:val="21"/>
                <w:szCs w:val="21"/>
              </w:rPr>
              <w:t>340.0</w:t>
            </w:r>
          </w:p>
        </w:tc>
        <w:tc>
          <w:tcPr>
            <w:tcW w:w="940" w:type="dxa"/>
            <w:vAlign w:val="center"/>
          </w:tcPr>
          <w:p w14:paraId="15AA3DB3">
            <w:pPr>
              <w:widowControl/>
              <w:adjustRightInd w:val="0"/>
              <w:snapToGrid w:val="0"/>
              <w:jc w:val="center"/>
              <w:rPr>
                <w:color w:val="auto"/>
                <w:sz w:val="21"/>
                <w:szCs w:val="21"/>
              </w:rPr>
            </w:pPr>
            <w:r>
              <w:rPr>
                <w:color w:val="auto"/>
                <w:sz w:val="21"/>
                <w:szCs w:val="21"/>
              </w:rPr>
              <w:t>340.0</w:t>
            </w:r>
          </w:p>
        </w:tc>
        <w:tc>
          <w:tcPr>
            <w:tcW w:w="940" w:type="dxa"/>
            <w:vAlign w:val="center"/>
          </w:tcPr>
          <w:p w14:paraId="778B7329">
            <w:pPr>
              <w:widowControl/>
              <w:adjustRightInd w:val="0"/>
              <w:snapToGrid w:val="0"/>
              <w:jc w:val="center"/>
              <w:rPr>
                <w:color w:val="auto"/>
                <w:sz w:val="21"/>
                <w:szCs w:val="21"/>
              </w:rPr>
            </w:pPr>
            <w:r>
              <w:rPr>
                <w:color w:val="auto"/>
                <w:sz w:val="21"/>
                <w:szCs w:val="21"/>
              </w:rPr>
              <w:t>340.0</w:t>
            </w:r>
          </w:p>
        </w:tc>
        <w:tc>
          <w:tcPr>
            <w:tcW w:w="940" w:type="dxa"/>
            <w:shd w:val="clear" w:color="auto" w:fill="auto"/>
            <w:vAlign w:val="center"/>
          </w:tcPr>
          <w:p w14:paraId="6DDFE63D">
            <w:pPr>
              <w:widowControl/>
              <w:adjustRightInd w:val="0"/>
              <w:snapToGrid w:val="0"/>
              <w:jc w:val="center"/>
              <w:rPr>
                <w:color w:val="auto"/>
                <w:sz w:val="21"/>
                <w:szCs w:val="21"/>
                <w:lang w:val="en-US" w:eastAsia="zh-CN"/>
              </w:rPr>
            </w:pPr>
            <w:r>
              <w:rPr>
                <w:color w:val="auto"/>
                <w:sz w:val="21"/>
                <w:szCs w:val="21"/>
              </w:rPr>
              <w:t>340.0</w:t>
            </w:r>
          </w:p>
        </w:tc>
        <w:tc>
          <w:tcPr>
            <w:tcW w:w="940" w:type="dxa"/>
            <w:shd w:val="clear" w:color="auto" w:fill="auto"/>
            <w:vAlign w:val="center"/>
          </w:tcPr>
          <w:p w14:paraId="0AE57185">
            <w:pPr>
              <w:widowControl/>
              <w:adjustRightInd w:val="0"/>
              <w:snapToGrid w:val="0"/>
              <w:jc w:val="center"/>
              <w:rPr>
                <w:color w:val="auto"/>
                <w:sz w:val="21"/>
                <w:szCs w:val="21"/>
                <w:lang w:val="en-US" w:eastAsia="zh-CN"/>
              </w:rPr>
            </w:pPr>
            <w:r>
              <w:rPr>
                <w:color w:val="auto"/>
                <w:sz w:val="21"/>
                <w:szCs w:val="21"/>
              </w:rPr>
              <w:t>340.0</w:t>
            </w:r>
          </w:p>
        </w:tc>
      </w:tr>
      <w:tr w14:paraId="69DF12F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3" w:type="dxa"/>
            <w:vAlign w:val="center"/>
          </w:tcPr>
          <w:p w14:paraId="021807E0">
            <w:pPr>
              <w:widowControl/>
              <w:adjustRightInd w:val="0"/>
              <w:snapToGrid w:val="0"/>
              <w:jc w:val="center"/>
              <w:rPr>
                <w:color w:val="auto"/>
                <w:sz w:val="21"/>
                <w:szCs w:val="21"/>
              </w:rPr>
            </w:pPr>
            <w:r>
              <w:rPr>
                <w:color w:val="auto"/>
                <w:sz w:val="21"/>
                <w:szCs w:val="21"/>
              </w:rPr>
              <w:t>D10%最远距离</w:t>
            </w:r>
          </w:p>
        </w:tc>
        <w:tc>
          <w:tcPr>
            <w:tcW w:w="939" w:type="dxa"/>
            <w:vAlign w:val="center"/>
          </w:tcPr>
          <w:p w14:paraId="332748DB">
            <w:pPr>
              <w:widowControl/>
              <w:adjustRightInd w:val="0"/>
              <w:snapToGrid w:val="0"/>
              <w:jc w:val="center"/>
              <w:rPr>
                <w:color w:val="auto"/>
                <w:sz w:val="21"/>
                <w:szCs w:val="21"/>
              </w:rPr>
            </w:pPr>
            <w:r>
              <w:rPr>
                <w:color w:val="auto"/>
                <w:sz w:val="21"/>
                <w:szCs w:val="21"/>
              </w:rPr>
              <w:t>/</w:t>
            </w:r>
          </w:p>
        </w:tc>
        <w:tc>
          <w:tcPr>
            <w:tcW w:w="939" w:type="dxa"/>
            <w:vAlign w:val="center"/>
          </w:tcPr>
          <w:p w14:paraId="4089F425">
            <w:pPr>
              <w:widowControl/>
              <w:adjustRightInd w:val="0"/>
              <w:snapToGrid w:val="0"/>
              <w:jc w:val="center"/>
              <w:rPr>
                <w:color w:val="auto"/>
                <w:sz w:val="21"/>
                <w:szCs w:val="21"/>
              </w:rPr>
            </w:pPr>
            <w:r>
              <w:rPr>
                <w:color w:val="auto"/>
                <w:sz w:val="21"/>
                <w:szCs w:val="21"/>
              </w:rPr>
              <w:t>/</w:t>
            </w:r>
          </w:p>
        </w:tc>
        <w:tc>
          <w:tcPr>
            <w:tcW w:w="939" w:type="dxa"/>
            <w:vAlign w:val="center"/>
          </w:tcPr>
          <w:p w14:paraId="7437725A">
            <w:pPr>
              <w:widowControl/>
              <w:adjustRightInd w:val="0"/>
              <w:snapToGrid w:val="0"/>
              <w:jc w:val="center"/>
              <w:rPr>
                <w:color w:val="auto"/>
                <w:sz w:val="21"/>
                <w:szCs w:val="21"/>
              </w:rPr>
            </w:pPr>
            <w:r>
              <w:rPr>
                <w:color w:val="auto"/>
                <w:sz w:val="21"/>
                <w:szCs w:val="21"/>
              </w:rPr>
              <w:t>/</w:t>
            </w:r>
          </w:p>
        </w:tc>
        <w:tc>
          <w:tcPr>
            <w:tcW w:w="939" w:type="dxa"/>
            <w:vAlign w:val="center"/>
          </w:tcPr>
          <w:p w14:paraId="07DDC19A">
            <w:pPr>
              <w:widowControl/>
              <w:adjustRightInd w:val="0"/>
              <w:snapToGrid w:val="0"/>
              <w:jc w:val="center"/>
              <w:rPr>
                <w:color w:val="auto"/>
                <w:sz w:val="21"/>
                <w:szCs w:val="21"/>
              </w:rPr>
            </w:pPr>
            <w:r>
              <w:rPr>
                <w:color w:val="auto"/>
                <w:sz w:val="21"/>
                <w:szCs w:val="21"/>
              </w:rPr>
              <w:t>/</w:t>
            </w:r>
          </w:p>
        </w:tc>
        <w:tc>
          <w:tcPr>
            <w:tcW w:w="940" w:type="dxa"/>
            <w:vAlign w:val="center"/>
          </w:tcPr>
          <w:p w14:paraId="39A48D5A">
            <w:pPr>
              <w:widowControl/>
              <w:adjustRightInd w:val="0"/>
              <w:snapToGrid w:val="0"/>
              <w:jc w:val="center"/>
              <w:rPr>
                <w:color w:val="auto"/>
                <w:sz w:val="21"/>
                <w:szCs w:val="21"/>
              </w:rPr>
            </w:pPr>
            <w:r>
              <w:rPr>
                <w:color w:val="auto"/>
                <w:sz w:val="21"/>
                <w:szCs w:val="21"/>
              </w:rPr>
              <w:t>/</w:t>
            </w:r>
          </w:p>
        </w:tc>
        <w:tc>
          <w:tcPr>
            <w:tcW w:w="940" w:type="dxa"/>
            <w:vAlign w:val="center"/>
          </w:tcPr>
          <w:p w14:paraId="3697492F">
            <w:pPr>
              <w:widowControl/>
              <w:adjustRightInd w:val="0"/>
              <w:snapToGrid w:val="0"/>
              <w:jc w:val="center"/>
              <w:rPr>
                <w:color w:val="auto"/>
                <w:sz w:val="21"/>
                <w:szCs w:val="21"/>
              </w:rPr>
            </w:pPr>
            <w:r>
              <w:rPr>
                <w:color w:val="auto"/>
                <w:sz w:val="21"/>
                <w:szCs w:val="21"/>
              </w:rPr>
              <w:t>/</w:t>
            </w:r>
          </w:p>
        </w:tc>
        <w:tc>
          <w:tcPr>
            <w:tcW w:w="940" w:type="dxa"/>
            <w:shd w:val="clear" w:color="auto" w:fill="auto"/>
            <w:vAlign w:val="center"/>
          </w:tcPr>
          <w:p w14:paraId="784DE975">
            <w:pPr>
              <w:widowControl/>
              <w:adjustRightInd w:val="0"/>
              <w:snapToGrid w:val="0"/>
              <w:jc w:val="center"/>
              <w:rPr>
                <w:color w:val="auto"/>
                <w:sz w:val="21"/>
                <w:szCs w:val="21"/>
                <w:lang w:val="en-US" w:eastAsia="zh-CN"/>
              </w:rPr>
            </w:pPr>
            <w:r>
              <w:rPr>
                <w:color w:val="auto"/>
                <w:sz w:val="21"/>
                <w:szCs w:val="21"/>
              </w:rPr>
              <w:t>/</w:t>
            </w:r>
          </w:p>
        </w:tc>
        <w:tc>
          <w:tcPr>
            <w:tcW w:w="940" w:type="dxa"/>
            <w:shd w:val="clear" w:color="auto" w:fill="auto"/>
            <w:vAlign w:val="center"/>
          </w:tcPr>
          <w:p w14:paraId="71C94BF2">
            <w:pPr>
              <w:widowControl/>
              <w:adjustRightInd w:val="0"/>
              <w:snapToGrid w:val="0"/>
              <w:jc w:val="center"/>
              <w:rPr>
                <w:color w:val="auto"/>
                <w:sz w:val="21"/>
                <w:szCs w:val="21"/>
                <w:lang w:val="en-US" w:eastAsia="zh-CN"/>
              </w:rPr>
            </w:pPr>
            <w:r>
              <w:rPr>
                <w:color w:val="auto"/>
                <w:sz w:val="21"/>
                <w:szCs w:val="21"/>
              </w:rPr>
              <w:t>/</w:t>
            </w:r>
          </w:p>
        </w:tc>
      </w:tr>
    </w:tbl>
    <w:p w14:paraId="12846083">
      <w:pPr>
        <w:spacing w:line="460" w:lineRule="exact"/>
        <w:jc w:val="center"/>
        <w:rPr>
          <w:b/>
          <w:color w:val="auto"/>
          <w:sz w:val="24"/>
          <w:szCs w:val="24"/>
        </w:rPr>
      </w:pPr>
      <w:r>
        <w:rPr>
          <w:rFonts w:hint="eastAsia"/>
          <w:b/>
          <w:color w:val="auto"/>
          <w:sz w:val="24"/>
          <w:szCs w:val="24"/>
        </w:rPr>
        <w:t>表4-</w:t>
      </w:r>
      <w:r>
        <w:rPr>
          <w:rFonts w:hint="eastAsia"/>
          <w:b/>
          <w:color w:val="auto"/>
          <w:sz w:val="24"/>
          <w:szCs w:val="24"/>
          <w:lang w:val="en-US" w:eastAsia="zh-CN"/>
        </w:rPr>
        <w:t>10</w:t>
      </w:r>
      <w:r>
        <w:rPr>
          <w:b/>
          <w:color w:val="auto"/>
          <w:sz w:val="24"/>
          <w:szCs w:val="24"/>
        </w:rPr>
        <w:t xml:space="preserve"> </w:t>
      </w:r>
      <w:r>
        <w:rPr>
          <w:rFonts w:hint="eastAsia"/>
          <w:b/>
          <w:color w:val="auto"/>
          <w:sz w:val="24"/>
          <w:szCs w:val="24"/>
          <w:lang w:val="en-US" w:eastAsia="zh-CN"/>
        </w:rPr>
        <w:t xml:space="preserve"> 生产</w:t>
      </w:r>
      <w:r>
        <w:rPr>
          <w:rFonts w:hint="eastAsia"/>
          <w:b/>
          <w:color w:val="auto"/>
          <w:sz w:val="24"/>
          <w:szCs w:val="24"/>
        </w:rPr>
        <w:t>车间</w:t>
      </w:r>
      <w:r>
        <w:rPr>
          <w:rFonts w:hint="eastAsia"/>
          <w:b/>
          <w:color w:val="auto"/>
          <w:sz w:val="24"/>
          <w:szCs w:val="24"/>
          <w:lang w:eastAsia="zh-CN"/>
        </w:rPr>
        <w:t>（</w:t>
      </w:r>
      <w:r>
        <w:rPr>
          <w:rFonts w:hint="eastAsia"/>
          <w:b/>
          <w:color w:val="auto"/>
          <w:sz w:val="24"/>
          <w:szCs w:val="24"/>
          <w:lang w:val="en-US" w:eastAsia="zh-CN"/>
        </w:rPr>
        <w:t>定型区域</w:t>
      </w:r>
      <w:r>
        <w:rPr>
          <w:rFonts w:hint="eastAsia"/>
          <w:b/>
          <w:color w:val="auto"/>
          <w:sz w:val="24"/>
          <w:szCs w:val="24"/>
          <w:lang w:eastAsia="zh-CN"/>
        </w:rPr>
        <w:t>）</w:t>
      </w:r>
      <w:r>
        <w:rPr>
          <w:rFonts w:hint="eastAsia"/>
          <w:b/>
          <w:color w:val="auto"/>
          <w:sz w:val="24"/>
          <w:szCs w:val="24"/>
        </w:rPr>
        <w:t>估算模式预测结果</w:t>
      </w:r>
    </w:p>
    <w:tbl>
      <w:tblPr>
        <w:tblStyle w:val="37"/>
        <w:tblW w:w="5000" w:type="pct"/>
        <w:jc w:val="center"/>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1632"/>
        <w:gridCol w:w="1635"/>
        <w:gridCol w:w="1632"/>
        <w:gridCol w:w="1638"/>
      </w:tblGrid>
      <w:tr w14:paraId="4A41709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Merge w:val="restart"/>
            <w:vAlign w:val="center"/>
          </w:tcPr>
          <w:p w14:paraId="0E48E56A">
            <w:pPr>
              <w:widowControl/>
              <w:adjustRightInd w:val="0"/>
              <w:snapToGrid w:val="0"/>
              <w:jc w:val="center"/>
              <w:rPr>
                <w:b/>
                <w:bCs/>
                <w:color w:val="auto"/>
                <w:kern w:val="0"/>
                <w:sz w:val="21"/>
                <w:szCs w:val="21"/>
              </w:rPr>
            </w:pPr>
            <w:r>
              <w:rPr>
                <w:b/>
                <w:bCs/>
                <w:color w:val="auto"/>
                <w:kern w:val="0"/>
                <w:sz w:val="21"/>
                <w:szCs w:val="21"/>
              </w:rPr>
              <w:t>距源中心下风向距离D（m）</w:t>
            </w:r>
          </w:p>
        </w:tc>
        <w:tc>
          <w:tcPr>
            <w:tcW w:w="1964" w:type="pct"/>
            <w:gridSpan w:val="2"/>
            <w:vAlign w:val="center"/>
          </w:tcPr>
          <w:p w14:paraId="40E49B8B">
            <w:pPr>
              <w:widowControl/>
              <w:adjustRightInd w:val="0"/>
              <w:snapToGrid w:val="0"/>
              <w:jc w:val="center"/>
              <w:rPr>
                <w:b/>
                <w:bCs/>
                <w:color w:val="auto"/>
                <w:kern w:val="0"/>
                <w:sz w:val="21"/>
                <w:szCs w:val="21"/>
              </w:rPr>
            </w:pPr>
            <w:r>
              <w:rPr>
                <w:b/>
                <w:color w:val="auto"/>
                <w:sz w:val="21"/>
                <w:szCs w:val="21"/>
              </w:rPr>
              <w:t>颗粒物</w:t>
            </w:r>
          </w:p>
        </w:tc>
        <w:tc>
          <w:tcPr>
            <w:tcW w:w="1966" w:type="pct"/>
            <w:gridSpan w:val="2"/>
            <w:vAlign w:val="center"/>
          </w:tcPr>
          <w:p w14:paraId="3F33651B">
            <w:pPr>
              <w:widowControl/>
              <w:adjustRightInd w:val="0"/>
              <w:snapToGrid w:val="0"/>
              <w:jc w:val="center"/>
              <w:rPr>
                <w:b/>
                <w:color w:val="auto"/>
                <w:sz w:val="21"/>
                <w:szCs w:val="21"/>
              </w:rPr>
            </w:pPr>
            <w:r>
              <w:rPr>
                <w:b/>
                <w:color w:val="auto"/>
                <w:sz w:val="21"/>
                <w:szCs w:val="21"/>
              </w:rPr>
              <w:t>非甲烷总烃</w:t>
            </w:r>
          </w:p>
        </w:tc>
      </w:tr>
      <w:tr w14:paraId="50234A88">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Merge w:val="continue"/>
            <w:tcBorders>
              <w:bottom w:val="single" w:color="auto" w:sz="12" w:space="0"/>
            </w:tcBorders>
            <w:vAlign w:val="center"/>
          </w:tcPr>
          <w:p w14:paraId="348F1B01">
            <w:pPr>
              <w:widowControl/>
              <w:jc w:val="center"/>
              <w:rPr>
                <w:b/>
                <w:bCs/>
                <w:color w:val="auto"/>
                <w:kern w:val="0"/>
                <w:sz w:val="21"/>
                <w:szCs w:val="21"/>
              </w:rPr>
            </w:pPr>
          </w:p>
        </w:tc>
        <w:tc>
          <w:tcPr>
            <w:tcW w:w="981" w:type="pct"/>
            <w:tcBorders>
              <w:bottom w:val="single" w:color="auto" w:sz="12" w:space="0"/>
            </w:tcBorders>
            <w:vAlign w:val="center"/>
          </w:tcPr>
          <w:p w14:paraId="3CDADE0F">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83" w:type="pct"/>
            <w:tcBorders>
              <w:bottom w:val="single" w:color="auto" w:sz="12" w:space="0"/>
            </w:tcBorders>
            <w:vAlign w:val="center"/>
          </w:tcPr>
          <w:p w14:paraId="77AAD7F7">
            <w:pPr>
              <w:widowControl/>
              <w:adjustRightInd w:val="0"/>
              <w:snapToGrid w:val="0"/>
              <w:jc w:val="center"/>
              <w:rPr>
                <w:b/>
                <w:bCs/>
                <w:color w:val="auto"/>
                <w:kern w:val="0"/>
                <w:sz w:val="21"/>
                <w:szCs w:val="21"/>
                <w:highlight w:val="yellow"/>
              </w:rPr>
            </w:pPr>
            <w:r>
              <w:rPr>
                <w:b/>
                <w:bCs/>
                <w:color w:val="auto"/>
                <w:kern w:val="0"/>
                <w:sz w:val="21"/>
                <w:szCs w:val="21"/>
              </w:rPr>
              <w:t>浓度占标率（%）</w:t>
            </w:r>
          </w:p>
        </w:tc>
        <w:tc>
          <w:tcPr>
            <w:tcW w:w="981" w:type="pct"/>
            <w:tcBorders>
              <w:bottom w:val="single" w:color="auto" w:sz="12" w:space="0"/>
            </w:tcBorders>
            <w:vAlign w:val="center"/>
          </w:tcPr>
          <w:p w14:paraId="090012DB">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985" w:type="pct"/>
            <w:tcBorders>
              <w:bottom w:val="single" w:color="auto" w:sz="12" w:space="0"/>
            </w:tcBorders>
            <w:vAlign w:val="center"/>
          </w:tcPr>
          <w:p w14:paraId="2F0D2CFA">
            <w:pPr>
              <w:widowControl/>
              <w:adjustRightInd w:val="0"/>
              <w:snapToGrid w:val="0"/>
              <w:jc w:val="center"/>
              <w:rPr>
                <w:b/>
                <w:bCs/>
                <w:color w:val="auto"/>
                <w:kern w:val="0"/>
                <w:sz w:val="21"/>
                <w:szCs w:val="21"/>
              </w:rPr>
            </w:pPr>
            <w:r>
              <w:rPr>
                <w:b/>
                <w:bCs/>
                <w:color w:val="auto"/>
                <w:kern w:val="0"/>
                <w:sz w:val="21"/>
                <w:szCs w:val="21"/>
              </w:rPr>
              <w:t>浓度占标率（%）</w:t>
            </w:r>
          </w:p>
        </w:tc>
      </w:tr>
      <w:tr w14:paraId="7FE88D6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tcBorders>
              <w:top w:val="single" w:color="auto" w:sz="12" w:space="0"/>
            </w:tcBorders>
            <w:vAlign w:val="center"/>
          </w:tcPr>
          <w:p w14:paraId="6735F412">
            <w:pPr>
              <w:widowControl/>
              <w:adjustRightInd w:val="0"/>
              <w:snapToGrid w:val="0"/>
              <w:jc w:val="center"/>
              <w:rPr>
                <w:color w:val="auto"/>
                <w:sz w:val="21"/>
                <w:szCs w:val="21"/>
              </w:rPr>
            </w:pPr>
            <w:r>
              <w:rPr>
                <w:color w:val="auto"/>
                <w:sz w:val="21"/>
                <w:szCs w:val="21"/>
              </w:rPr>
              <w:t>1.0</w:t>
            </w:r>
          </w:p>
        </w:tc>
        <w:tc>
          <w:tcPr>
            <w:tcW w:w="1674" w:type="dxa"/>
            <w:tcBorders>
              <w:top w:val="single" w:color="auto" w:sz="12" w:space="0"/>
            </w:tcBorders>
            <w:vAlign w:val="center"/>
          </w:tcPr>
          <w:p w14:paraId="35D57654">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4.3907</w:t>
            </w:r>
          </w:p>
        </w:tc>
        <w:tc>
          <w:tcPr>
            <w:tcW w:w="1677" w:type="dxa"/>
            <w:tcBorders>
              <w:top w:val="single" w:color="auto" w:sz="12" w:space="0"/>
            </w:tcBorders>
            <w:vAlign w:val="center"/>
          </w:tcPr>
          <w:p w14:paraId="3D89836E">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0.4879</w:t>
            </w:r>
          </w:p>
        </w:tc>
        <w:tc>
          <w:tcPr>
            <w:tcW w:w="1674" w:type="dxa"/>
            <w:tcBorders>
              <w:top w:val="single" w:color="auto" w:sz="12" w:space="0"/>
            </w:tcBorders>
            <w:vAlign w:val="center"/>
          </w:tcPr>
          <w:p w14:paraId="1F11D90C">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4.3907</w:t>
            </w:r>
          </w:p>
        </w:tc>
        <w:tc>
          <w:tcPr>
            <w:tcW w:w="1682" w:type="dxa"/>
            <w:tcBorders>
              <w:top w:val="single" w:color="auto" w:sz="12" w:space="0"/>
            </w:tcBorders>
            <w:vAlign w:val="center"/>
          </w:tcPr>
          <w:p w14:paraId="0B65B48E">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0.2195</w:t>
            </w:r>
          </w:p>
        </w:tc>
      </w:tr>
      <w:tr w14:paraId="3227C22C">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Align w:val="center"/>
          </w:tcPr>
          <w:p w14:paraId="738B68EC">
            <w:pPr>
              <w:widowControl/>
              <w:adjustRightInd w:val="0"/>
              <w:snapToGrid w:val="0"/>
              <w:jc w:val="center"/>
              <w:rPr>
                <w:color w:val="auto"/>
                <w:sz w:val="21"/>
                <w:szCs w:val="21"/>
              </w:rPr>
            </w:pPr>
            <w:r>
              <w:rPr>
                <w:color w:val="auto"/>
                <w:sz w:val="21"/>
                <w:szCs w:val="21"/>
              </w:rPr>
              <w:t>25.0</w:t>
            </w:r>
          </w:p>
        </w:tc>
        <w:tc>
          <w:tcPr>
            <w:tcW w:w="1674" w:type="dxa"/>
            <w:vAlign w:val="center"/>
          </w:tcPr>
          <w:p w14:paraId="08FCFFB7">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6.9841</w:t>
            </w:r>
          </w:p>
        </w:tc>
        <w:tc>
          <w:tcPr>
            <w:tcW w:w="1677" w:type="dxa"/>
            <w:vAlign w:val="center"/>
          </w:tcPr>
          <w:p w14:paraId="0432C083">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0.7760</w:t>
            </w:r>
          </w:p>
        </w:tc>
        <w:tc>
          <w:tcPr>
            <w:tcW w:w="1674" w:type="dxa"/>
            <w:vAlign w:val="center"/>
          </w:tcPr>
          <w:p w14:paraId="6EEAD5C8">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6.9841</w:t>
            </w:r>
          </w:p>
        </w:tc>
        <w:tc>
          <w:tcPr>
            <w:tcW w:w="1682" w:type="dxa"/>
            <w:vAlign w:val="center"/>
          </w:tcPr>
          <w:p w14:paraId="6B7EF618">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0.3492</w:t>
            </w:r>
          </w:p>
        </w:tc>
      </w:tr>
      <w:tr w14:paraId="77D03BF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Align w:val="center"/>
          </w:tcPr>
          <w:p w14:paraId="4FA2A688">
            <w:pPr>
              <w:widowControl/>
              <w:adjustRightInd w:val="0"/>
              <w:snapToGrid w:val="0"/>
              <w:jc w:val="center"/>
              <w:rPr>
                <w:color w:val="auto"/>
                <w:sz w:val="21"/>
                <w:szCs w:val="21"/>
              </w:rPr>
            </w:pPr>
            <w:r>
              <w:rPr>
                <w:color w:val="auto"/>
                <w:sz w:val="21"/>
                <w:szCs w:val="21"/>
              </w:rPr>
              <w:t>31.0</w:t>
            </w:r>
          </w:p>
        </w:tc>
        <w:tc>
          <w:tcPr>
            <w:tcW w:w="1674" w:type="dxa"/>
            <w:vAlign w:val="center"/>
          </w:tcPr>
          <w:p w14:paraId="2C56F083">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7.2220</w:t>
            </w:r>
          </w:p>
        </w:tc>
        <w:tc>
          <w:tcPr>
            <w:tcW w:w="1677" w:type="dxa"/>
            <w:vAlign w:val="center"/>
          </w:tcPr>
          <w:p w14:paraId="36758322">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0.8024</w:t>
            </w:r>
          </w:p>
        </w:tc>
        <w:tc>
          <w:tcPr>
            <w:tcW w:w="1674" w:type="dxa"/>
            <w:vAlign w:val="center"/>
          </w:tcPr>
          <w:p w14:paraId="3794BC73">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7.2220</w:t>
            </w:r>
          </w:p>
        </w:tc>
        <w:tc>
          <w:tcPr>
            <w:tcW w:w="1682" w:type="dxa"/>
            <w:vAlign w:val="center"/>
          </w:tcPr>
          <w:p w14:paraId="139BAD63">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0.3611</w:t>
            </w:r>
          </w:p>
        </w:tc>
      </w:tr>
      <w:tr w14:paraId="7D163B0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Align w:val="center"/>
          </w:tcPr>
          <w:p w14:paraId="7FCB0715">
            <w:pPr>
              <w:widowControl/>
              <w:adjustRightInd w:val="0"/>
              <w:snapToGrid w:val="0"/>
              <w:jc w:val="center"/>
              <w:rPr>
                <w:color w:val="auto"/>
                <w:sz w:val="21"/>
                <w:szCs w:val="21"/>
              </w:rPr>
            </w:pPr>
            <w:r>
              <w:rPr>
                <w:color w:val="auto"/>
                <w:sz w:val="21"/>
                <w:szCs w:val="21"/>
              </w:rPr>
              <w:t>50.0</w:t>
            </w:r>
          </w:p>
        </w:tc>
        <w:tc>
          <w:tcPr>
            <w:tcW w:w="1674" w:type="dxa"/>
            <w:vAlign w:val="center"/>
          </w:tcPr>
          <w:p w14:paraId="2F7018C5">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7.0445</w:t>
            </w:r>
          </w:p>
        </w:tc>
        <w:tc>
          <w:tcPr>
            <w:tcW w:w="1677" w:type="dxa"/>
            <w:vAlign w:val="center"/>
          </w:tcPr>
          <w:p w14:paraId="4E5DD0DA">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0.7827</w:t>
            </w:r>
          </w:p>
        </w:tc>
        <w:tc>
          <w:tcPr>
            <w:tcW w:w="1674" w:type="dxa"/>
            <w:vAlign w:val="center"/>
          </w:tcPr>
          <w:p w14:paraId="695BC8FC">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7.0445</w:t>
            </w:r>
          </w:p>
        </w:tc>
        <w:tc>
          <w:tcPr>
            <w:tcW w:w="1682" w:type="dxa"/>
            <w:vAlign w:val="center"/>
          </w:tcPr>
          <w:p w14:paraId="4DB623CC">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0.3522</w:t>
            </w:r>
          </w:p>
        </w:tc>
      </w:tr>
      <w:tr w14:paraId="7A9D784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Align w:val="center"/>
          </w:tcPr>
          <w:p w14:paraId="1F5CB658">
            <w:pPr>
              <w:widowControl/>
              <w:adjustRightInd w:val="0"/>
              <w:snapToGrid w:val="0"/>
              <w:jc w:val="center"/>
              <w:rPr>
                <w:color w:val="auto"/>
                <w:sz w:val="21"/>
                <w:szCs w:val="21"/>
              </w:rPr>
            </w:pPr>
            <w:r>
              <w:rPr>
                <w:color w:val="auto"/>
                <w:sz w:val="21"/>
                <w:szCs w:val="21"/>
              </w:rPr>
              <w:t>75.0</w:t>
            </w:r>
          </w:p>
        </w:tc>
        <w:tc>
          <w:tcPr>
            <w:tcW w:w="1674" w:type="dxa"/>
            <w:vAlign w:val="center"/>
          </w:tcPr>
          <w:p w14:paraId="5B7D7F43">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6.8669</w:t>
            </w:r>
          </w:p>
        </w:tc>
        <w:tc>
          <w:tcPr>
            <w:tcW w:w="1677" w:type="dxa"/>
            <w:vAlign w:val="center"/>
          </w:tcPr>
          <w:p w14:paraId="0DC7BE5B">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0.7630</w:t>
            </w:r>
          </w:p>
        </w:tc>
        <w:tc>
          <w:tcPr>
            <w:tcW w:w="1674" w:type="dxa"/>
            <w:vAlign w:val="center"/>
          </w:tcPr>
          <w:p w14:paraId="5DC80CAC">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6.8669</w:t>
            </w:r>
          </w:p>
        </w:tc>
        <w:tc>
          <w:tcPr>
            <w:tcW w:w="1682" w:type="dxa"/>
            <w:vAlign w:val="center"/>
          </w:tcPr>
          <w:p w14:paraId="4D419BCB">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0.3433</w:t>
            </w:r>
          </w:p>
        </w:tc>
      </w:tr>
      <w:tr w14:paraId="529B254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52DB9E76">
            <w:pPr>
              <w:widowControl/>
              <w:adjustRightInd w:val="0"/>
              <w:snapToGrid w:val="0"/>
              <w:jc w:val="center"/>
              <w:rPr>
                <w:color w:val="auto"/>
                <w:sz w:val="21"/>
                <w:szCs w:val="21"/>
                <w:lang w:val="en-US" w:eastAsia="zh-CN"/>
              </w:rPr>
            </w:pPr>
            <w:r>
              <w:rPr>
                <w:color w:val="auto"/>
                <w:sz w:val="21"/>
                <w:szCs w:val="21"/>
              </w:rPr>
              <w:t>200.0</w:t>
            </w:r>
          </w:p>
        </w:tc>
        <w:tc>
          <w:tcPr>
            <w:tcW w:w="1674" w:type="dxa"/>
            <w:shd w:val="clear" w:color="auto" w:fill="auto"/>
            <w:vAlign w:val="center"/>
          </w:tcPr>
          <w:p w14:paraId="738025D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3.5898</w:t>
            </w:r>
          </w:p>
        </w:tc>
        <w:tc>
          <w:tcPr>
            <w:tcW w:w="1677" w:type="dxa"/>
            <w:shd w:val="clear" w:color="auto" w:fill="auto"/>
            <w:vAlign w:val="center"/>
          </w:tcPr>
          <w:p w14:paraId="284E8AA6">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0.3989</w:t>
            </w:r>
          </w:p>
        </w:tc>
        <w:tc>
          <w:tcPr>
            <w:tcW w:w="1674" w:type="dxa"/>
            <w:shd w:val="clear" w:color="auto" w:fill="auto"/>
            <w:vAlign w:val="center"/>
          </w:tcPr>
          <w:p w14:paraId="46298CDF">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3.5898</w:t>
            </w:r>
          </w:p>
        </w:tc>
        <w:tc>
          <w:tcPr>
            <w:tcW w:w="1682" w:type="dxa"/>
            <w:shd w:val="clear" w:color="auto" w:fill="auto"/>
            <w:vAlign w:val="center"/>
          </w:tcPr>
          <w:p w14:paraId="0D9EDF1D">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0.1795</w:t>
            </w:r>
          </w:p>
        </w:tc>
      </w:tr>
      <w:tr w14:paraId="517EBD6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6E0B2C53">
            <w:pPr>
              <w:widowControl/>
              <w:adjustRightInd w:val="0"/>
              <w:snapToGrid w:val="0"/>
              <w:jc w:val="center"/>
              <w:rPr>
                <w:color w:val="auto"/>
                <w:sz w:val="21"/>
                <w:szCs w:val="21"/>
                <w:lang w:val="en-US" w:eastAsia="zh-CN"/>
              </w:rPr>
            </w:pPr>
            <w:r>
              <w:rPr>
                <w:color w:val="auto"/>
                <w:sz w:val="21"/>
                <w:szCs w:val="21"/>
              </w:rPr>
              <w:t>300.0</w:t>
            </w:r>
          </w:p>
        </w:tc>
        <w:tc>
          <w:tcPr>
            <w:tcW w:w="1674" w:type="dxa"/>
            <w:shd w:val="clear" w:color="auto" w:fill="auto"/>
            <w:vAlign w:val="center"/>
          </w:tcPr>
          <w:p w14:paraId="63E0F30D">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2.6837</w:t>
            </w:r>
          </w:p>
        </w:tc>
        <w:tc>
          <w:tcPr>
            <w:tcW w:w="1677" w:type="dxa"/>
            <w:shd w:val="clear" w:color="auto" w:fill="auto"/>
            <w:vAlign w:val="center"/>
          </w:tcPr>
          <w:p w14:paraId="4B3AE068">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0.2982</w:t>
            </w:r>
          </w:p>
        </w:tc>
        <w:tc>
          <w:tcPr>
            <w:tcW w:w="1674" w:type="dxa"/>
            <w:shd w:val="clear" w:color="auto" w:fill="auto"/>
            <w:vAlign w:val="center"/>
          </w:tcPr>
          <w:p w14:paraId="51A36F0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2.6837</w:t>
            </w:r>
          </w:p>
        </w:tc>
        <w:tc>
          <w:tcPr>
            <w:tcW w:w="1682" w:type="dxa"/>
            <w:shd w:val="clear" w:color="auto" w:fill="auto"/>
            <w:vAlign w:val="center"/>
          </w:tcPr>
          <w:p w14:paraId="32FB3B7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0.1342</w:t>
            </w:r>
          </w:p>
        </w:tc>
      </w:tr>
      <w:tr w14:paraId="215E7A5E">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1B0958D7">
            <w:pPr>
              <w:widowControl/>
              <w:adjustRightInd w:val="0"/>
              <w:snapToGrid w:val="0"/>
              <w:jc w:val="center"/>
              <w:rPr>
                <w:color w:val="auto"/>
                <w:sz w:val="21"/>
                <w:szCs w:val="21"/>
                <w:lang w:val="en-US" w:eastAsia="zh-CN"/>
              </w:rPr>
            </w:pPr>
            <w:r>
              <w:rPr>
                <w:color w:val="auto"/>
                <w:sz w:val="21"/>
                <w:szCs w:val="21"/>
              </w:rPr>
              <w:t>400.0</w:t>
            </w:r>
          </w:p>
        </w:tc>
        <w:tc>
          <w:tcPr>
            <w:tcW w:w="1674" w:type="dxa"/>
            <w:shd w:val="clear" w:color="auto" w:fill="auto"/>
            <w:vAlign w:val="center"/>
          </w:tcPr>
          <w:p w14:paraId="3277C9BC">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2.1865</w:t>
            </w:r>
          </w:p>
        </w:tc>
        <w:tc>
          <w:tcPr>
            <w:tcW w:w="1677" w:type="dxa"/>
            <w:shd w:val="clear" w:color="auto" w:fill="auto"/>
            <w:vAlign w:val="center"/>
          </w:tcPr>
          <w:p w14:paraId="75B1190E">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0.2429</w:t>
            </w:r>
          </w:p>
        </w:tc>
        <w:tc>
          <w:tcPr>
            <w:tcW w:w="1674" w:type="dxa"/>
            <w:shd w:val="clear" w:color="auto" w:fill="auto"/>
            <w:vAlign w:val="center"/>
          </w:tcPr>
          <w:p w14:paraId="2755763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2.1865</w:t>
            </w:r>
          </w:p>
        </w:tc>
        <w:tc>
          <w:tcPr>
            <w:tcW w:w="1682" w:type="dxa"/>
            <w:shd w:val="clear" w:color="auto" w:fill="auto"/>
            <w:vAlign w:val="center"/>
          </w:tcPr>
          <w:p w14:paraId="16F6312A">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0.1093</w:t>
            </w:r>
          </w:p>
        </w:tc>
      </w:tr>
      <w:tr w14:paraId="5E4B85DE">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34F9070F">
            <w:pPr>
              <w:widowControl/>
              <w:adjustRightInd w:val="0"/>
              <w:snapToGrid w:val="0"/>
              <w:jc w:val="center"/>
              <w:rPr>
                <w:color w:val="auto"/>
                <w:sz w:val="21"/>
                <w:szCs w:val="21"/>
                <w:lang w:val="en-US" w:eastAsia="zh-CN"/>
              </w:rPr>
            </w:pPr>
            <w:r>
              <w:rPr>
                <w:color w:val="auto"/>
                <w:sz w:val="21"/>
                <w:szCs w:val="21"/>
              </w:rPr>
              <w:t>500.0</w:t>
            </w:r>
          </w:p>
        </w:tc>
        <w:tc>
          <w:tcPr>
            <w:tcW w:w="1674" w:type="dxa"/>
            <w:shd w:val="clear" w:color="auto" w:fill="auto"/>
            <w:vAlign w:val="center"/>
          </w:tcPr>
          <w:p w14:paraId="0965EB5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1.8664</w:t>
            </w:r>
          </w:p>
        </w:tc>
        <w:tc>
          <w:tcPr>
            <w:tcW w:w="1677" w:type="dxa"/>
            <w:shd w:val="clear" w:color="auto" w:fill="auto"/>
            <w:vAlign w:val="center"/>
          </w:tcPr>
          <w:p w14:paraId="1A6BB164">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0.2074</w:t>
            </w:r>
          </w:p>
        </w:tc>
        <w:tc>
          <w:tcPr>
            <w:tcW w:w="1674" w:type="dxa"/>
            <w:shd w:val="clear" w:color="auto" w:fill="auto"/>
            <w:vAlign w:val="center"/>
          </w:tcPr>
          <w:p w14:paraId="77666D6F">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1.8664</w:t>
            </w:r>
          </w:p>
        </w:tc>
        <w:tc>
          <w:tcPr>
            <w:tcW w:w="1682" w:type="dxa"/>
            <w:shd w:val="clear" w:color="auto" w:fill="auto"/>
            <w:vAlign w:val="center"/>
          </w:tcPr>
          <w:p w14:paraId="57CCE81A">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0.0933</w:t>
            </w:r>
          </w:p>
        </w:tc>
      </w:tr>
      <w:tr w14:paraId="2F4939DD">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7FAE8F62">
            <w:pPr>
              <w:widowControl/>
              <w:adjustRightInd w:val="0"/>
              <w:snapToGrid w:val="0"/>
              <w:jc w:val="center"/>
              <w:rPr>
                <w:color w:val="auto"/>
                <w:sz w:val="21"/>
                <w:szCs w:val="21"/>
                <w:lang w:val="en-US" w:eastAsia="zh-CN"/>
              </w:rPr>
            </w:pPr>
            <w:r>
              <w:rPr>
                <w:color w:val="auto"/>
                <w:sz w:val="21"/>
                <w:szCs w:val="21"/>
              </w:rPr>
              <w:t>600.0</w:t>
            </w:r>
          </w:p>
        </w:tc>
        <w:tc>
          <w:tcPr>
            <w:tcW w:w="1674" w:type="dxa"/>
            <w:shd w:val="clear" w:color="auto" w:fill="auto"/>
            <w:vAlign w:val="center"/>
          </w:tcPr>
          <w:p w14:paraId="42B64752">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1.6404</w:t>
            </w:r>
          </w:p>
        </w:tc>
        <w:tc>
          <w:tcPr>
            <w:tcW w:w="1677" w:type="dxa"/>
            <w:shd w:val="clear" w:color="auto" w:fill="auto"/>
            <w:vAlign w:val="center"/>
          </w:tcPr>
          <w:p w14:paraId="7CBF8A1B">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0.1823</w:t>
            </w:r>
          </w:p>
        </w:tc>
        <w:tc>
          <w:tcPr>
            <w:tcW w:w="1674" w:type="dxa"/>
            <w:shd w:val="clear" w:color="auto" w:fill="auto"/>
            <w:vAlign w:val="center"/>
          </w:tcPr>
          <w:p w14:paraId="76264E9B">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1.6404</w:t>
            </w:r>
          </w:p>
        </w:tc>
        <w:tc>
          <w:tcPr>
            <w:tcW w:w="1682" w:type="dxa"/>
            <w:shd w:val="clear" w:color="auto" w:fill="auto"/>
            <w:vAlign w:val="center"/>
          </w:tcPr>
          <w:p w14:paraId="27C223E2">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0.0820</w:t>
            </w:r>
          </w:p>
        </w:tc>
      </w:tr>
      <w:tr w14:paraId="662BFCC8">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41A70CB0">
            <w:pPr>
              <w:widowControl/>
              <w:adjustRightInd w:val="0"/>
              <w:snapToGrid w:val="0"/>
              <w:jc w:val="center"/>
              <w:rPr>
                <w:color w:val="auto"/>
                <w:sz w:val="21"/>
                <w:szCs w:val="21"/>
                <w:lang w:val="en-US" w:eastAsia="zh-CN"/>
              </w:rPr>
            </w:pPr>
            <w:r>
              <w:rPr>
                <w:color w:val="auto"/>
                <w:sz w:val="21"/>
                <w:szCs w:val="21"/>
              </w:rPr>
              <w:t>800.0</w:t>
            </w:r>
          </w:p>
        </w:tc>
        <w:tc>
          <w:tcPr>
            <w:tcW w:w="1674" w:type="dxa"/>
            <w:shd w:val="clear" w:color="auto" w:fill="auto"/>
            <w:vAlign w:val="center"/>
          </w:tcPr>
          <w:p w14:paraId="6ECCBFED">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1.3388</w:t>
            </w:r>
          </w:p>
        </w:tc>
        <w:tc>
          <w:tcPr>
            <w:tcW w:w="1677" w:type="dxa"/>
            <w:shd w:val="clear" w:color="auto" w:fill="auto"/>
            <w:vAlign w:val="center"/>
          </w:tcPr>
          <w:p w14:paraId="2603C97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0.1488</w:t>
            </w:r>
          </w:p>
        </w:tc>
        <w:tc>
          <w:tcPr>
            <w:tcW w:w="1674" w:type="dxa"/>
            <w:shd w:val="clear" w:color="auto" w:fill="auto"/>
            <w:vAlign w:val="center"/>
          </w:tcPr>
          <w:p w14:paraId="5AB112B7">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1.3388</w:t>
            </w:r>
          </w:p>
        </w:tc>
        <w:tc>
          <w:tcPr>
            <w:tcW w:w="1682" w:type="dxa"/>
            <w:shd w:val="clear" w:color="auto" w:fill="auto"/>
            <w:vAlign w:val="center"/>
          </w:tcPr>
          <w:p w14:paraId="4E858E66">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0.0669</w:t>
            </w:r>
          </w:p>
        </w:tc>
      </w:tr>
      <w:tr w14:paraId="7BCAE248">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3221E74E">
            <w:pPr>
              <w:widowControl/>
              <w:adjustRightInd w:val="0"/>
              <w:snapToGrid w:val="0"/>
              <w:jc w:val="center"/>
              <w:rPr>
                <w:color w:val="auto"/>
                <w:sz w:val="21"/>
                <w:szCs w:val="21"/>
                <w:lang w:val="en-US" w:eastAsia="zh-CN"/>
              </w:rPr>
            </w:pPr>
            <w:r>
              <w:rPr>
                <w:color w:val="auto"/>
                <w:sz w:val="21"/>
                <w:szCs w:val="21"/>
              </w:rPr>
              <w:t>1000.0</w:t>
            </w:r>
          </w:p>
        </w:tc>
        <w:tc>
          <w:tcPr>
            <w:tcW w:w="1674" w:type="dxa"/>
            <w:shd w:val="clear" w:color="auto" w:fill="auto"/>
            <w:vAlign w:val="center"/>
          </w:tcPr>
          <w:p w14:paraId="5D4AF6DC">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1.1440</w:t>
            </w:r>
          </w:p>
        </w:tc>
        <w:tc>
          <w:tcPr>
            <w:tcW w:w="1677" w:type="dxa"/>
            <w:shd w:val="clear" w:color="auto" w:fill="auto"/>
            <w:vAlign w:val="center"/>
          </w:tcPr>
          <w:p w14:paraId="2C50C8B6">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0.1271</w:t>
            </w:r>
          </w:p>
        </w:tc>
        <w:tc>
          <w:tcPr>
            <w:tcW w:w="1674" w:type="dxa"/>
            <w:shd w:val="clear" w:color="auto" w:fill="auto"/>
            <w:vAlign w:val="center"/>
          </w:tcPr>
          <w:p w14:paraId="3539B8FD">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1.1440</w:t>
            </w:r>
          </w:p>
        </w:tc>
        <w:tc>
          <w:tcPr>
            <w:tcW w:w="1682" w:type="dxa"/>
            <w:shd w:val="clear" w:color="auto" w:fill="auto"/>
            <w:vAlign w:val="center"/>
          </w:tcPr>
          <w:p w14:paraId="375644FE">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0.0572</w:t>
            </w:r>
          </w:p>
        </w:tc>
      </w:tr>
      <w:tr w14:paraId="0412555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103495A0">
            <w:pPr>
              <w:widowControl/>
              <w:adjustRightInd w:val="0"/>
              <w:snapToGrid w:val="0"/>
              <w:jc w:val="center"/>
              <w:rPr>
                <w:color w:val="auto"/>
                <w:sz w:val="21"/>
                <w:szCs w:val="21"/>
                <w:lang w:val="en-US" w:eastAsia="zh-CN"/>
              </w:rPr>
            </w:pPr>
            <w:r>
              <w:rPr>
                <w:color w:val="auto"/>
                <w:sz w:val="21"/>
                <w:szCs w:val="21"/>
              </w:rPr>
              <w:t>2000.0</w:t>
            </w:r>
          </w:p>
        </w:tc>
        <w:tc>
          <w:tcPr>
            <w:tcW w:w="1674" w:type="dxa"/>
            <w:shd w:val="clear" w:color="auto" w:fill="auto"/>
            <w:vAlign w:val="center"/>
          </w:tcPr>
          <w:p w14:paraId="00074903">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0.8314</w:t>
            </w:r>
          </w:p>
        </w:tc>
        <w:tc>
          <w:tcPr>
            <w:tcW w:w="1677" w:type="dxa"/>
            <w:shd w:val="clear" w:color="auto" w:fill="auto"/>
            <w:vAlign w:val="center"/>
          </w:tcPr>
          <w:p w14:paraId="493376A7">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0.0924</w:t>
            </w:r>
          </w:p>
        </w:tc>
        <w:tc>
          <w:tcPr>
            <w:tcW w:w="1674" w:type="dxa"/>
            <w:shd w:val="clear" w:color="auto" w:fill="auto"/>
            <w:vAlign w:val="center"/>
          </w:tcPr>
          <w:p w14:paraId="101013E2">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0.8314</w:t>
            </w:r>
          </w:p>
        </w:tc>
        <w:tc>
          <w:tcPr>
            <w:tcW w:w="1682" w:type="dxa"/>
            <w:shd w:val="clear" w:color="auto" w:fill="auto"/>
            <w:vAlign w:val="center"/>
          </w:tcPr>
          <w:p w14:paraId="5877631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0.0416</w:t>
            </w:r>
          </w:p>
        </w:tc>
      </w:tr>
      <w:tr w14:paraId="0B197F4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67172AC2">
            <w:pPr>
              <w:widowControl/>
              <w:adjustRightInd w:val="0"/>
              <w:snapToGrid w:val="0"/>
              <w:jc w:val="center"/>
              <w:rPr>
                <w:color w:val="auto"/>
                <w:sz w:val="21"/>
                <w:szCs w:val="21"/>
                <w:lang w:val="en-US" w:eastAsia="zh-CN"/>
              </w:rPr>
            </w:pPr>
            <w:r>
              <w:rPr>
                <w:color w:val="auto"/>
                <w:sz w:val="21"/>
                <w:szCs w:val="21"/>
              </w:rPr>
              <w:t>3000.0</w:t>
            </w:r>
          </w:p>
        </w:tc>
        <w:tc>
          <w:tcPr>
            <w:tcW w:w="1674" w:type="dxa"/>
            <w:shd w:val="clear" w:color="auto" w:fill="auto"/>
            <w:vAlign w:val="center"/>
          </w:tcPr>
          <w:p w14:paraId="0B7853EE">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0.6658</w:t>
            </w:r>
          </w:p>
        </w:tc>
        <w:tc>
          <w:tcPr>
            <w:tcW w:w="1677" w:type="dxa"/>
            <w:shd w:val="clear" w:color="auto" w:fill="auto"/>
            <w:vAlign w:val="center"/>
          </w:tcPr>
          <w:p w14:paraId="17C7F6D4">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0.0740</w:t>
            </w:r>
          </w:p>
        </w:tc>
        <w:tc>
          <w:tcPr>
            <w:tcW w:w="1674" w:type="dxa"/>
            <w:shd w:val="clear" w:color="auto" w:fill="auto"/>
            <w:vAlign w:val="center"/>
          </w:tcPr>
          <w:p w14:paraId="4AF69F4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0.6658</w:t>
            </w:r>
          </w:p>
        </w:tc>
        <w:tc>
          <w:tcPr>
            <w:tcW w:w="1682" w:type="dxa"/>
            <w:shd w:val="clear" w:color="auto" w:fill="auto"/>
            <w:vAlign w:val="center"/>
          </w:tcPr>
          <w:p w14:paraId="08D1BA66">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0.0333</w:t>
            </w:r>
          </w:p>
        </w:tc>
      </w:tr>
      <w:tr w14:paraId="561033A3">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3FFA16AD">
            <w:pPr>
              <w:widowControl/>
              <w:adjustRightInd w:val="0"/>
              <w:snapToGrid w:val="0"/>
              <w:jc w:val="center"/>
              <w:rPr>
                <w:color w:val="auto"/>
                <w:sz w:val="21"/>
                <w:szCs w:val="21"/>
                <w:lang w:val="en-US" w:eastAsia="zh-CN"/>
              </w:rPr>
            </w:pPr>
            <w:r>
              <w:rPr>
                <w:color w:val="auto"/>
                <w:sz w:val="21"/>
                <w:szCs w:val="21"/>
              </w:rPr>
              <w:t>4000.0</w:t>
            </w:r>
          </w:p>
        </w:tc>
        <w:tc>
          <w:tcPr>
            <w:tcW w:w="1674" w:type="dxa"/>
            <w:shd w:val="clear" w:color="auto" w:fill="auto"/>
            <w:vAlign w:val="center"/>
          </w:tcPr>
          <w:p w14:paraId="4AE608A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0.5516</w:t>
            </w:r>
          </w:p>
        </w:tc>
        <w:tc>
          <w:tcPr>
            <w:tcW w:w="1677" w:type="dxa"/>
            <w:shd w:val="clear" w:color="auto" w:fill="auto"/>
            <w:vAlign w:val="center"/>
          </w:tcPr>
          <w:p w14:paraId="6A2F3B8F">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0.0613</w:t>
            </w:r>
          </w:p>
        </w:tc>
        <w:tc>
          <w:tcPr>
            <w:tcW w:w="1674" w:type="dxa"/>
            <w:shd w:val="clear" w:color="auto" w:fill="auto"/>
            <w:vAlign w:val="center"/>
          </w:tcPr>
          <w:p w14:paraId="1CE9C767">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0.5516</w:t>
            </w:r>
          </w:p>
        </w:tc>
        <w:tc>
          <w:tcPr>
            <w:tcW w:w="1682" w:type="dxa"/>
            <w:shd w:val="clear" w:color="auto" w:fill="auto"/>
            <w:vAlign w:val="center"/>
          </w:tcPr>
          <w:p w14:paraId="08C52540">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0.0276</w:t>
            </w:r>
          </w:p>
        </w:tc>
      </w:tr>
      <w:tr w14:paraId="19BAA7A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522B782F">
            <w:pPr>
              <w:widowControl/>
              <w:adjustRightInd w:val="0"/>
              <w:snapToGrid w:val="0"/>
              <w:jc w:val="center"/>
              <w:rPr>
                <w:color w:val="auto"/>
                <w:sz w:val="21"/>
                <w:szCs w:val="21"/>
                <w:lang w:val="en-US" w:eastAsia="zh-CN"/>
              </w:rPr>
            </w:pPr>
            <w:r>
              <w:rPr>
                <w:color w:val="auto"/>
                <w:sz w:val="21"/>
                <w:szCs w:val="21"/>
              </w:rPr>
              <w:t>5000.0</w:t>
            </w:r>
          </w:p>
        </w:tc>
        <w:tc>
          <w:tcPr>
            <w:tcW w:w="1674" w:type="dxa"/>
            <w:shd w:val="clear" w:color="auto" w:fill="auto"/>
            <w:vAlign w:val="center"/>
          </w:tcPr>
          <w:p w14:paraId="2014BA36">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0.4684</w:t>
            </w:r>
          </w:p>
        </w:tc>
        <w:tc>
          <w:tcPr>
            <w:tcW w:w="1677" w:type="dxa"/>
            <w:shd w:val="clear" w:color="auto" w:fill="auto"/>
            <w:vAlign w:val="center"/>
          </w:tcPr>
          <w:p w14:paraId="4208337E">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0.0520</w:t>
            </w:r>
          </w:p>
        </w:tc>
        <w:tc>
          <w:tcPr>
            <w:tcW w:w="1674" w:type="dxa"/>
            <w:shd w:val="clear" w:color="auto" w:fill="auto"/>
            <w:vAlign w:val="center"/>
          </w:tcPr>
          <w:p w14:paraId="3E480A33">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0.4684</w:t>
            </w:r>
          </w:p>
        </w:tc>
        <w:tc>
          <w:tcPr>
            <w:tcW w:w="1682" w:type="dxa"/>
            <w:shd w:val="clear" w:color="auto" w:fill="auto"/>
            <w:vAlign w:val="center"/>
          </w:tcPr>
          <w:p w14:paraId="4BD5C4E5">
            <w:pPr>
              <w:widowControl/>
              <w:adjustRightInd w:val="0"/>
              <w:snapToGrid w:val="0"/>
              <w:jc w:val="center"/>
              <w:rPr>
                <w:rFonts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0.0234</w:t>
            </w:r>
          </w:p>
        </w:tc>
      </w:tr>
      <w:tr w14:paraId="1DCDBE10">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Align w:val="center"/>
          </w:tcPr>
          <w:p w14:paraId="0E9520F4">
            <w:pPr>
              <w:widowControl/>
              <w:adjustRightInd w:val="0"/>
              <w:snapToGrid w:val="0"/>
              <w:jc w:val="center"/>
              <w:rPr>
                <w:color w:val="auto"/>
                <w:sz w:val="21"/>
                <w:szCs w:val="21"/>
              </w:rPr>
            </w:pPr>
            <w:r>
              <w:rPr>
                <w:color w:val="auto"/>
                <w:sz w:val="21"/>
                <w:szCs w:val="21"/>
              </w:rPr>
              <w:t>下风向最大浓度</w:t>
            </w:r>
          </w:p>
        </w:tc>
        <w:tc>
          <w:tcPr>
            <w:tcW w:w="1674" w:type="dxa"/>
            <w:vAlign w:val="center"/>
          </w:tcPr>
          <w:p w14:paraId="7C48973D">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7.2220</w:t>
            </w:r>
          </w:p>
        </w:tc>
        <w:tc>
          <w:tcPr>
            <w:tcW w:w="1677" w:type="dxa"/>
            <w:vAlign w:val="center"/>
          </w:tcPr>
          <w:p w14:paraId="119C8B89">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0.8024</w:t>
            </w:r>
          </w:p>
        </w:tc>
        <w:tc>
          <w:tcPr>
            <w:tcW w:w="1678" w:type="dxa"/>
            <w:vAlign w:val="center"/>
          </w:tcPr>
          <w:p w14:paraId="511AE575">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7.2220</w:t>
            </w:r>
          </w:p>
        </w:tc>
        <w:tc>
          <w:tcPr>
            <w:tcW w:w="1678" w:type="dxa"/>
            <w:vAlign w:val="center"/>
          </w:tcPr>
          <w:p w14:paraId="27E200B4">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0.3611</w:t>
            </w:r>
          </w:p>
        </w:tc>
      </w:tr>
      <w:tr w14:paraId="232BA17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Align w:val="center"/>
          </w:tcPr>
          <w:p w14:paraId="7D2C52AD">
            <w:pPr>
              <w:widowControl/>
              <w:adjustRightInd w:val="0"/>
              <w:snapToGrid w:val="0"/>
              <w:jc w:val="center"/>
              <w:rPr>
                <w:color w:val="auto"/>
                <w:sz w:val="21"/>
                <w:szCs w:val="21"/>
              </w:rPr>
            </w:pPr>
            <w:r>
              <w:rPr>
                <w:color w:val="auto"/>
                <w:sz w:val="21"/>
                <w:szCs w:val="21"/>
              </w:rPr>
              <w:t>下风向最大浓度出现距离</w:t>
            </w:r>
          </w:p>
        </w:tc>
        <w:tc>
          <w:tcPr>
            <w:tcW w:w="1674" w:type="dxa"/>
            <w:vAlign w:val="center"/>
          </w:tcPr>
          <w:p w14:paraId="5B4C0B0E">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31.0</w:t>
            </w:r>
          </w:p>
        </w:tc>
        <w:tc>
          <w:tcPr>
            <w:tcW w:w="1677" w:type="dxa"/>
            <w:vAlign w:val="center"/>
          </w:tcPr>
          <w:p w14:paraId="724A0807">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31.0</w:t>
            </w:r>
          </w:p>
        </w:tc>
        <w:tc>
          <w:tcPr>
            <w:tcW w:w="1678" w:type="dxa"/>
            <w:vAlign w:val="center"/>
          </w:tcPr>
          <w:p w14:paraId="59581CFF">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31.0</w:t>
            </w:r>
          </w:p>
        </w:tc>
        <w:tc>
          <w:tcPr>
            <w:tcW w:w="1678" w:type="dxa"/>
            <w:vAlign w:val="center"/>
          </w:tcPr>
          <w:p w14:paraId="4620BA6E">
            <w:pPr>
              <w:widowControl/>
              <w:adjustRightInd w:val="0"/>
              <w:snapToGrid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31.0</w:t>
            </w:r>
          </w:p>
        </w:tc>
      </w:tr>
      <w:tr w14:paraId="21D88E3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vAlign w:val="center"/>
          </w:tcPr>
          <w:p w14:paraId="42089EA6">
            <w:pPr>
              <w:widowControl/>
              <w:adjustRightInd w:val="0"/>
              <w:snapToGrid w:val="0"/>
              <w:jc w:val="center"/>
              <w:rPr>
                <w:color w:val="auto"/>
                <w:sz w:val="21"/>
                <w:szCs w:val="21"/>
              </w:rPr>
            </w:pPr>
            <w:r>
              <w:rPr>
                <w:color w:val="auto"/>
                <w:sz w:val="21"/>
                <w:szCs w:val="21"/>
              </w:rPr>
              <w:t>D10%最远距离</w:t>
            </w:r>
          </w:p>
        </w:tc>
        <w:tc>
          <w:tcPr>
            <w:tcW w:w="1674" w:type="dxa"/>
            <w:vAlign w:val="center"/>
          </w:tcPr>
          <w:p w14:paraId="00DD3F77">
            <w:pPr>
              <w:widowControl/>
              <w:adjustRightInd w:val="0"/>
              <w:snapToGrid w:val="0"/>
              <w:jc w:val="center"/>
              <w:rPr>
                <w:color w:val="auto"/>
                <w:sz w:val="21"/>
                <w:szCs w:val="21"/>
              </w:rPr>
            </w:pPr>
            <w:r>
              <w:rPr>
                <w:color w:val="auto"/>
                <w:sz w:val="21"/>
                <w:szCs w:val="21"/>
              </w:rPr>
              <w:t>/</w:t>
            </w:r>
          </w:p>
        </w:tc>
        <w:tc>
          <w:tcPr>
            <w:tcW w:w="1677" w:type="dxa"/>
            <w:vAlign w:val="center"/>
          </w:tcPr>
          <w:p w14:paraId="28A2B683">
            <w:pPr>
              <w:widowControl/>
              <w:adjustRightInd w:val="0"/>
              <w:snapToGrid w:val="0"/>
              <w:jc w:val="center"/>
              <w:rPr>
                <w:color w:val="auto"/>
                <w:sz w:val="21"/>
                <w:szCs w:val="21"/>
              </w:rPr>
            </w:pPr>
            <w:r>
              <w:rPr>
                <w:color w:val="auto"/>
                <w:sz w:val="21"/>
                <w:szCs w:val="21"/>
              </w:rPr>
              <w:t>/</w:t>
            </w:r>
          </w:p>
        </w:tc>
        <w:tc>
          <w:tcPr>
            <w:tcW w:w="1678" w:type="dxa"/>
            <w:vAlign w:val="center"/>
          </w:tcPr>
          <w:p w14:paraId="02D7BF02">
            <w:pPr>
              <w:widowControl/>
              <w:adjustRightInd w:val="0"/>
              <w:snapToGrid w:val="0"/>
              <w:jc w:val="center"/>
              <w:rPr>
                <w:color w:val="auto"/>
                <w:sz w:val="21"/>
                <w:szCs w:val="21"/>
              </w:rPr>
            </w:pPr>
            <w:r>
              <w:rPr>
                <w:color w:val="auto"/>
                <w:sz w:val="21"/>
                <w:szCs w:val="21"/>
              </w:rPr>
              <w:t>/</w:t>
            </w:r>
          </w:p>
        </w:tc>
        <w:tc>
          <w:tcPr>
            <w:tcW w:w="1678" w:type="dxa"/>
            <w:vAlign w:val="center"/>
          </w:tcPr>
          <w:p w14:paraId="4FB26303">
            <w:pPr>
              <w:widowControl/>
              <w:adjustRightInd w:val="0"/>
              <w:snapToGrid w:val="0"/>
              <w:jc w:val="center"/>
              <w:rPr>
                <w:color w:val="auto"/>
                <w:sz w:val="21"/>
                <w:szCs w:val="21"/>
              </w:rPr>
            </w:pPr>
            <w:r>
              <w:rPr>
                <w:color w:val="auto"/>
                <w:sz w:val="21"/>
                <w:szCs w:val="21"/>
              </w:rPr>
              <w:t>/</w:t>
            </w:r>
          </w:p>
        </w:tc>
      </w:tr>
    </w:tbl>
    <w:p w14:paraId="14B0586A">
      <w:pPr>
        <w:spacing w:line="460" w:lineRule="exact"/>
        <w:jc w:val="center"/>
        <w:rPr>
          <w:b/>
          <w:color w:val="auto"/>
          <w:sz w:val="24"/>
          <w:szCs w:val="24"/>
        </w:rPr>
      </w:pPr>
      <w:r>
        <w:rPr>
          <w:rFonts w:hint="eastAsia"/>
          <w:b/>
          <w:color w:val="auto"/>
          <w:sz w:val="24"/>
          <w:szCs w:val="24"/>
        </w:rPr>
        <w:t>表4-</w:t>
      </w:r>
      <w:r>
        <w:rPr>
          <w:rFonts w:hint="eastAsia"/>
          <w:b/>
          <w:color w:val="auto"/>
          <w:sz w:val="24"/>
          <w:szCs w:val="24"/>
          <w:lang w:val="en-US" w:eastAsia="zh-CN"/>
        </w:rPr>
        <w:t>11</w:t>
      </w:r>
      <w:r>
        <w:rPr>
          <w:b/>
          <w:color w:val="auto"/>
          <w:sz w:val="24"/>
          <w:szCs w:val="24"/>
        </w:rPr>
        <w:t xml:space="preserve"> </w:t>
      </w:r>
      <w:r>
        <w:rPr>
          <w:rFonts w:hint="eastAsia"/>
          <w:b/>
          <w:color w:val="auto"/>
          <w:sz w:val="24"/>
          <w:szCs w:val="24"/>
          <w:lang w:val="en-US" w:eastAsia="zh-CN"/>
        </w:rPr>
        <w:t xml:space="preserve"> 生产</w:t>
      </w:r>
      <w:r>
        <w:rPr>
          <w:rFonts w:hint="eastAsia"/>
          <w:b/>
          <w:color w:val="auto"/>
          <w:sz w:val="24"/>
          <w:szCs w:val="24"/>
        </w:rPr>
        <w:t>车间</w:t>
      </w:r>
      <w:r>
        <w:rPr>
          <w:rFonts w:hint="eastAsia"/>
          <w:b/>
          <w:color w:val="auto"/>
          <w:sz w:val="24"/>
          <w:szCs w:val="24"/>
          <w:lang w:eastAsia="zh-CN"/>
        </w:rPr>
        <w:t>（</w:t>
      </w:r>
      <w:r>
        <w:rPr>
          <w:rFonts w:hint="eastAsia"/>
          <w:b/>
          <w:color w:val="auto"/>
          <w:sz w:val="24"/>
          <w:szCs w:val="24"/>
          <w:lang w:val="en-US" w:eastAsia="zh-CN"/>
        </w:rPr>
        <w:t>拉毛区域</w:t>
      </w:r>
      <w:r>
        <w:rPr>
          <w:rFonts w:hint="eastAsia"/>
          <w:b/>
          <w:color w:val="auto"/>
          <w:sz w:val="24"/>
          <w:szCs w:val="24"/>
          <w:lang w:eastAsia="zh-CN"/>
        </w:rPr>
        <w:t>）</w:t>
      </w:r>
      <w:r>
        <w:rPr>
          <w:rFonts w:hint="eastAsia"/>
          <w:b/>
          <w:color w:val="auto"/>
          <w:sz w:val="24"/>
          <w:szCs w:val="24"/>
        </w:rPr>
        <w:t>估算模式预测结果</w:t>
      </w:r>
    </w:p>
    <w:tbl>
      <w:tblPr>
        <w:tblStyle w:val="37"/>
        <w:tblW w:w="5000" w:type="pct"/>
        <w:jc w:val="center"/>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28"/>
        <w:gridCol w:w="2691"/>
        <w:gridCol w:w="2694"/>
      </w:tblGrid>
      <w:tr w14:paraId="52F98DEC">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Merge w:val="restart"/>
            <w:vAlign w:val="center"/>
          </w:tcPr>
          <w:p w14:paraId="2FA9C09E">
            <w:pPr>
              <w:widowControl/>
              <w:adjustRightInd w:val="0"/>
              <w:snapToGrid w:val="0"/>
              <w:jc w:val="center"/>
              <w:rPr>
                <w:b/>
                <w:bCs/>
                <w:color w:val="auto"/>
                <w:kern w:val="0"/>
                <w:sz w:val="21"/>
                <w:szCs w:val="21"/>
              </w:rPr>
            </w:pPr>
            <w:r>
              <w:rPr>
                <w:b/>
                <w:bCs/>
                <w:color w:val="auto"/>
                <w:kern w:val="0"/>
                <w:sz w:val="21"/>
                <w:szCs w:val="21"/>
              </w:rPr>
              <w:t>距源中心下风向距离D（m）</w:t>
            </w:r>
          </w:p>
        </w:tc>
        <w:tc>
          <w:tcPr>
            <w:tcW w:w="3238" w:type="pct"/>
            <w:gridSpan w:val="2"/>
            <w:vAlign w:val="center"/>
          </w:tcPr>
          <w:p w14:paraId="2B013EA8">
            <w:pPr>
              <w:widowControl/>
              <w:adjustRightInd w:val="0"/>
              <w:snapToGrid w:val="0"/>
              <w:jc w:val="center"/>
              <w:rPr>
                <w:b/>
                <w:bCs/>
                <w:color w:val="auto"/>
                <w:kern w:val="0"/>
                <w:sz w:val="21"/>
                <w:szCs w:val="21"/>
              </w:rPr>
            </w:pPr>
            <w:r>
              <w:rPr>
                <w:b/>
                <w:color w:val="auto"/>
                <w:sz w:val="21"/>
                <w:szCs w:val="21"/>
              </w:rPr>
              <w:t>颗粒物</w:t>
            </w:r>
          </w:p>
        </w:tc>
      </w:tr>
      <w:tr w14:paraId="2C0127D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Merge w:val="continue"/>
            <w:tcBorders>
              <w:bottom w:val="single" w:color="auto" w:sz="12" w:space="0"/>
            </w:tcBorders>
            <w:vAlign w:val="center"/>
          </w:tcPr>
          <w:p w14:paraId="48E520EC">
            <w:pPr>
              <w:widowControl/>
              <w:jc w:val="center"/>
              <w:rPr>
                <w:b/>
                <w:bCs/>
                <w:color w:val="auto"/>
                <w:kern w:val="0"/>
                <w:sz w:val="21"/>
                <w:szCs w:val="21"/>
              </w:rPr>
            </w:pPr>
          </w:p>
        </w:tc>
        <w:tc>
          <w:tcPr>
            <w:tcW w:w="1618" w:type="pct"/>
            <w:tcBorders>
              <w:bottom w:val="single" w:color="auto" w:sz="12" w:space="0"/>
            </w:tcBorders>
            <w:vAlign w:val="center"/>
          </w:tcPr>
          <w:p w14:paraId="7750C709">
            <w:pPr>
              <w:widowControl/>
              <w:adjustRightInd w:val="0"/>
              <w:snapToGrid w:val="0"/>
              <w:jc w:val="center"/>
              <w:rPr>
                <w:b/>
                <w:bCs/>
                <w:color w:val="auto"/>
                <w:kern w:val="0"/>
                <w:sz w:val="21"/>
                <w:szCs w:val="21"/>
              </w:rPr>
            </w:pPr>
            <w:r>
              <w:rPr>
                <w:b/>
                <w:bCs/>
                <w:color w:val="auto"/>
                <w:kern w:val="0"/>
                <w:sz w:val="21"/>
                <w:szCs w:val="21"/>
              </w:rPr>
              <w:t>下风向预测浓度（ug/m</w:t>
            </w:r>
            <w:r>
              <w:rPr>
                <w:b/>
                <w:bCs/>
                <w:color w:val="auto"/>
                <w:kern w:val="0"/>
                <w:sz w:val="21"/>
                <w:szCs w:val="21"/>
                <w:vertAlign w:val="superscript"/>
              </w:rPr>
              <w:t>3</w:t>
            </w:r>
            <w:r>
              <w:rPr>
                <w:b/>
                <w:bCs/>
                <w:color w:val="auto"/>
                <w:kern w:val="0"/>
                <w:sz w:val="21"/>
                <w:szCs w:val="21"/>
              </w:rPr>
              <w:t>)</w:t>
            </w:r>
          </w:p>
        </w:tc>
        <w:tc>
          <w:tcPr>
            <w:tcW w:w="1620" w:type="pct"/>
            <w:tcBorders>
              <w:bottom w:val="single" w:color="auto" w:sz="12" w:space="0"/>
            </w:tcBorders>
            <w:vAlign w:val="center"/>
          </w:tcPr>
          <w:p w14:paraId="4919B315">
            <w:pPr>
              <w:widowControl/>
              <w:adjustRightInd w:val="0"/>
              <w:snapToGrid w:val="0"/>
              <w:jc w:val="center"/>
              <w:rPr>
                <w:b/>
                <w:bCs/>
                <w:color w:val="auto"/>
                <w:kern w:val="0"/>
                <w:sz w:val="21"/>
                <w:szCs w:val="21"/>
                <w:highlight w:val="yellow"/>
              </w:rPr>
            </w:pPr>
            <w:r>
              <w:rPr>
                <w:b/>
                <w:bCs/>
                <w:color w:val="auto"/>
                <w:kern w:val="0"/>
                <w:sz w:val="21"/>
                <w:szCs w:val="21"/>
              </w:rPr>
              <w:t>浓度占标率（%）</w:t>
            </w:r>
          </w:p>
        </w:tc>
      </w:tr>
      <w:tr w14:paraId="6C67750E">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tcBorders>
              <w:top w:val="single" w:color="auto" w:sz="12" w:space="0"/>
            </w:tcBorders>
            <w:vAlign w:val="center"/>
          </w:tcPr>
          <w:p w14:paraId="14883BE7">
            <w:pPr>
              <w:widowControl/>
              <w:adjustRightInd w:val="0"/>
              <w:snapToGrid w:val="0"/>
              <w:jc w:val="center"/>
              <w:rPr>
                <w:color w:val="auto"/>
                <w:sz w:val="21"/>
                <w:szCs w:val="21"/>
              </w:rPr>
            </w:pPr>
            <w:r>
              <w:rPr>
                <w:color w:val="auto"/>
                <w:sz w:val="21"/>
                <w:szCs w:val="21"/>
              </w:rPr>
              <w:t>1.0</w:t>
            </w:r>
          </w:p>
        </w:tc>
        <w:tc>
          <w:tcPr>
            <w:tcW w:w="2761" w:type="dxa"/>
            <w:tcBorders>
              <w:top w:val="single" w:color="auto" w:sz="12" w:space="0"/>
            </w:tcBorders>
            <w:vAlign w:val="center"/>
          </w:tcPr>
          <w:p w14:paraId="7477A43A">
            <w:pPr>
              <w:widowControl/>
              <w:adjustRightInd w:val="0"/>
              <w:snapToGrid w:val="0"/>
              <w:jc w:val="center"/>
              <w:rPr>
                <w:color w:val="auto"/>
                <w:sz w:val="21"/>
                <w:szCs w:val="21"/>
              </w:rPr>
            </w:pPr>
            <w:r>
              <w:rPr>
                <w:color w:val="auto"/>
                <w:sz w:val="21"/>
                <w:szCs w:val="21"/>
              </w:rPr>
              <w:t>0.7585</w:t>
            </w:r>
          </w:p>
        </w:tc>
        <w:tc>
          <w:tcPr>
            <w:tcW w:w="2764" w:type="dxa"/>
            <w:tcBorders>
              <w:top w:val="single" w:color="auto" w:sz="12" w:space="0"/>
            </w:tcBorders>
            <w:vAlign w:val="center"/>
          </w:tcPr>
          <w:p w14:paraId="11490669">
            <w:pPr>
              <w:widowControl/>
              <w:adjustRightInd w:val="0"/>
              <w:snapToGrid w:val="0"/>
              <w:jc w:val="center"/>
              <w:rPr>
                <w:color w:val="auto"/>
                <w:sz w:val="21"/>
                <w:szCs w:val="21"/>
              </w:rPr>
            </w:pPr>
            <w:r>
              <w:rPr>
                <w:color w:val="auto"/>
                <w:sz w:val="21"/>
                <w:szCs w:val="21"/>
              </w:rPr>
              <w:t>0.0843</w:t>
            </w:r>
          </w:p>
        </w:tc>
      </w:tr>
      <w:tr w14:paraId="566FEF5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Align w:val="center"/>
          </w:tcPr>
          <w:p w14:paraId="7A9D3969">
            <w:pPr>
              <w:widowControl/>
              <w:adjustRightInd w:val="0"/>
              <w:snapToGrid w:val="0"/>
              <w:jc w:val="center"/>
              <w:rPr>
                <w:color w:val="auto"/>
                <w:sz w:val="21"/>
                <w:szCs w:val="21"/>
              </w:rPr>
            </w:pPr>
            <w:r>
              <w:rPr>
                <w:color w:val="auto"/>
                <w:sz w:val="21"/>
                <w:szCs w:val="21"/>
              </w:rPr>
              <w:t>25.0</w:t>
            </w:r>
          </w:p>
        </w:tc>
        <w:tc>
          <w:tcPr>
            <w:tcW w:w="2761" w:type="dxa"/>
            <w:vAlign w:val="center"/>
          </w:tcPr>
          <w:p w14:paraId="444A284C">
            <w:pPr>
              <w:widowControl/>
              <w:adjustRightInd w:val="0"/>
              <w:snapToGrid w:val="0"/>
              <w:jc w:val="center"/>
              <w:rPr>
                <w:color w:val="auto"/>
                <w:sz w:val="21"/>
                <w:szCs w:val="21"/>
              </w:rPr>
            </w:pPr>
            <w:r>
              <w:rPr>
                <w:color w:val="auto"/>
                <w:sz w:val="21"/>
                <w:szCs w:val="21"/>
              </w:rPr>
              <w:t>1.1361</w:t>
            </w:r>
          </w:p>
        </w:tc>
        <w:tc>
          <w:tcPr>
            <w:tcW w:w="2764" w:type="dxa"/>
            <w:vAlign w:val="center"/>
          </w:tcPr>
          <w:p w14:paraId="03F64C03">
            <w:pPr>
              <w:widowControl/>
              <w:adjustRightInd w:val="0"/>
              <w:snapToGrid w:val="0"/>
              <w:jc w:val="center"/>
              <w:rPr>
                <w:color w:val="auto"/>
                <w:sz w:val="21"/>
                <w:szCs w:val="21"/>
              </w:rPr>
            </w:pPr>
            <w:r>
              <w:rPr>
                <w:color w:val="auto"/>
                <w:sz w:val="21"/>
                <w:szCs w:val="21"/>
              </w:rPr>
              <w:t>0.1262</w:t>
            </w:r>
          </w:p>
        </w:tc>
      </w:tr>
      <w:tr w14:paraId="0D74D7A7">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Align w:val="center"/>
          </w:tcPr>
          <w:p w14:paraId="44B18B0B">
            <w:pPr>
              <w:widowControl/>
              <w:adjustRightInd w:val="0"/>
              <w:snapToGrid w:val="0"/>
              <w:jc w:val="center"/>
              <w:rPr>
                <w:color w:val="auto"/>
                <w:sz w:val="21"/>
                <w:szCs w:val="21"/>
              </w:rPr>
            </w:pPr>
            <w:r>
              <w:rPr>
                <w:color w:val="auto"/>
                <w:sz w:val="21"/>
                <w:szCs w:val="21"/>
              </w:rPr>
              <w:t>31.0</w:t>
            </w:r>
          </w:p>
        </w:tc>
        <w:tc>
          <w:tcPr>
            <w:tcW w:w="2761" w:type="dxa"/>
            <w:vAlign w:val="center"/>
          </w:tcPr>
          <w:p w14:paraId="170A3924">
            <w:pPr>
              <w:widowControl/>
              <w:adjustRightInd w:val="0"/>
              <w:snapToGrid w:val="0"/>
              <w:jc w:val="center"/>
              <w:rPr>
                <w:color w:val="auto"/>
                <w:sz w:val="21"/>
                <w:szCs w:val="21"/>
              </w:rPr>
            </w:pPr>
            <w:r>
              <w:rPr>
                <w:color w:val="auto"/>
                <w:sz w:val="21"/>
                <w:szCs w:val="21"/>
              </w:rPr>
              <w:t>1.0195</w:t>
            </w:r>
          </w:p>
        </w:tc>
        <w:tc>
          <w:tcPr>
            <w:tcW w:w="2764" w:type="dxa"/>
            <w:vAlign w:val="center"/>
          </w:tcPr>
          <w:p w14:paraId="408D07F0">
            <w:pPr>
              <w:widowControl/>
              <w:adjustRightInd w:val="0"/>
              <w:snapToGrid w:val="0"/>
              <w:jc w:val="center"/>
              <w:rPr>
                <w:color w:val="auto"/>
                <w:sz w:val="21"/>
                <w:szCs w:val="21"/>
              </w:rPr>
            </w:pPr>
            <w:r>
              <w:rPr>
                <w:color w:val="auto"/>
                <w:sz w:val="21"/>
                <w:szCs w:val="21"/>
              </w:rPr>
              <w:t>0.1133</w:t>
            </w:r>
          </w:p>
        </w:tc>
      </w:tr>
      <w:tr w14:paraId="58C4B8A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Align w:val="center"/>
          </w:tcPr>
          <w:p w14:paraId="0A4AF773">
            <w:pPr>
              <w:widowControl/>
              <w:adjustRightInd w:val="0"/>
              <w:snapToGrid w:val="0"/>
              <w:jc w:val="center"/>
              <w:rPr>
                <w:color w:val="auto"/>
                <w:sz w:val="21"/>
                <w:szCs w:val="21"/>
              </w:rPr>
            </w:pPr>
            <w:r>
              <w:rPr>
                <w:color w:val="auto"/>
                <w:sz w:val="21"/>
                <w:szCs w:val="21"/>
              </w:rPr>
              <w:t>50.0</w:t>
            </w:r>
          </w:p>
        </w:tc>
        <w:tc>
          <w:tcPr>
            <w:tcW w:w="2761" w:type="dxa"/>
            <w:vAlign w:val="center"/>
          </w:tcPr>
          <w:p w14:paraId="11A17456">
            <w:pPr>
              <w:widowControl/>
              <w:adjustRightInd w:val="0"/>
              <w:snapToGrid w:val="0"/>
              <w:jc w:val="center"/>
              <w:rPr>
                <w:color w:val="auto"/>
                <w:sz w:val="21"/>
                <w:szCs w:val="21"/>
              </w:rPr>
            </w:pPr>
            <w:r>
              <w:rPr>
                <w:color w:val="auto"/>
                <w:sz w:val="21"/>
                <w:szCs w:val="21"/>
              </w:rPr>
              <w:t>0.6121</w:t>
            </w:r>
          </w:p>
        </w:tc>
        <w:tc>
          <w:tcPr>
            <w:tcW w:w="2764" w:type="dxa"/>
            <w:vAlign w:val="center"/>
          </w:tcPr>
          <w:p w14:paraId="3BA6B76B">
            <w:pPr>
              <w:widowControl/>
              <w:adjustRightInd w:val="0"/>
              <w:snapToGrid w:val="0"/>
              <w:jc w:val="center"/>
              <w:rPr>
                <w:color w:val="auto"/>
                <w:sz w:val="21"/>
                <w:szCs w:val="21"/>
              </w:rPr>
            </w:pPr>
            <w:r>
              <w:rPr>
                <w:color w:val="auto"/>
                <w:sz w:val="21"/>
                <w:szCs w:val="21"/>
              </w:rPr>
              <w:t>0.0680</w:t>
            </w:r>
          </w:p>
        </w:tc>
      </w:tr>
      <w:tr w14:paraId="35930AD2">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Align w:val="center"/>
          </w:tcPr>
          <w:p w14:paraId="451C31B1">
            <w:pPr>
              <w:widowControl/>
              <w:adjustRightInd w:val="0"/>
              <w:snapToGrid w:val="0"/>
              <w:jc w:val="center"/>
              <w:rPr>
                <w:color w:val="auto"/>
                <w:sz w:val="21"/>
                <w:szCs w:val="21"/>
              </w:rPr>
            </w:pPr>
            <w:r>
              <w:rPr>
                <w:color w:val="auto"/>
                <w:sz w:val="21"/>
                <w:szCs w:val="21"/>
              </w:rPr>
              <w:t>75.0</w:t>
            </w:r>
          </w:p>
        </w:tc>
        <w:tc>
          <w:tcPr>
            <w:tcW w:w="2761" w:type="dxa"/>
            <w:vAlign w:val="center"/>
          </w:tcPr>
          <w:p w14:paraId="510CE2A0">
            <w:pPr>
              <w:widowControl/>
              <w:adjustRightInd w:val="0"/>
              <w:snapToGrid w:val="0"/>
              <w:jc w:val="center"/>
              <w:rPr>
                <w:color w:val="auto"/>
                <w:sz w:val="21"/>
                <w:szCs w:val="21"/>
              </w:rPr>
            </w:pPr>
            <w:r>
              <w:rPr>
                <w:color w:val="auto"/>
                <w:sz w:val="21"/>
                <w:szCs w:val="21"/>
              </w:rPr>
              <w:t>0.5516</w:t>
            </w:r>
          </w:p>
        </w:tc>
        <w:tc>
          <w:tcPr>
            <w:tcW w:w="2764" w:type="dxa"/>
            <w:vAlign w:val="center"/>
          </w:tcPr>
          <w:p w14:paraId="50C3C416">
            <w:pPr>
              <w:widowControl/>
              <w:adjustRightInd w:val="0"/>
              <w:snapToGrid w:val="0"/>
              <w:jc w:val="center"/>
              <w:rPr>
                <w:color w:val="auto"/>
                <w:sz w:val="21"/>
                <w:szCs w:val="21"/>
              </w:rPr>
            </w:pPr>
            <w:r>
              <w:rPr>
                <w:color w:val="auto"/>
                <w:sz w:val="21"/>
                <w:szCs w:val="21"/>
              </w:rPr>
              <w:t>0.0613</w:t>
            </w:r>
          </w:p>
        </w:tc>
      </w:tr>
      <w:tr w14:paraId="07E700D2">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536A6A1B">
            <w:pPr>
              <w:widowControl/>
              <w:adjustRightInd w:val="0"/>
              <w:snapToGrid w:val="0"/>
              <w:jc w:val="center"/>
              <w:rPr>
                <w:color w:val="auto"/>
                <w:sz w:val="21"/>
                <w:szCs w:val="21"/>
                <w:lang w:val="en-US" w:eastAsia="zh-CN"/>
              </w:rPr>
            </w:pPr>
            <w:r>
              <w:rPr>
                <w:color w:val="auto"/>
                <w:sz w:val="21"/>
                <w:szCs w:val="21"/>
              </w:rPr>
              <w:t>200.0</w:t>
            </w:r>
          </w:p>
        </w:tc>
        <w:tc>
          <w:tcPr>
            <w:tcW w:w="2761" w:type="dxa"/>
            <w:shd w:val="clear" w:color="auto" w:fill="auto"/>
            <w:vAlign w:val="center"/>
          </w:tcPr>
          <w:p w14:paraId="47D40B3C">
            <w:pPr>
              <w:widowControl/>
              <w:adjustRightInd w:val="0"/>
              <w:snapToGrid w:val="0"/>
              <w:jc w:val="center"/>
              <w:rPr>
                <w:color w:val="auto"/>
                <w:sz w:val="21"/>
                <w:szCs w:val="21"/>
                <w:lang w:val="en-US" w:eastAsia="zh-CN"/>
              </w:rPr>
            </w:pPr>
            <w:r>
              <w:rPr>
                <w:color w:val="auto"/>
                <w:sz w:val="21"/>
                <w:szCs w:val="21"/>
              </w:rPr>
              <w:t>0.3545</w:t>
            </w:r>
          </w:p>
        </w:tc>
        <w:tc>
          <w:tcPr>
            <w:tcW w:w="2764" w:type="dxa"/>
            <w:shd w:val="clear" w:color="auto" w:fill="auto"/>
            <w:vAlign w:val="center"/>
          </w:tcPr>
          <w:p w14:paraId="10924C4D">
            <w:pPr>
              <w:widowControl/>
              <w:adjustRightInd w:val="0"/>
              <w:snapToGrid w:val="0"/>
              <w:jc w:val="center"/>
              <w:rPr>
                <w:color w:val="auto"/>
                <w:sz w:val="21"/>
                <w:szCs w:val="21"/>
                <w:lang w:val="en-US" w:eastAsia="zh-CN"/>
              </w:rPr>
            </w:pPr>
            <w:r>
              <w:rPr>
                <w:color w:val="auto"/>
                <w:sz w:val="21"/>
                <w:szCs w:val="21"/>
              </w:rPr>
              <w:t>0.0394</w:t>
            </w:r>
          </w:p>
        </w:tc>
      </w:tr>
      <w:tr w14:paraId="1189624A">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5CEB551B">
            <w:pPr>
              <w:widowControl/>
              <w:adjustRightInd w:val="0"/>
              <w:snapToGrid w:val="0"/>
              <w:jc w:val="center"/>
              <w:rPr>
                <w:color w:val="auto"/>
                <w:sz w:val="21"/>
                <w:szCs w:val="21"/>
                <w:lang w:val="en-US" w:eastAsia="zh-CN"/>
              </w:rPr>
            </w:pPr>
            <w:r>
              <w:rPr>
                <w:color w:val="auto"/>
                <w:sz w:val="21"/>
                <w:szCs w:val="21"/>
              </w:rPr>
              <w:t>300.0</w:t>
            </w:r>
          </w:p>
        </w:tc>
        <w:tc>
          <w:tcPr>
            <w:tcW w:w="2761" w:type="dxa"/>
            <w:shd w:val="clear" w:color="auto" w:fill="auto"/>
            <w:vAlign w:val="center"/>
          </w:tcPr>
          <w:p w14:paraId="5C314900">
            <w:pPr>
              <w:widowControl/>
              <w:adjustRightInd w:val="0"/>
              <w:snapToGrid w:val="0"/>
              <w:jc w:val="center"/>
              <w:rPr>
                <w:color w:val="auto"/>
                <w:sz w:val="21"/>
                <w:szCs w:val="21"/>
                <w:lang w:val="en-US" w:eastAsia="zh-CN"/>
              </w:rPr>
            </w:pPr>
            <w:r>
              <w:rPr>
                <w:color w:val="auto"/>
                <w:sz w:val="21"/>
                <w:szCs w:val="21"/>
              </w:rPr>
              <w:t>0.2980</w:t>
            </w:r>
          </w:p>
        </w:tc>
        <w:tc>
          <w:tcPr>
            <w:tcW w:w="2764" w:type="dxa"/>
            <w:shd w:val="clear" w:color="auto" w:fill="auto"/>
            <w:vAlign w:val="center"/>
          </w:tcPr>
          <w:p w14:paraId="3167BC27">
            <w:pPr>
              <w:widowControl/>
              <w:adjustRightInd w:val="0"/>
              <w:snapToGrid w:val="0"/>
              <w:jc w:val="center"/>
              <w:rPr>
                <w:color w:val="auto"/>
                <w:sz w:val="21"/>
                <w:szCs w:val="21"/>
                <w:lang w:val="en-US" w:eastAsia="zh-CN"/>
              </w:rPr>
            </w:pPr>
            <w:r>
              <w:rPr>
                <w:color w:val="auto"/>
                <w:sz w:val="21"/>
                <w:szCs w:val="21"/>
              </w:rPr>
              <w:t>0.0331</w:t>
            </w:r>
          </w:p>
        </w:tc>
      </w:tr>
      <w:tr w14:paraId="0A23F562">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56741014">
            <w:pPr>
              <w:widowControl/>
              <w:adjustRightInd w:val="0"/>
              <w:snapToGrid w:val="0"/>
              <w:jc w:val="center"/>
              <w:rPr>
                <w:color w:val="auto"/>
                <w:sz w:val="21"/>
                <w:szCs w:val="21"/>
                <w:lang w:val="en-US" w:eastAsia="zh-CN"/>
              </w:rPr>
            </w:pPr>
            <w:r>
              <w:rPr>
                <w:color w:val="auto"/>
                <w:sz w:val="21"/>
                <w:szCs w:val="21"/>
              </w:rPr>
              <w:t>400.0</w:t>
            </w:r>
          </w:p>
        </w:tc>
        <w:tc>
          <w:tcPr>
            <w:tcW w:w="2761" w:type="dxa"/>
            <w:shd w:val="clear" w:color="auto" w:fill="auto"/>
            <w:vAlign w:val="center"/>
          </w:tcPr>
          <w:p w14:paraId="2A9068A6">
            <w:pPr>
              <w:widowControl/>
              <w:adjustRightInd w:val="0"/>
              <w:snapToGrid w:val="0"/>
              <w:jc w:val="center"/>
              <w:rPr>
                <w:color w:val="auto"/>
                <w:sz w:val="21"/>
                <w:szCs w:val="21"/>
                <w:lang w:val="en-US" w:eastAsia="zh-CN"/>
              </w:rPr>
            </w:pPr>
            <w:r>
              <w:rPr>
                <w:color w:val="auto"/>
                <w:sz w:val="21"/>
                <w:szCs w:val="21"/>
              </w:rPr>
              <w:t>0.2552</w:t>
            </w:r>
          </w:p>
        </w:tc>
        <w:tc>
          <w:tcPr>
            <w:tcW w:w="2764" w:type="dxa"/>
            <w:shd w:val="clear" w:color="auto" w:fill="auto"/>
            <w:vAlign w:val="center"/>
          </w:tcPr>
          <w:p w14:paraId="0576614D">
            <w:pPr>
              <w:widowControl/>
              <w:adjustRightInd w:val="0"/>
              <w:snapToGrid w:val="0"/>
              <w:jc w:val="center"/>
              <w:rPr>
                <w:color w:val="auto"/>
                <w:sz w:val="21"/>
                <w:szCs w:val="21"/>
                <w:lang w:val="en-US" w:eastAsia="zh-CN"/>
              </w:rPr>
            </w:pPr>
            <w:r>
              <w:rPr>
                <w:color w:val="auto"/>
                <w:sz w:val="21"/>
                <w:szCs w:val="21"/>
              </w:rPr>
              <w:t>0.0284</w:t>
            </w:r>
          </w:p>
        </w:tc>
      </w:tr>
      <w:tr w14:paraId="7C4A745E">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020BB71D">
            <w:pPr>
              <w:widowControl/>
              <w:adjustRightInd w:val="0"/>
              <w:snapToGrid w:val="0"/>
              <w:jc w:val="center"/>
              <w:rPr>
                <w:color w:val="auto"/>
                <w:sz w:val="21"/>
                <w:szCs w:val="21"/>
                <w:lang w:val="en-US" w:eastAsia="zh-CN"/>
              </w:rPr>
            </w:pPr>
            <w:r>
              <w:rPr>
                <w:color w:val="auto"/>
                <w:sz w:val="21"/>
                <w:szCs w:val="21"/>
              </w:rPr>
              <w:t>500.0</w:t>
            </w:r>
          </w:p>
        </w:tc>
        <w:tc>
          <w:tcPr>
            <w:tcW w:w="2761" w:type="dxa"/>
            <w:shd w:val="clear" w:color="auto" w:fill="auto"/>
            <w:vAlign w:val="center"/>
          </w:tcPr>
          <w:p w14:paraId="48717042">
            <w:pPr>
              <w:widowControl/>
              <w:adjustRightInd w:val="0"/>
              <w:snapToGrid w:val="0"/>
              <w:jc w:val="center"/>
              <w:rPr>
                <w:color w:val="auto"/>
                <w:sz w:val="21"/>
                <w:szCs w:val="21"/>
                <w:lang w:val="en-US" w:eastAsia="zh-CN"/>
              </w:rPr>
            </w:pPr>
            <w:r>
              <w:rPr>
                <w:color w:val="auto"/>
                <w:sz w:val="21"/>
                <w:szCs w:val="21"/>
              </w:rPr>
              <w:t>0.2223</w:t>
            </w:r>
          </w:p>
        </w:tc>
        <w:tc>
          <w:tcPr>
            <w:tcW w:w="2764" w:type="dxa"/>
            <w:shd w:val="clear" w:color="auto" w:fill="auto"/>
            <w:vAlign w:val="center"/>
          </w:tcPr>
          <w:p w14:paraId="058F8A73">
            <w:pPr>
              <w:widowControl/>
              <w:adjustRightInd w:val="0"/>
              <w:snapToGrid w:val="0"/>
              <w:jc w:val="center"/>
              <w:rPr>
                <w:color w:val="auto"/>
                <w:sz w:val="21"/>
                <w:szCs w:val="21"/>
                <w:lang w:val="en-US" w:eastAsia="zh-CN"/>
              </w:rPr>
            </w:pPr>
            <w:r>
              <w:rPr>
                <w:color w:val="auto"/>
                <w:sz w:val="21"/>
                <w:szCs w:val="21"/>
              </w:rPr>
              <w:t>0.0247</w:t>
            </w:r>
          </w:p>
        </w:tc>
      </w:tr>
      <w:tr w14:paraId="69F9C43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57DDC67F">
            <w:pPr>
              <w:widowControl/>
              <w:adjustRightInd w:val="0"/>
              <w:snapToGrid w:val="0"/>
              <w:jc w:val="center"/>
              <w:rPr>
                <w:color w:val="auto"/>
                <w:sz w:val="21"/>
                <w:szCs w:val="21"/>
                <w:lang w:val="en-US" w:eastAsia="zh-CN"/>
              </w:rPr>
            </w:pPr>
            <w:r>
              <w:rPr>
                <w:color w:val="auto"/>
                <w:sz w:val="21"/>
                <w:szCs w:val="21"/>
              </w:rPr>
              <w:t>600.0</w:t>
            </w:r>
          </w:p>
        </w:tc>
        <w:tc>
          <w:tcPr>
            <w:tcW w:w="2761" w:type="dxa"/>
            <w:shd w:val="clear" w:color="auto" w:fill="auto"/>
            <w:vAlign w:val="center"/>
          </w:tcPr>
          <w:p w14:paraId="784DDFB7">
            <w:pPr>
              <w:widowControl/>
              <w:adjustRightInd w:val="0"/>
              <w:snapToGrid w:val="0"/>
              <w:jc w:val="center"/>
              <w:rPr>
                <w:color w:val="auto"/>
                <w:sz w:val="21"/>
                <w:szCs w:val="21"/>
                <w:lang w:val="en-US" w:eastAsia="zh-CN"/>
              </w:rPr>
            </w:pPr>
            <w:r>
              <w:rPr>
                <w:color w:val="auto"/>
                <w:sz w:val="21"/>
                <w:szCs w:val="21"/>
              </w:rPr>
              <w:t>0.1963</w:t>
            </w:r>
          </w:p>
        </w:tc>
        <w:tc>
          <w:tcPr>
            <w:tcW w:w="2764" w:type="dxa"/>
            <w:shd w:val="clear" w:color="auto" w:fill="auto"/>
            <w:vAlign w:val="center"/>
          </w:tcPr>
          <w:p w14:paraId="447E2E5B">
            <w:pPr>
              <w:widowControl/>
              <w:adjustRightInd w:val="0"/>
              <w:snapToGrid w:val="0"/>
              <w:jc w:val="center"/>
              <w:rPr>
                <w:color w:val="auto"/>
                <w:sz w:val="21"/>
                <w:szCs w:val="21"/>
                <w:lang w:val="en-US" w:eastAsia="zh-CN"/>
              </w:rPr>
            </w:pPr>
            <w:r>
              <w:rPr>
                <w:color w:val="auto"/>
                <w:sz w:val="21"/>
                <w:szCs w:val="21"/>
              </w:rPr>
              <w:t>0.0218</w:t>
            </w:r>
          </w:p>
        </w:tc>
      </w:tr>
      <w:tr w14:paraId="3CC20E9B">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2F25C405">
            <w:pPr>
              <w:widowControl/>
              <w:adjustRightInd w:val="0"/>
              <w:snapToGrid w:val="0"/>
              <w:jc w:val="center"/>
              <w:rPr>
                <w:color w:val="auto"/>
                <w:sz w:val="21"/>
                <w:szCs w:val="21"/>
                <w:lang w:val="en-US" w:eastAsia="zh-CN"/>
              </w:rPr>
            </w:pPr>
            <w:r>
              <w:rPr>
                <w:color w:val="auto"/>
                <w:sz w:val="21"/>
                <w:szCs w:val="21"/>
              </w:rPr>
              <w:t>800.0</w:t>
            </w:r>
          </w:p>
        </w:tc>
        <w:tc>
          <w:tcPr>
            <w:tcW w:w="2761" w:type="dxa"/>
            <w:shd w:val="clear" w:color="auto" w:fill="auto"/>
            <w:vAlign w:val="center"/>
          </w:tcPr>
          <w:p w14:paraId="291E0B9A">
            <w:pPr>
              <w:widowControl/>
              <w:adjustRightInd w:val="0"/>
              <w:snapToGrid w:val="0"/>
              <w:jc w:val="center"/>
              <w:rPr>
                <w:color w:val="auto"/>
                <w:sz w:val="21"/>
                <w:szCs w:val="21"/>
                <w:lang w:val="en-US" w:eastAsia="zh-CN"/>
              </w:rPr>
            </w:pPr>
            <w:r>
              <w:rPr>
                <w:color w:val="auto"/>
                <w:sz w:val="21"/>
                <w:szCs w:val="21"/>
              </w:rPr>
              <w:t>0.1601</w:t>
            </w:r>
          </w:p>
        </w:tc>
        <w:tc>
          <w:tcPr>
            <w:tcW w:w="2764" w:type="dxa"/>
            <w:shd w:val="clear" w:color="auto" w:fill="auto"/>
            <w:vAlign w:val="center"/>
          </w:tcPr>
          <w:p w14:paraId="0E25C450">
            <w:pPr>
              <w:widowControl/>
              <w:adjustRightInd w:val="0"/>
              <w:snapToGrid w:val="0"/>
              <w:jc w:val="center"/>
              <w:rPr>
                <w:color w:val="auto"/>
                <w:sz w:val="21"/>
                <w:szCs w:val="21"/>
                <w:lang w:val="en-US" w:eastAsia="zh-CN"/>
              </w:rPr>
            </w:pPr>
            <w:r>
              <w:rPr>
                <w:color w:val="auto"/>
                <w:sz w:val="21"/>
                <w:szCs w:val="21"/>
              </w:rPr>
              <w:t>0.0178</w:t>
            </w:r>
          </w:p>
        </w:tc>
      </w:tr>
      <w:tr w14:paraId="21D1B1C9">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23C68B1C">
            <w:pPr>
              <w:widowControl/>
              <w:adjustRightInd w:val="0"/>
              <w:snapToGrid w:val="0"/>
              <w:jc w:val="center"/>
              <w:rPr>
                <w:color w:val="auto"/>
                <w:sz w:val="21"/>
                <w:szCs w:val="21"/>
                <w:lang w:val="en-US" w:eastAsia="zh-CN"/>
              </w:rPr>
            </w:pPr>
            <w:r>
              <w:rPr>
                <w:color w:val="auto"/>
                <w:sz w:val="21"/>
                <w:szCs w:val="21"/>
              </w:rPr>
              <w:t>1000.0</w:t>
            </w:r>
          </w:p>
        </w:tc>
        <w:tc>
          <w:tcPr>
            <w:tcW w:w="2761" w:type="dxa"/>
            <w:shd w:val="clear" w:color="auto" w:fill="auto"/>
            <w:vAlign w:val="center"/>
          </w:tcPr>
          <w:p w14:paraId="47DD2CBC">
            <w:pPr>
              <w:widowControl/>
              <w:adjustRightInd w:val="0"/>
              <w:snapToGrid w:val="0"/>
              <w:jc w:val="center"/>
              <w:rPr>
                <w:color w:val="auto"/>
                <w:sz w:val="21"/>
                <w:szCs w:val="21"/>
                <w:lang w:val="en-US" w:eastAsia="zh-CN"/>
              </w:rPr>
            </w:pPr>
            <w:r>
              <w:rPr>
                <w:color w:val="auto"/>
                <w:sz w:val="21"/>
                <w:szCs w:val="21"/>
              </w:rPr>
              <w:t>0.1354</w:t>
            </w:r>
          </w:p>
        </w:tc>
        <w:tc>
          <w:tcPr>
            <w:tcW w:w="2764" w:type="dxa"/>
            <w:shd w:val="clear" w:color="auto" w:fill="auto"/>
            <w:vAlign w:val="center"/>
          </w:tcPr>
          <w:p w14:paraId="1E1702E4">
            <w:pPr>
              <w:widowControl/>
              <w:adjustRightInd w:val="0"/>
              <w:snapToGrid w:val="0"/>
              <w:jc w:val="center"/>
              <w:rPr>
                <w:color w:val="auto"/>
                <w:sz w:val="21"/>
                <w:szCs w:val="21"/>
                <w:lang w:val="en-US" w:eastAsia="zh-CN"/>
              </w:rPr>
            </w:pPr>
            <w:r>
              <w:rPr>
                <w:color w:val="auto"/>
                <w:sz w:val="21"/>
                <w:szCs w:val="21"/>
              </w:rPr>
              <w:t>0.0150</w:t>
            </w:r>
          </w:p>
        </w:tc>
      </w:tr>
      <w:tr w14:paraId="6E8297A1">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4AA6B596">
            <w:pPr>
              <w:widowControl/>
              <w:adjustRightInd w:val="0"/>
              <w:snapToGrid w:val="0"/>
              <w:jc w:val="center"/>
              <w:rPr>
                <w:color w:val="auto"/>
                <w:sz w:val="21"/>
                <w:szCs w:val="21"/>
                <w:lang w:val="en-US" w:eastAsia="zh-CN"/>
              </w:rPr>
            </w:pPr>
            <w:r>
              <w:rPr>
                <w:color w:val="auto"/>
                <w:sz w:val="21"/>
                <w:szCs w:val="21"/>
              </w:rPr>
              <w:t>2000.0</w:t>
            </w:r>
          </w:p>
        </w:tc>
        <w:tc>
          <w:tcPr>
            <w:tcW w:w="2761" w:type="dxa"/>
            <w:shd w:val="clear" w:color="auto" w:fill="auto"/>
            <w:vAlign w:val="center"/>
          </w:tcPr>
          <w:p w14:paraId="4DB3119D">
            <w:pPr>
              <w:widowControl/>
              <w:adjustRightInd w:val="0"/>
              <w:snapToGrid w:val="0"/>
              <w:jc w:val="center"/>
              <w:rPr>
                <w:color w:val="auto"/>
                <w:sz w:val="21"/>
                <w:szCs w:val="21"/>
                <w:lang w:val="en-US" w:eastAsia="zh-CN"/>
              </w:rPr>
            </w:pPr>
            <w:r>
              <w:rPr>
                <w:color w:val="auto"/>
                <w:sz w:val="21"/>
                <w:szCs w:val="21"/>
              </w:rPr>
              <w:t>0.0777</w:t>
            </w:r>
          </w:p>
        </w:tc>
        <w:tc>
          <w:tcPr>
            <w:tcW w:w="2764" w:type="dxa"/>
            <w:shd w:val="clear" w:color="auto" w:fill="auto"/>
            <w:vAlign w:val="center"/>
          </w:tcPr>
          <w:p w14:paraId="42D937D7">
            <w:pPr>
              <w:widowControl/>
              <w:adjustRightInd w:val="0"/>
              <w:snapToGrid w:val="0"/>
              <w:jc w:val="center"/>
              <w:rPr>
                <w:color w:val="auto"/>
                <w:sz w:val="21"/>
                <w:szCs w:val="21"/>
                <w:lang w:val="en-US" w:eastAsia="zh-CN"/>
              </w:rPr>
            </w:pPr>
            <w:r>
              <w:rPr>
                <w:color w:val="auto"/>
                <w:sz w:val="21"/>
                <w:szCs w:val="21"/>
              </w:rPr>
              <w:t>0.0086</w:t>
            </w:r>
          </w:p>
        </w:tc>
      </w:tr>
      <w:tr w14:paraId="54F75D1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20062B7A">
            <w:pPr>
              <w:widowControl/>
              <w:adjustRightInd w:val="0"/>
              <w:snapToGrid w:val="0"/>
              <w:jc w:val="center"/>
              <w:rPr>
                <w:color w:val="auto"/>
                <w:sz w:val="21"/>
                <w:szCs w:val="21"/>
                <w:lang w:val="en-US" w:eastAsia="zh-CN"/>
              </w:rPr>
            </w:pPr>
            <w:r>
              <w:rPr>
                <w:color w:val="auto"/>
                <w:sz w:val="21"/>
                <w:szCs w:val="21"/>
              </w:rPr>
              <w:t>3000.0</w:t>
            </w:r>
          </w:p>
        </w:tc>
        <w:tc>
          <w:tcPr>
            <w:tcW w:w="2761" w:type="dxa"/>
            <w:shd w:val="clear" w:color="auto" w:fill="auto"/>
            <w:vAlign w:val="center"/>
          </w:tcPr>
          <w:p w14:paraId="39806E26">
            <w:pPr>
              <w:widowControl/>
              <w:adjustRightInd w:val="0"/>
              <w:snapToGrid w:val="0"/>
              <w:jc w:val="center"/>
              <w:rPr>
                <w:color w:val="auto"/>
                <w:sz w:val="21"/>
                <w:szCs w:val="21"/>
                <w:lang w:val="en-US" w:eastAsia="zh-CN"/>
              </w:rPr>
            </w:pPr>
            <w:r>
              <w:rPr>
                <w:color w:val="auto"/>
                <w:sz w:val="21"/>
                <w:szCs w:val="21"/>
              </w:rPr>
              <w:t>0.0568</w:t>
            </w:r>
          </w:p>
        </w:tc>
        <w:tc>
          <w:tcPr>
            <w:tcW w:w="2764" w:type="dxa"/>
            <w:shd w:val="clear" w:color="auto" w:fill="auto"/>
            <w:vAlign w:val="center"/>
          </w:tcPr>
          <w:p w14:paraId="125D4247">
            <w:pPr>
              <w:widowControl/>
              <w:adjustRightInd w:val="0"/>
              <w:snapToGrid w:val="0"/>
              <w:jc w:val="center"/>
              <w:rPr>
                <w:color w:val="auto"/>
                <w:sz w:val="21"/>
                <w:szCs w:val="21"/>
                <w:lang w:val="en-US" w:eastAsia="zh-CN"/>
              </w:rPr>
            </w:pPr>
            <w:r>
              <w:rPr>
                <w:color w:val="auto"/>
                <w:sz w:val="21"/>
                <w:szCs w:val="21"/>
              </w:rPr>
              <w:t>0.0063</w:t>
            </w:r>
          </w:p>
        </w:tc>
      </w:tr>
      <w:tr w14:paraId="5AE1FB97">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42517B69">
            <w:pPr>
              <w:widowControl/>
              <w:adjustRightInd w:val="0"/>
              <w:snapToGrid w:val="0"/>
              <w:jc w:val="center"/>
              <w:rPr>
                <w:color w:val="auto"/>
                <w:sz w:val="21"/>
                <w:szCs w:val="21"/>
                <w:lang w:val="en-US" w:eastAsia="zh-CN"/>
              </w:rPr>
            </w:pPr>
            <w:r>
              <w:rPr>
                <w:color w:val="auto"/>
                <w:sz w:val="21"/>
                <w:szCs w:val="21"/>
              </w:rPr>
              <w:t>4000.0</w:t>
            </w:r>
          </w:p>
        </w:tc>
        <w:tc>
          <w:tcPr>
            <w:tcW w:w="2761" w:type="dxa"/>
            <w:shd w:val="clear" w:color="auto" w:fill="auto"/>
            <w:vAlign w:val="center"/>
          </w:tcPr>
          <w:p w14:paraId="3975DB0D">
            <w:pPr>
              <w:widowControl/>
              <w:adjustRightInd w:val="0"/>
              <w:snapToGrid w:val="0"/>
              <w:jc w:val="center"/>
              <w:rPr>
                <w:color w:val="auto"/>
                <w:sz w:val="21"/>
                <w:szCs w:val="21"/>
                <w:lang w:val="en-US" w:eastAsia="zh-CN"/>
              </w:rPr>
            </w:pPr>
            <w:r>
              <w:rPr>
                <w:color w:val="auto"/>
                <w:sz w:val="21"/>
                <w:szCs w:val="21"/>
              </w:rPr>
              <w:t>0.0453</w:t>
            </w:r>
          </w:p>
        </w:tc>
        <w:tc>
          <w:tcPr>
            <w:tcW w:w="2764" w:type="dxa"/>
            <w:shd w:val="clear" w:color="auto" w:fill="auto"/>
            <w:vAlign w:val="center"/>
          </w:tcPr>
          <w:p w14:paraId="77B68B7D">
            <w:pPr>
              <w:widowControl/>
              <w:adjustRightInd w:val="0"/>
              <w:snapToGrid w:val="0"/>
              <w:jc w:val="center"/>
              <w:rPr>
                <w:color w:val="auto"/>
                <w:sz w:val="21"/>
                <w:szCs w:val="21"/>
                <w:lang w:val="en-US" w:eastAsia="zh-CN"/>
              </w:rPr>
            </w:pPr>
            <w:r>
              <w:rPr>
                <w:color w:val="auto"/>
                <w:sz w:val="21"/>
                <w:szCs w:val="21"/>
              </w:rPr>
              <w:t>0.0050</w:t>
            </w:r>
          </w:p>
        </w:tc>
      </w:tr>
      <w:tr w14:paraId="79D1CF34">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shd w:val="clear" w:color="auto" w:fill="auto"/>
            <w:vAlign w:val="center"/>
          </w:tcPr>
          <w:p w14:paraId="5C9414CC">
            <w:pPr>
              <w:widowControl/>
              <w:adjustRightInd w:val="0"/>
              <w:snapToGrid w:val="0"/>
              <w:jc w:val="center"/>
              <w:rPr>
                <w:color w:val="auto"/>
                <w:sz w:val="21"/>
                <w:szCs w:val="21"/>
                <w:lang w:val="en-US" w:eastAsia="zh-CN"/>
              </w:rPr>
            </w:pPr>
            <w:r>
              <w:rPr>
                <w:color w:val="auto"/>
                <w:sz w:val="21"/>
                <w:szCs w:val="21"/>
              </w:rPr>
              <w:t>5000.0</w:t>
            </w:r>
          </w:p>
        </w:tc>
        <w:tc>
          <w:tcPr>
            <w:tcW w:w="2761" w:type="dxa"/>
            <w:shd w:val="clear" w:color="auto" w:fill="auto"/>
            <w:vAlign w:val="center"/>
          </w:tcPr>
          <w:p w14:paraId="0774672B">
            <w:pPr>
              <w:widowControl/>
              <w:adjustRightInd w:val="0"/>
              <w:snapToGrid w:val="0"/>
              <w:jc w:val="center"/>
              <w:rPr>
                <w:color w:val="auto"/>
                <w:sz w:val="21"/>
                <w:szCs w:val="21"/>
                <w:lang w:val="en-US" w:eastAsia="zh-CN"/>
              </w:rPr>
            </w:pPr>
            <w:r>
              <w:rPr>
                <w:color w:val="auto"/>
                <w:sz w:val="21"/>
                <w:szCs w:val="21"/>
              </w:rPr>
              <w:t>0.0378</w:t>
            </w:r>
          </w:p>
        </w:tc>
        <w:tc>
          <w:tcPr>
            <w:tcW w:w="2764" w:type="dxa"/>
            <w:shd w:val="clear" w:color="auto" w:fill="auto"/>
            <w:vAlign w:val="center"/>
          </w:tcPr>
          <w:p w14:paraId="1E0148DE">
            <w:pPr>
              <w:widowControl/>
              <w:adjustRightInd w:val="0"/>
              <w:snapToGrid w:val="0"/>
              <w:jc w:val="center"/>
              <w:rPr>
                <w:color w:val="auto"/>
                <w:sz w:val="21"/>
                <w:szCs w:val="21"/>
                <w:lang w:val="en-US" w:eastAsia="zh-CN"/>
              </w:rPr>
            </w:pPr>
            <w:r>
              <w:rPr>
                <w:color w:val="auto"/>
                <w:sz w:val="21"/>
                <w:szCs w:val="21"/>
              </w:rPr>
              <w:t>0.0042</w:t>
            </w:r>
          </w:p>
        </w:tc>
      </w:tr>
      <w:tr w14:paraId="019868FF">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Align w:val="center"/>
          </w:tcPr>
          <w:p w14:paraId="3AB1230A">
            <w:pPr>
              <w:widowControl/>
              <w:adjustRightInd w:val="0"/>
              <w:snapToGrid w:val="0"/>
              <w:jc w:val="center"/>
              <w:rPr>
                <w:color w:val="auto"/>
                <w:sz w:val="21"/>
                <w:szCs w:val="21"/>
              </w:rPr>
            </w:pPr>
            <w:r>
              <w:rPr>
                <w:color w:val="auto"/>
                <w:sz w:val="21"/>
                <w:szCs w:val="21"/>
              </w:rPr>
              <w:t>下风向最大浓度</w:t>
            </w:r>
          </w:p>
        </w:tc>
        <w:tc>
          <w:tcPr>
            <w:tcW w:w="2761" w:type="dxa"/>
            <w:vAlign w:val="center"/>
          </w:tcPr>
          <w:p w14:paraId="4034AFE4">
            <w:pPr>
              <w:widowControl/>
              <w:adjustRightInd w:val="0"/>
              <w:snapToGrid w:val="0"/>
              <w:jc w:val="center"/>
              <w:rPr>
                <w:color w:val="auto"/>
                <w:sz w:val="21"/>
                <w:szCs w:val="21"/>
              </w:rPr>
            </w:pPr>
            <w:r>
              <w:rPr>
                <w:color w:val="auto"/>
                <w:sz w:val="21"/>
                <w:szCs w:val="21"/>
              </w:rPr>
              <w:t>1.1361</w:t>
            </w:r>
          </w:p>
        </w:tc>
        <w:tc>
          <w:tcPr>
            <w:tcW w:w="2764" w:type="dxa"/>
            <w:vAlign w:val="center"/>
          </w:tcPr>
          <w:p w14:paraId="333F6C06">
            <w:pPr>
              <w:widowControl/>
              <w:adjustRightInd w:val="0"/>
              <w:snapToGrid w:val="0"/>
              <w:jc w:val="center"/>
              <w:rPr>
                <w:color w:val="auto"/>
                <w:sz w:val="21"/>
                <w:szCs w:val="21"/>
              </w:rPr>
            </w:pPr>
            <w:r>
              <w:rPr>
                <w:color w:val="auto"/>
                <w:sz w:val="21"/>
                <w:szCs w:val="21"/>
              </w:rPr>
              <w:t>0.1262</w:t>
            </w:r>
          </w:p>
        </w:tc>
      </w:tr>
      <w:tr w14:paraId="0930D3F6">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Align w:val="center"/>
          </w:tcPr>
          <w:p w14:paraId="748016A2">
            <w:pPr>
              <w:widowControl/>
              <w:adjustRightInd w:val="0"/>
              <w:snapToGrid w:val="0"/>
              <w:jc w:val="center"/>
              <w:rPr>
                <w:color w:val="auto"/>
                <w:sz w:val="21"/>
                <w:szCs w:val="21"/>
              </w:rPr>
            </w:pPr>
            <w:r>
              <w:rPr>
                <w:color w:val="auto"/>
                <w:sz w:val="21"/>
                <w:szCs w:val="21"/>
              </w:rPr>
              <w:t>下风向最大浓度出现距离</w:t>
            </w:r>
          </w:p>
        </w:tc>
        <w:tc>
          <w:tcPr>
            <w:tcW w:w="2761" w:type="dxa"/>
            <w:vAlign w:val="center"/>
          </w:tcPr>
          <w:p w14:paraId="0D46A00F">
            <w:pPr>
              <w:widowControl/>
              <w:adjustRightInd w:val="0"/>
              <w:snapToGrid w:val="0"/>
              <w:jc w:val="center"/>
              <w:rPr>
                <w:color w:val="auto"/>
                <w:sz w:val="21"/>
                <w:szCs w:val="21"/>
              </w:rPr>
            </w:pPr>
            <w:r>
              <w:rPr>
                <w:color w:val="auto"/>
                <w:sz w:val="21"/>
                <w:szCs w:val="21"/>
              </w:rPr>
              <w:t>13.0</w:t>
            </w:r>
          </w:p>
        </w:tc>
        <w:tc>
          <w:tcPr>
            <w:tcW w:w="2764" w:type="dxa"/>
            <w:vAlign w:val="center"/>
          </w:tcPr>
          <w:p w14:paraId="786A1FA9">
            <w:pPr>
              <w:widowControl/>
              <w:adjustRightInd w:val="0"/>
              <w:snapToGrid w:val="0"/>
              <w:jc w:val="center"/>
              <w:rPr>
                <w:color w:val="auto"/>
                <w:sz w:val="21"/>
                <w:szCs w:val="21"/>
              </w:rPr>
            </w:pPr>
            <w:r>
              <w:rPr>
                <w:color w:val="auto"/>
                <w:sz w:val="21"/>
                <w:szCs w:val="21"/>
              </w:rPr>
              <w:t>13.0</w:t>
            </w:r>
          </w:p>
        </w:tc>
      </w:tr>
      <w:tr w14:paraId="69B4444E">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1" w:type="pct"/>
            <w:vAlign w:val="center"/>
          </w:tcPr>
          <w:p w14:paraId="12EEC283">
            <w:pPr>
              <w:widowControl/>
              <w:adjustRightInd w:val="0"/>
              <w:snapToGrid w:val="0"/>
              <w:jc w:val="center"/>
              <w:rPr>
                <w:color w:val="auto"/>
                <w:sz w:val="21"/>
                <w:szCs w:val="21"/>
              </w:rPr>
            </w:pPr>
            <w:r>
              <w:rPr>
                <w:color w:val="auto"/>
                <w:sz w:val="21"/>
                <w:szCs w:val="21"/>
              </w:rPr>
              <w:t>D10%最远距离</w:t>
            </w:r>
          </w:p>
        </w:tc>
        <w:tc>
          <w:tcPr>
            <w:tcW w:w="1618" w:type="pct"/>
            <w:vAlign w:val="center"/>
          </w:tcPr>
          <w:p w14:paraId="61B67837">
            <w:pPr>
              <w:widowControl/>
              <w:adjustRightInd w:val="0"/>
              <w:snapToGrid w:val="0"/>
              <w:jc w:val="center"/>
              <w:rPr>
                <w:color w:val="auto"/>
                <w:sz w:val="21"/>
                <w:szCs w:val="21"/>
              </w:rPr>
            </w:pPr>
            <w:r>
              <w:rPr>
                <w:color w:val="auto"/>
                <w:sz w:val="21"/>
                <w:szCs w:val="21"/>
              </w:rPr>
              <w:t>/</w:t>
            </w:r>
          </w:p>
        </w:tc>
        <w:tc>
          <w:tcPr>
            <w:tcW w:w="1620" w:type="pct"/>
            <w:vAlign w:val="center"/>
          </w:tcPr>
          <w:p w14:paraId="723A0325">
            <w:pPr>
              <w:widowControl/>
              <w:adjustRightInd w:val="0"/>
              <w:snapToGrid w:val="0"/>
              <w:jc w:val="center"/>
              <w:rPr>
                <w:color w:val="auto"/>
                <w:sz w:val="21"/>
                <w:szCs w:val="21"/>
              </w:rPr>
            </w:pPr>
            <w:r>
              <w:rPr>
                <w:color w:val="auto"/>
                <w:sz w:val="21"/>
                <w:szCs w:val="21"/>
              </w:rPr>
              <w:t>/</w:t>
            </w:r>
          </w:p>
        </w:tc>
      </w:tr>
    </w:tbl>
    <w:p w14:paraId="492F0FA6">
      <w:pPr>
        <w:spacing w:line="460" w:lineRule="exact"/>
        <w:jc w:val="center"/>
        <w:rPr>
          <w:color w:val="auto"/>
          <w:sz w:val="24"/>
          <w:szCs w:val="24"/>
        </w:rPr>
      </w:pPr>
      <w:r>
        <w:rPr>
          <w:rFonts w:hint="eastAsia"/>
          <w:b/>
          <w:color w:val="auto"/>
          <w:sz w:val="24"/>
          <w:szCs w:val="24"/>
        </w:rPr>
        <w:t>表4-</w:t>
      </w:r>
      <w:r>
        <w:rPr>
          <w:rFonts w:hint="eastAsia"/>
          <w:b/>
          <w:color w:val="auto"/>
          <w:sz w:val="24"/>
          <w:szCs w:val="24"/>
          <w:lang w:val="en-US" w:eastAsia="zh-CN"/>
        </w:rPr>
        <w:t xml:space="preserve">12 </w:t>
      </w:r>
      <w:r>
        <w:rPr>
          <w:b/>
          <w:color w:val="auto"/>
          <w:sz w:val="24"/>
          <w:szCs w:val="24"/>
        </w:rPr>
        <w:t xml:space="preserve"> Pmax和D10%预测和计算结果一览表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28"/>
        <w:gridCol w:w="1144"/>
        <w:gridCol w:w="1184"/>
        <w:gridCol w:w="1909"/>
        <w:gridCol w:w="1459"/>
        <w:gridCol w:w="1489"/>
      </w:tblGrid>
      <w:tr w14:paraId="3C0BD2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bottom w:val="single" w:color="auto" w:sz="12" w:space="0"/>
            </w:tcBorders>
            <w:vAlign w:val="center"/>
          </w:tcPr>
          <w:p w14:paraId="7B9327FA">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污染源名称</w:t>
            </w:r>
          </w:p>
        </w:tc>
        <w:tc>
          <w:tcPr>
            <w:tcW w:w="1173" w:type="dxa"/>
            <w:tcBorders>
              <w:bottom w:val="single" w:color="auto" w:sz="12" w:space="0"/>
            </w:tcBorders>
            <w:vAlign w:val="center"/>
          </w:tcPr>
          <w:p w14:paraId="0D1867A5">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评价因子</w:t>
            </w:r>
          </w:p>
        </w:tc>
        <w:tc>
          <w:tcPr>
            <w:tcW w:w="1214" w:type="dxa"/>
            <w:tcBorders>
              <w:bottom w:val="single" w:color="auto" w:sz="12" w:space="0"/>
            </w:tcBorders>
            <w:vAlign w:val="center"/>
          </w:tcPr>
          <w:p w14:paraId="4F9D2D0E">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评价标准(μg/m³)</w:t>
            </w:r>
          </w:p>
        </w:tc>
        <w:tc>
          <w:tcPr>
            <w:tcW w:w="1957" w:type="dxa"/>
            <w:tcBorders>
              <w:bottom w:val="single" w:color="auto" w:sz="12" w:space="0"/>
            </w:tcBorders>
            <w:vAlign w:val="center"/>
          </w:tcPr>
          <w:p w14:paraId="46C16C1D">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Cmax(μg/m³)</w:t>
            </w:r>
          </w:p>
        </w:tc>
        <w:tc>
          <w:tcPr>
            <w:tcW w:w="1496" w:type="dxa"/>
            <w:tcBorders>
              <w:bottom w:val="single" w:color="auto" w:sz="12" w:space="0"/>
            </w:tcBorders>
            <w:vAlign w:val="center"/>
          </w:tcPr>
          <w:p w14:paraId="6297192D">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Pmax(%)</w:t>
            </w:r>
          </w:p>
        </w:tc>
        <w:tc>
          <w:tcPr>
            <w:tcW w:w="1527" w:type="dxa"/>
            <w:tcBorders>
              <w:bottom w:val="single" w:color="auto" w:sz="12" w:space="0"/>
            </w:tcBorders>
            <w:vAlign w:val="center"/>
          </w:tcPr>
          <w:p w14:paraId="0135D632">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D10%(m)</w:t>
            </w:r>
          </w:p>
        </w:tc>
      </w:tr>
      <w:tr w14:paraId="59E877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op w:val="single" w:color="auto" w:sz="12" w:space="0"/>
              <w:tl2br w:val="nil"/>
              <w:tr2bl w:val="nil"/>
            </w:tcBorders>
            <w:vAlign w:val="center"/>
          </w:tcPr>
          <w:p w14:paraId="3A11EE75">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DA001</w:t>
            </w:r>
          </w:p>
        </w:tc>
        <w:tc>
          <w:tcPr>
            <w:tcW w:w="1173" w:type="dxa"/>
            <w:tcBorders>
              <w:top w:val="single" w:color="auto" w:sz="12" w:space="0"/>
              <w:tl2br w:val="nil"/>
              <w:tr2bl w:val="nil"/>
            </w:tcBorders>
            <w:vAlign w:val="center"/>
          </w:tcPr>
          <w:p w14:paraId="0E86EA6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op w:val="single" w:color="auto" w:sz="12" w:space="0"/>
              <w:tl2br w:val="nil"/>
              <w:tr2bl w:val="nil"/>
            </w:tcBorders>
            <w:vAlign w:val="center"/>
          </w:tcPr>
          <w:p w14:paraId="0268F82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sz w:val="21"/>
                <w:szCs w:val="21"/>
              </w:rPr>
              <w:t>900.0</w:t>
            </w:r>
          </w:p>
        </w:tc>
        <w:tc>
          <w:tcPr>
            <w:tcW w:w="1957" w:type="dxa"/>
            <w:tcBorders>
              <w:top w:val="single" w:color="auto" w:sz="12" w:space="0"/>
              <w:tl2br w:val="nil"/>
              <w:tr2bl w:val="nil"/>
            </w:tcBorders>
            <w:vAlign w:val="center"/>
          </w:tcPr>
          <w:p w14:paraId="5E3E1AB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0.1676</w:t>
            </w:r>
          </w:p>
        </w:tc>
        <w:tc>
          <w:tcPr>
            <w:tcW w:w="1496" w:type="dxa"/>
            <w:tcBorders>
              <w:top w:val="single" w:color="auto" w:sz="12" w:space="0"/>
              <w:tl2br w:val="nil"/>
              <w:tr2bl w:val="nil"/>
            </w:tcBorders>
            <w:vAlign w:val="center"/>
          </w:tcPr>
          <w:p w14:paraId="3FD7B3E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0.0186</w:t>
            </w:r>
          </w:p>
        </w:tc>
        <w:tc>
          <w:tcPr>
            <w:tcW w:w="1527" w:type="dxa"/>
            <w:tcBorders>
              <w:top w:val="single" w:color="auto" w:sz="12" w:space="0"/>
              <w:tl2br w:val="nil"/>
              <w:tr2bl w:val="nil"/>
            </w:tcBorders>
            <w:vAlign w:val="center"/>
          </w:tcPr>
          <w:p w14:paraId="7BBBAA7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5D6111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0294BB35">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DA001</w:t>
            </w:r>
          </w:p>
        </w:tc>
        <w:tc>
          <w:tcPr>
            <w:tcW w:w="1173" w:type="dxa"/>
            <w:tcBorders>
              <w:tl2br w:val="nil"/>
              <w:tr2bl w:val="nil"/>
            </w:tcBorders>
            <w:vAlign w:val="center"/>
          </w:tcPr>
          <w:p w14:paraId="69EE76C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NMHC</w:t>
            </w:r>
          </w:p>
        </w:tc>
        <w:tc>
          <w:tcPr>
            <w:tcW w:w="1214" w:type="dxa"/>
            <w:tcBorders>
              <w:tl2br w:val="nil"/>
              <w:tr2bl w:val="nil"/>
            </w:tcBorders>
            <w:vAlign w:val="center"/>
          </w:tcPr>
          <w:p w14:paraId="284DB4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2000.0</w:t>
            </w:r>
          </w:p>
        </w:tc>
        <w:tc>
          <w:tcPr>
            <w:tcW w:w="1957" w:type="dxa"/>
            <w:tcBorders>
              <w:tl2br w:val="nil"/>
              <w:tr2bl w:val="nil"/>
            </w:tcBorders>
            <w:vAlign w:val="center"/>
          </w:tcPr>
          <w:p w14:paraId="1A47CBE2">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0.4366</w:t>
            </w:r>
          </w:p>
        </w:tc>
        <w:tc>
          <w:tcPr>
            <w:tcW w:w="1496" w:type="dxa"/>
            <w:tcBorders>
              <w:tl2br w:val="nil"/>
              <w:tr2bl w:val="nil"/>
            </w:tcBorders>
            <w:vAlign w:val="center"/>
          </w:tcPr>
          <w:p w14:paraId="450BA33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0.0218</w:t>
            </w:r>
          </w:p>
        </w:tc>
        <w:tc>
          <w:tcPr>
            <w:tcW w:w="1527" w:type="dxa"/>
            <w:tcBorders>
              <w:tl2br w:val="nil"/>
              <w:tr2bl w:val="nil"/>
            </w:tcBorders>
            <w:vAlign w:val="center"/>
          </w:tcPr>
          <w:p w14:paraId="7ECEAD2E">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0F15BB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4290D75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lang w:val="en-US" w:eastAsia="zh-CN"/>
              </w:rPr>
              <w:t>生产车间（拉毛区域）</w:t>
            </w:r>
          </w:p>
        </w:tc>
        <w:tc>
          <w:tcPr>
            <w:tcW w:w="1173" w:type="dxa"/>
            <w:tcBorders>
              <w:tl2br w:val="nil"/>
              <w:tr2bl w:val="nil"/>
            </w:tcBorders>
            <w:vAlign w:val="center"/>
          </w:tcPr>
          <w:p w14:paraId="47B6056A">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l2br w:val="nil"/>
              <w:tr2bl w:val="nil"/>
            </w:tcBorders>
            <w:vAlign w:val="center"/>
          </w:tcPr>
          <w:p w14:paraId="39D41B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2336EF28">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1.1361</w:t>
            </w:r>
          </w:p>
        </w:tc>
        <w:tc>
          <w:tcPr>
            <w:tcW w:w="1496" w:type="dxa"/>
            <w:tcBorders>
              <w:tl2br w:val="nil"/>
              <w:tr2bl w:val="nil"/>
            </w:tcBorders>
            <w:vAlign w:val="center"/>
          </w:tcPr>
          <w:p w14:paraId="6743F33E">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0.1262</w:t>
            </w:r>
          </w:p>
        </w:tc>
        <w:tc>
          <w:tcPr>
            <w:tcW w:w="1527" w:type="dxa"/>
            <w:tcBorders>
              <w:tl2br w:val="nil"/>
              <w:tr2bl w:val="nil"/>
            </w:tcBorders>
            <w:vAlign w:val="center"/>
          </w:tcPr>
          <w:p w14:paraId="5E1247B3">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1C2F30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14E7096E">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DA002</w:t>
            </w:r>
          </w:p>
        </w:tc>
        <w:tc>
          <w:tcPr>
            <w:tcW w:w="1173" w:type="dxa"/>
            <w:tcBorders>
              <w:tl2br w:val="nil"/>
              <w:tr2bl w:val="nil"/>
            </w:tcBorders>
            <w:vAlign w:val="center"/>
          </w:tcPr>
          <w:p w14:paraId="11E0C23A">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SO2</w:t>
            </w:r>
          </w:p>
        </w:tc>
        <w:tc>
          <w:tcPr>
            <w:tcW w:w="1214" w:type="dxa"/>
            <w:tcBorders>
              <w:tl2br w:val="nil"/>
              <w:tr2bl w:val="nil"/>
            </w:tcBorders>
            <w:vAlign w:val="center"/>
          </w:tcPr>
          <w:p w14:paraId="11438F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500.0</w:t>
            </w:r>
          </w:p>
        </w:tc>
        <w:tc>
          <w:tcPr>
            <w:tcW w:w="1957" w:type="dxa"/>
            <w:tcBorders>
              <w:tl2br w:val="nil"/>
              <w:tr2bl w:val="nil"/>
            </w:tcBorders>
            <w:vAlign w:val="center"/>
          </w:tcPr>
          <w:p w14:paraId="1CE0DB7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1.0200</w:t>
            </w:r>
          </w:p>
        </w:tc>
        <w:tc>
          <w:tcPr>
            <w:tcW w:w="1496" w:type="dxa"/>
            <w:tcBorders>
              <w:tl2br w:val="nil"/>
              <w:tr2bl w:val="nil"/>
            </w:tcBorders>
            <w:vAlign w:val="center"/>
          </w:tcPr>
          <w:p w14:paraId="007CF5A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0.2040</w:t>
            </w:r>
          </w:p>
        </w:tc>
        <w:tc>
          <w:tcPr>
            <w:tcW w:w="1527" w:type="dxa"/>
            <w:tcBorders>
              <w:tl2br w:val="nil"/>
              <w:tr2bl w:val="nil"/>
            </w:tcBorders>
            <w:vAlign w:val="center"/>
          </w:tcPr>
          <w:p w14:paraId="6CD4AECC">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63D865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43A8F325">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DA002</w:t>
            </w:r>
          </w:p>
        </w:tc>
        <w:tc>
          <w:tcPr>
            <w:tcW w:w="1173" w:type="dxa"/>
            <w:tcBorders>
              <w:tl2br w:val="nil"/>
              <w:tr2bl w:val="nil"/>
            </w:tcBorders>
            <w:vAlign w:val="center"/>
          </w:tcPr>
          <w:p w14:paraId="3EC1E57A">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NOx</w:t>
            </w:r>
          </w:p>
        </w:tc>
        <w:tc>
          <w:tcPr>
            <w:tcW w:w="1214" w:type="dxa"/>
            <w:tcBorders>
              <w:tl2br w:val="nil"/>
              <w:tr2bl w:val="nil"/>
            </w:tcBorders>
            <w:vAlign w:val="center"/>
          </w:tcPr>
          <w:p w14:paraId="0FD252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250.0</w:t>
            </w:r>
          </w:p>
        </w:tc>
        <w:tc>
          <w:tcPr>
            <w:tcW w:w="1957" w:type="dxa"/>
            <w:tcBorders>
              <w:tl2br w:val="nil"/>
              <w:tr2bl w:val="nil"/>
            </w:tcBorders>
            <w:vAlign w:val="center"/>
          </w:tcPr>
          <w:p w14:paraId="01762D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1.4218</w:t>
            </w:r>
          </w:p>
        </w:tc>
        <w:tc>
          <w:tcPr>
            <w:tcW w:w="1496" w:type="dxa"/>
            <w:tcBorders>
              <w:tl2br w:val="nil"/>
              <w:tr2bl w:val="nil"/>
            </w:tcBorders>
            <w:vAlign w:val="center"/>
          </w:tcPr>
          <w:p w14:paraId="32F6C8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0.5687</w:t>
            </w:r>
          </w:p>
        </w:tc>
        <w:tc>
          <w:tcPr>
            <w:tcW w:w="1527" w:type="dxa"/>
            <w:tcBorders>
              <w:tl2br w:val="nil"/>
              <w:tr2bl w:val="nil"/>
            </w:tcBorders>
            <w:vAlign w:val="center"/>
          </w:tcPr>
          <w:p w14:paraId="3BD1E331">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3E41D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246A834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DA002</w:t>
            </w:r>
          </w:p>
        </w:tc>
        <w:tc>
          <w:tcPr>
            <w:tcW w:w="1173" w:type="dxa"/>
            <w:tcBorders>
              <w:tl2br w:val="nil"/>
              <w:tr2bl w:val="nil"/>
            </w:tcBorders>
            <w:vAlign w:val="center"/>
          </w:tcPr>
          <w:p w14:paraId="2712C4A7">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l2br w:val="nil"/>
              <w:tr2bl w:val="nil"/>
            </w:tcBorders>
            <w:vAlign w:val="center"/>
          </w:tcPr>
          <w:p w14:paraId="19E710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1F4574F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0.0103</w:t>
            </w:r>
          </w:p>
        </w:tc>
        <w:tc>
          <w:tcPr>
            <w:tcW w:w="1496" w:type="dxa"/>
            <w:tcBorders>
              <w:tl2br w:val="nil"/>
              <w:tr2bl w:val="nil"/>
            </w:tcBorders>
            <w:vAlign w:val="center"/>
          </w:tcPr>
          <w:p w14:paraId="324520B4">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0.0011</w:t>
            </w:r>
          </w:p>
        </w:tc>
        <w:tc>
          <w:tcPr>
            <w:tcW w:w="1527" w:type="dxa"/>
            <w:tcBorders>
              <w:tl2br w:val="nil"/>
              <w:tr2bl w:val="nil"/>
            </w:tcBorders>
            <w:vAlign w:val="center"/>
          </w:tcPr>
          <w:p w14:paraId="79E6E4D1">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106FBE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560599E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DA002</w:t>
            </w:r>
          </w:p>
        </w:tc>
        <w:tc>
          <w:tcPr>
            <w:tcW w:w="1173" w:type="dxa"/>
            <w:tcBorders>
              <w:tl2br w:val="nil"/>
              <w:tr2bl w:val="nil"/>
            </w:tcBorders>
            <w:shd w:val="clear" w:color="auto" w:fill="auto"/>
            <w:vAlign w:val="center"/>
          </w:tcPr>
          <w:p w14:paraId="7D3DA2B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Hg</w:t>
            </w:r>
          </w:p>
        </w:tc>
        <w:tc>
          <w:tcPr>
            <w:tcW w:w="1214" w:type="dxa"/>
            <w:tcBorders>
              <w:tl2br w:val="nil"/>
              <w:tr2bl w:val="nil"/>
            </w:tcBorders>
            <w:shd w:val="clear" w:color="auto" w:fill="auto"/>
            <w:vAlign w:val="center"/>
          </w:tcPr>
          <w:p w14:paraId="4E87B0F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0.3</w:t>
            </w:r>
          </w:p>
        </w:tc>
        <w:tc>
          <w:tcPr>
            <w:tcW w:w="1957" w:type="dxa"/>
            <w:tcBorders>
              <w:tl2br w:val="nil"/>
              <w:tr2bl w:val="nil"/>
            </w:tcBorders>
            <w:vAlign w:val="center"/>
          </w:tcPr>
          <w:p w14:paraId="31646DB6">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0.0021</w:t>
            </w:r>
          </w:p>
        </w:tc>
        <w:tc>
          <w:tcPr>
            <w:tcW w:w="1496" w:type="dxa"/>
            <w:tcBorders>
              <w:tl2br w:val="nil"/>
              <w:tr2bl w:val="nil"/>
            </w:tcBorders>
            <w:vAlign w:val="center"/>
          </w:tcPr>
          <w:p w14:paraId="397FAD11">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0.6869</w:t>
            </w:r>
          </w:p>
        </w:tc>
        <w:tc>
          <w:tcPr>
            <w:tcW w:w="1527" w:type="dxa"/>
            <w:tcBorders>
              <w:tl2br w:val="nil"/>
              <w:tr2bl w:val="nil"/>
            </w:tcBorders>
            <w:vAlign w:val="center"/>
          </w:tcPr>
          <w:p w14:paraId="07D16A9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AC7A0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16AAD53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DA003</w:t>
            </w:r>
          </w:p>
        </w:tc>
        <w:tc>
          <w:tcPr>
            <w:tcW w:w="1173" w:type="dxa"/>
            <w:tcBorders>
              <w:tl2br w:val="nil"/>
              <w:tr2bl w:val="nil"/>
            </w:tcBorders>
            <w:shd w:val="clear" w:color="auto" w:fill="auto"/>
            <w:vAlign w:val="center"/>
          </w:tcPr>
          <w:p w14:paraId="0F751BE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SO</w:t>
            </w:r>
            <w:r>
              <w:rPr>
                <w:rFonts w:hint="default" w:ascii="Times New Roman" w:hAnsi="Times New Roman" w:eastAsia="宋体" w:cs="Times New Roman"/>
                <w:b w:val="0"/>
                <w:sz w:val="21"/>
                <w:szCs w:val="21"/>
                <w:vertAlign w:val="subscript"/>
              </w:rPr>
              <w:t>2</w:t>
            </w:r>
          </w:p>
        </w:tc>
        <w:tc>
          <w:tcPr>
            <w:tcW w:w="1214" w:type="dxa"/>
            <w:tcBorders>
              <w:tl2br w:val="nil"/>
              <w:tr2bl w:val="nil"/>
            </w:tcBorders>
            <w:shd w:val="clear" w:color="auto" w:fill="auto"/>
            <w:vAlign w:val="center"/>
          </w:tcPr>
          <w:p w14:paraId="2A3ED4B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500.0</w:t>
            </w:r>
          </w:p>
        </w:tc>
        <w:tc>
          <w:tcPr>
            <w:tcW w:w="1957" w:type="dxa"/>
            <w:tcBorders>
              <w:tl2br w:val="nil"/>
              <w:tr2bl w:val="nil"/>
            </w:tcBorders>
            <w:vAlign w:val="center"/>
          </w:tcPr>
          <w:p w14:paraId="5136EB7A">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1.0200</w:t>
            </w:r>
          </w:p>
        </w:tc>
        <w:tc>
          <w:tcPr>
            <w:tcW w:w="1496" w:type="dxa"/>
            <w:tcBorders>
              <w:tl2br w:val="nil"/>
              <w:tr2bl w:val="nil"/>
            </w:tcBorders>
            <w:vAlign w:val="center"/>
          </w:tcPr>
          <w:p w14:paraId="3FB798E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0.2040</w:t>
            </w:r>
          </w:p>
        </w:tc>
        <w:tc>
          <w:tcPr>
            <w:tcW w:w="1527" w:type="dxa"/>
            <w:tcBorders>
              <w:tl2br w:val="nil"/>
              <w:tr2bl w:val="nil"/>
            </w:tcBorders>
            <w:vAlign w:val="center"/>
          </w:tcPr>
          <w:p w14:paraId="1DA637C9">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696158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4A1F41E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DA003</w:t>
            </w:r>
          </w:p>
        </w:tc>
        <w:tc>
          <w:tcPr>
            <w:tcW w:w="1173" w:type="dxa"/>
            <w:tcBorders>
              <w:tl2br w:val="nil"/>
              <w:tr2bl w:val="nil"/>
            </w:tcBorders>
            <w:shd w:val="clear" w:color="auto" w:fill="auto"/>
            <w:vAlign w:val="center"/>
          </w:tcPr>
          <w:p w14:paraId="33A5413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NO</w:t>
            </w:r>
            <w:r>
              <w:rPr>
                <w:rFonts w:hint="default" w:ascii="Times New Roman" w:hAnsi="Times New Roman" w:eastAsia="宋体" w:cs="Times New Roman"/>
                <w:b w:val="0"/>
                <w:sz w:val="21"/>
                <w:szCs w:val="21"/>
                <w:vertAlign w:val="subscript"/>
              </w:rPr>
              <w:t>x</w:t>
            </w:r>
          </w:p>
        </w:tc>
        <w:tc>
          <w:tcPr>
            <w:tcW w:w="1214" w:type="dxa"/>
            <w:tcBorders>
              <w:tl2br w:val="nil"/>
              <w:tr2bl w:val="nil"/>
            </w:tcBorders>
            <w:shd w:val="clear" w:color="auto" w:fill="auto"/>
            <w:vAlign w:val="center"/>
          </w:tcPr>
          <w:p w14:paraId="5CB7C30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250.0</w:t>
            </w:r>
          </w:p>
        </w:tc>
        <w:tc>
          <w:tcPr>
            <w:tcW w:w="1957" w:type="dxa"/>
            <w:tcBorders>
              <w:tl2br w:val="nil"/>
              <w:tr2bl w:val="nil"/>
            </w:tcBorders>
            <w:vAlign w:val="center"/>
          </w:tcPr>
          <w:p w14:paraId="64F80DE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1.4218</w:t>
            </w:r>
          </w:p>
        </w:tc>
        <w:tc>
          <w:tcPr>
            <w:tcW w:w="1496" w:type="dxa"/>
            <w:tcBorders>
              <w:tl2br w:val="nil"/>
              <w:tr2bl w:val="nil"/>
            </w:tcBorders>
            <w:vAlign w:val="center"/>
          </w:tcPr>
          <w:p w14:paraId="2343BDA7">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0.5687</w:t>
            </w:r>
          </w:p>
        </w:tc>
        <w:tc>
          <w:tcPr>
            <w:tcW w:w="1527" w:type="dxa"/>
            <w:tcBorders>
              <w:tl2br w:val="nil"/>
              <w:tr2bl w:val="nil"/>
            </w:tcBorders>
            <w:vAlign w:val="center"/>
          </w:tcPr>
          <w:p w14:paraId="6C27D063">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F0729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shd w:val="clear" w:color="auto" w:fill="auto"/>
            <w:vAlign w:val="center"/>
          </w:tcPr>
          <w:p w14:paraId="65FB4B1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DA003</w:t>
            </w:r>
          </w:p>
        </w:tc>
        <w:tc>
          <w:tcPr>
            <w:tcW w:w="1173" w:type="dxa"/>
            <w:tcBorders>
              <w:tl2br w:val="nil"/>
              <w:tr2bl w:val="nil"/>
            </w:tcBorders>
            <w:shd w:val="clear" w:color="auto" w:fill="auto"/>
            <w:vAlign w:val="center"/>
          </w:tcPr>
          <w:p w14:paraId="32511CA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TSP</w:t>
            </w:r>
          </w:p>
        </w:tc>
        <w:tc>
          <w:tcPr>
            <w:tcW w:w="1214" w:type="dxa"/>
            <w:tcBorders>
              <w:tl2br w:val="nil"/>
              <w:tr2bl w:val="nil"/>
            </w:tcBorders>
            <w:shd w:val="clear" w:color="auto" w:fill="auto"/>
            <w:vAlign w:val="center"/>
          </w:tcPr>
          <w:p w14:paraId="63EA0C5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13B5C631">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0.0010</w:t>
            </w:r>
          </w:p>
        </w:tc>
        <w:tc>
          <w:tcPr>
            <w:tcW w:w="1496" w:type="dxa"/>
            <w:tcBorders>
              <w:tl2br w:val="nil"/>
              <w:tr2bl w:val="nil"/>
            </w:tcBorders>
            <w:vAlign w:val="center"/>
          </w:tcPr>
          <w:p w14:paraId="04E05456">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0.0001</w:t>
            </w:r>
          </w:p>
        </w:tc>
        <w:tc>
          <w:tcPr>
            <w:tcW w:w="1527" w:type="dxa"/>
            <w:tcBorders>
              <w:tl2br w:val="nil"/>
              <w:tr2bl w:val="nil"/>
            </w:tcBorders>
            <w:vAlign w:val="center"/>
          </w:tcPr>
          <w:p w14:paraId="77516A4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3EE31D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761D2EBF">
            <w:pPr>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b w:val="0"/>
                <w:sz w:val="21"/>
                <w:szCs w:val="21"/>
              </w:rPr>
              <w:t>DA003</w:t>
            </w:r>
          </w:p>
        </w:tc>
        <w:tc>
          <w:tcPr>
            <w:tcW w:w="1173" w:type="dxa"/>
            <w:tcBorders>
              <w:tl2br w:val="nil"/>
              <w:tr2bl w:val="nil"/>
            </w:tcBorders>
            <w:vAlign w:val="center"/>
          </w:tcPr>
          <w:p w14:paraId="60F58EFA">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Hg</w:t>
            </w:r>
          </w:p>
        </w:tc>
        <w:tc>
          <w:tcPr>
            <w:tcW w:w="1214" w:type="dxa"/>
            <w:tcBorders>
              <w:tl2br w:val="nil"/>
              <w:tr2bl w:val="nil"/>
            </w:tcBorders>
            <w:vAlign w:val="center"/>
          </w:tcPr>
          <w:p w14:paraId="40FE4E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0.3</w:t>
            </w:r>
          </w:p>
        </w:tc>
        <w:tc>
          <w:tcPr>
            <w:tcW w:w="1957" w:type="dxa"/>
            <w:tcBorders>
              <w:tl2br w:val="nil"/>
              <w:tr2bl w:val="nil"/>
            </w:tcBorders>
            <w:vAlign w:val="center"/>
          </w:tcPr>
          <w:p w14:paraId="5150FF38">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0.0021</w:t>
            </w:r>
          </w:p>
        </w:tc>
        <w:tc>
          <w:tcPr>
            <w:tcW w:w="1496" w:type="dxa"/>
            <w:tcBorders>
              <w:tl2br w:val="nil"/>
              <w:tr2bl w:val="nil"/>
            </w:tcBorders>
            <w:vAlign w:val="center"/>
          </w:tcPr>
          <w:p w14:paraId="4A59758E">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0.6869</w:t>
            </w:r>
          </w:p>
        </w:tc>
        <w:tc>
          <w:tcPr>
            <w:tcW w:w="1527" w:type="dxa"/>
            <w:tcBorders>
              <w:tl2br w:val="nil"/>
              <w:tr2bl w:val="nil"/>
            </w:tcBorders>
            <w:vAlign w:val="center"/>
          </w:tcPr>
          <w:p w14:paraId="659A055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025D38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3CFE7F30">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sz w:val="21"/>
                <w:szCs w:val="21"/>
                <w:lang w:val="en-US" w:eastAsia="zh-CN"/>
              </w:rPr>
              <w:t>生产车间（定型区域）</w:t>
            </w:r>
          </w:p>
        </w:tc>
        <w:tc>
          <w:tcPr>
            <w:tcW w:w="1173" w:type="dxa"/>
            <w:tcBorders>
              <w:tl2br w:val="nil"/>
              <w:tr2bl w:val="nil"/>
            </w:tcBorders>
            <w:vAlign w:val="center"/>
          </w:tcPr>
          <w:p w14:paraId="195B689F">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TSP</w:t>
            </w:r>
          </w:p>
        </w:tc>
        <w:tc>
          <w:tcPr>
            <w:tcW w:w="1214" w:type="dxa"/>
            <w:tcBorders>
              <w:tl2br w:val="nil"/>
              <w:tr2bl w:val="nil"/>
            </w:tcBorders>
            <w:vAlign w:val="center"/>
          </w:tcPr>
          <w:p w14:paraId="46907C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900.0</w:t>
            </w:r>
          </w:p>
        </w:tc>
        <w:tc>
          <w:tcPr>
            <w:tcW w:w="1957" w:type="dxa"/>
            <w:tcBorders>
              <w:tl2br w:val="nil"/>
              <w:tr2bl w:val="nil"/>
            </w:tcBorders>
            <w:vAlign w:val="center"/>
          </w:tcPr>
          <w:p w14:paraId="58A311DD">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7.2220</w:t>
            </w:r>
          </w:p>
        </w:tc>
        <w:tc>
          <w:tcPr>
            <w:tcW w:w="1496" w:type="dxa"/>
            <w:tcBorders>
              <w:tl2br w:val="nil"/>
              <w:tr2bl w:val="nil"/>
            </w:tcBorders>
            <w:vAlign w:val="center"/>
          </w:tcPr>
          <w:p w14:paraId="543A2E55">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0.8024</w:t>
            </w:r>
          </w:p>
        </w:tc>
        <w:tc>
          <w:tcPr>
            <w:tcW w:w="1527" w:type="dxa"/>
            <w:tcBorders>
              <w:tl2br w:val="nil"/>
              <w:tr2bl w:val="nil"/>
            </w:tcBorders>
            <w:vAlign w:val="center"/>
          </w:tcPr>
          <w:p w14:paraId="252F0E3B">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r w14:paraId="68BE4E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56" w:type="dxa"/>
            <w:tcBorders>
              <w:tl2br w:val="nil"/>
              <w:tr2bl w:val="nil"/>
            </w:tcBorders>
            <w:vAlign w:val="center"/>
          </w:tcPr>
          <w:p w14:paraId="298DC79B">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sz w:val="21"/>
                <w:szCs w:val="21"/>
                <w:lang w:val="en-US" w:eastAsia="zh-CN"/>
              </w:rPr>
              <w:t>生产车间（定型区域）</w:t>
            </w:r>
          </w:p>
        </w:tc>
        <w:tc>
          <w:tcPr>
            <w:tcW w:w="1173" w:type="dxa"/>
            <w:tcBorders>
              <w:tl2br w:val="nil"/>
              <w:tr2bl w:val="nil"/>
            </w:tcBorders>
            <w:vAlign w:val="center"/>
          </w:tcPr>
          <w:p w14:paraId="66B6F732">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NMHC</w:t>
            </w:r>
          </w:p>
        </w:tc>
        <w:tc>
          <w:tcPr>
            <w:tcW w:w="1214" w:type="dxa"/>
            <w:tcBorders>
              <w:tl2br w:val="nil"/>
              <w:tr2bl w:val="nil"/>
            </w:tcBorders>
            <w:vAlign w:val="center"/>
          </w:tcPr>
          <w:p w14:paraId="1CE0A1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z w:val="21"/>
                <w:szCs w:val="21"/>
              </w:rPr>
              <w:t>2000.0</w:t>
            </w:r>
          </w:p>
        </w:tc>
        <w:tc>
          <w:tcPr>
            <w:tcW w:w="1957" w:type="dxa"/>
            <w:tcBorders>
              <w:tl2br w:val="nil"/>
              <w:tr2bl w:val="nil"/>
            </w:tcBorders>
            <w:vAlign w:val="center"/>
          </w:tcPr>
          <w:p w14:paraId="41968017">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7.2220</w:t>
            </w:r>
          </w:p>
        </w:tc>
        <w:tc>
          <w:tcPr>
            <w:tcW w:w="1496" w:type="dxa"/>
            <w:tcBorders>
              <w:tl2br w:val="nil"/>
              <w:tr2bl w:val="nil"/>
            </w:tcBorders>
            <w:vAlign w:val="center"/>
          </w:tcPr>
          <w:p w14:paraId="13FD428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0.3611</w:t>
            </w:r>
          </w:p>
        </w:tc>
        <w:tc>
          <w:tcPr>
            <w:tcW w:w="1527" w:type="dxa"/>
            <w:tcBorders>
              <w:tl2br w:val="nil"/>
              <w:tr2bl w:val="nil"/>
            </w:tcBorders>
            <w:vAlign w:val="center"/>
          </w:tcPr>
          <w:p w14:paraId="79B0E260">
            <w:pPr>
              <w:jc w:val="center"/>
              <w:rPr>
                <w:rFonts w:hint="default" w:ascii="Times New Roman" w:hAnsi="Times New Roman" w:cs="Times New Roman"/>
                <w:color w:val="auto"/>
                <w:sz w:val="21"/>
                <w:szCs w:val="21"/>
              </w:rPr>
            </w:pPr>
            <w:r>
              <w:rPr>
                <w:rFonts w:hint="default" w:ascii="Times New Roman" w:hAnsi="Times New Roman" w:eastAsia="宋体" w:cs="Times New Roman"/>
                <w:b w:val="0"/>
                <w:sz w:val="21"/>
                <w:szCs w:val="21"/>
              </w:rPr>
              <w:t>/</w:t>
            </w:r>
          </w:p>
        </w:tc>
      </w:tr>
    </w:tbl>
    <w:p w14:paraId="56F8FF75">
      <w:pPr>
        <w:spacing w:before="120" w:beforeLines="50" w:line="360" w:lineRule="auto"/>
        <w:ind w:firstLine="480" w:firstLineChars="200"/>
        <w:rPr>
          <w:color w:val="auto"/>
          <w:sz w:val="24"/>
          <w:szCs w:val="24"/>
        </w:rPr>
      </w:pPr>
      <w:r>
        <w:rPr>
          <w:color w:val="auto"/>
          <w:sz w:val="24"/>
          <w:szCs w:val="24"/>
        </w:rPr>
        <w:t>根据</w:t>
      </w:r>
      <w:r>
        <w:rPr>
          <w:rFonts w:hint="eastAsia"/>
          <w:color w:val="auto"/>
          <w:sz w:val="24"/>
          <w:szCs w:val="24"/>
        </w:rPr>
        <w:t>表4-</w:t>
      </w:r>
      <w:r>
        <w:rPr>
          <w:rFonts w:hint="eastAsia"/>
          <w:color w:val="auto"/>
          <w:sz w:val="24"/>
          <w:szCs w:val="24"/>
          <w:lang w:val="en-US" w:eastAsia="zh-CN"/>
        </w:rPr>
        <w:t>7</w:t>
      </w:r>
      <w:r>
        <w:rPr>
          <w:rFonts w:hint="eastAsia"/>
          <w:color w:val="auto"/>
          <w:sz w:val="24"/>
          <w:szCs w:val="24"/>
        </w:rPr>
        <w:t>~表4-</w:t>
      </w:r>
      <w:r>
        <w:rPr>
          <w:rFonts w:hint="eastAsia"/>
          <w:color w:val="auto"/>
          <w:sz w:val="24"/>
          <w:szCs w:val="24"/>
          <w:lang w:val="en-US" w:eastAsia="zh-CN"/>
        </w:rPr>
        <w:t>12</w:t>
      </w:r>
      <w:r>
        <w:rPr>
          <w:color w:val="auto"/>
          <w:sz w:val="24"/>
          <w:szCs w:val="24"/>
        </w:rPr>
        <w:t>的计算结果，对照表</w:t>
      </w:r>
      <w:r>
        <w:rPr>
          <w:rFonts w:hint="eastAsia"/>
          <w:color w:val="auto"/>
          <w:sz w:val="24"/>
          <w:szCs w:val="24"/>
        </w:rPr>
        <w:t>1-</w:t>
      </w:r>
      <w:r>
        <w:rPr>
          <w:rFonts w:hint="eastAsia"/>
          <w:color w:val="auto"/>
          <w:sz w:val="24"/>
          <w:szCs w:val="24"/>
          <w:lang w:val="en-US" w:eastAsia="zh-CN"/>
        </w:rPr>
        <w:t>8</w:t>
      </w:r>
      <w:r>
        <w:rPr>
          <w:color w:val="auto"/>
          <w:sz w:val="24"/>
          <w:szCs w:val="24"/>
        </w:rPr>
        <w:t>的分级判据的相关规定，本项目大气环境影响评价工作等级为</w:t>
      </w:r>
      <w:r>
        <w:rPr>
          <w:rFonts w:hint="eastAsia"/>
          <w:b/>
          <w:bCs/>
          <w:color w:val="auto"/>
          <w:sz w:val="24"/>
          <w:szCs w:val="24"/>
          <w:lang w:val="en-US" w:eastAsia="zh-CN"/>
        </w:rPr>
        <w:t>三</w:t>
      </w:r>
      <w:r>
        <w:rPr>
          <w:b/>
          <w:bCs/>
          <w:color w:val="auto"/>
          <w:sz w:val="24"/>
          <w:szCs w:val="24"/>
        </w:rPr>
        <w:t>级</w:t>
      </w:r>
      <w:r>
        <w:rPr>
          <w:color w:val="auto"/>
          <w:sz w:val="24"/>
          <w:szCs w:val="24"/>
        </w:rPr>
        <w:t>。</w:t>
      </w:r>
    </w:p>
    <w:p w14:paraId="28C760C6">
      <w:pPr>
        <w:spacing w:line="360" w:lineRule="auto"/>
        <w:ind w:firstLine="480"/>
        <w:rPr>
          <w:color w:val="auto"/>
          <w:sz w:val="24"/>
          <w:szCs w:val="24"/>
        </w:rPr>
      </w:pPr>
      <w:r>
        <w:rPr>
          <w:rFonts w:hint="eastAsia"/>
          <w:color w:val="auto"/>
          <w:sz w:val="24"/>
          <w:szCs w:val="24"/>
        </w:rPr>
        <w:t>根据《环境影响评价技术导则 大气环境》（</w:t>
      </w:r>
      <w:r>
        <w:rPr>
          <w:color w:val="auto"/>
          <w:sz w:val="24"/>
          <w:szCs w:val="24"/>
        </w:rPr>
        <w:t>HJ2.2-2018</w:t>
      </w:r>
      <w:r>
        <w:rPr>
          <w:rFonts w:hint="eastAsia"/>
          <w:color w:val="auto"/>
          <w:sz w:val="24"/>
          <w:szCs w:val="24"/>
        </w:rPr>
        <w:t>）</w:t>
      </w:r>
      <w:r>
        <w:rPr>
          <w:color w:val="auto"/>
          <w:sz w:val="24"/>
          <w:szCs w:val="24"/>
        </w:rPr>
        <w:t>“8.1.</w:t>
      </w:r>
      <w:r>
        <w:rPr>
          <w:rFonts w:hint="eastAsia"/>
          <w:color w:val="auto"/>
          <w:sz w:val="24"/>
          <w:szCs w:val="24"/>
        </w:rPr>
        <w:t>2</w:t>
      </w:r>
      <w:r>
        <w:rPr>
          <w:rFonts w:hint="eastAsia"/>
          <w:color w:val="auto"/>
          <w:sz w:val="24"/>
          <w:szCs w:val="24"/>
          <w:lang w:val="en-US" w:eastAsia="zh-CN"/>
        </w:rPr>
        <w:t>三</w:t>
      </w:r>
      <w:r>
        <w:rPr>
          <w:rFonts w:hint="eastAsia"/>
          <w:color w:val="auto"/>
          <w:sz w:val="24"/>
          <w:szCs w:val="24"/>
        </w:rPr>
        <w:t>级评价项目不进行进一步预测与评价。</w:t>
      </w:r>
      <w:r>
        <w:rPr>
          <w:color w:val="auto"/>
          <w:sz w:val="24"/>
          <w:szCs w:val="24"/>
        </w:rPr>
        <w:t>”</w:t>
      </w:r>
    </w:p>
    <w:p w14:paraId="628ECCF5">
      <w:pPr>
        <w:numPr>
          <w:ilvl w:val="0"/>
          <w:numId w:val="1"/>
        </w:numPr>
        <w:spacing w:line="360" w:lineRule="auto"/>
        <w:ind w:firstLine="480" w:firstLineChars="200"/>
        <w:rPr>
          <w:rFonts w:hAnsi="宋体"/>
          <w:color w:val="auto"/>
          <w:sz w:val="24"/>
          <w:szCs w:val="24"/>
        </w:rPr>
      </w:pPr>
      <w:r>
        <w:rPr>
          <w:rFonts w:hint="eastAsia" w:hAnsi="宋体"/>
          <w:color w:val="auto"/>
          <w:sz w:val="24"/>
          <w:szCs w:val="24"/>
        </w:rPr>
        <w:t>非正常工况</w:t>
      </w:r>
    </w:p>
    <w:p w14:paraId="388BE047">
      <w:pPr>
        <w:spacing w:line="360" w:lineRule="auto"/>
        <w:ind w:firstLine="480" w:firstLineChars="200"/>
        <w:rPr>
          <w:color w:val="auto"/>
          <w:sz w:val="24"/>
          <w:szCs w:val="32"/>
        </w:rPr>
      </w:pPr>
      <w:r>
        <w:rPr>
          <w:color w:val="auto"/>
          <w:sz w:val="24"/>
          <w:szCs w:val="32"/>
        </w:rPr>
        <w:t>由于管理不善或其它原因（如</w:t>
      </w:r>
      <w:r>
        <w:rPr>
          <w:rFonts w:hint="eastAsia"/>
          <w:color w:val="auto"/>
          <w:sz w:val="24"/>
          <w:szCs w:val="32"/>
        </w:rPr>
        <w:t>开停车、</w:t>
      </w:r>
      <w:r>
        <w:rPr>
          <w:color w:val="auto"/>
          <w:sz w:val="24"/>
          <w:szCs w:val="32"/>
        </w:rPr>
        <w:t>废气处理装置失效等）将可能导致非正常排放，</w:t>
      </w:r>
      <w:r>
        <w:rPr>
          <w:rFonts w:hint="eastAsia"/>
          <w:color w:val="auto"/>
          <w:sz w:val="24"/>
          <w:szCs w:val="32"/>
        </w:rPr>
        <w:t>此</w:t>
      </w:r>
      <w:r>
        <w:rPr>
          <w:color w:val="auto"/>
          <w:sz w:val="24"/>
          <w:szCs w:val="32"/>
        </w:rPr>
        <w:t>时污染物排放浓度将增加。</w:t>
      </w:r>
      <w:r>
        <w:rPr>
          <w:rFonts w:hint="eastAsia"/>
          <w:color w:val="auto"/>
          <w:sz w:val="24"/>
          <w:szCs w:val="32"/>
        </w:rPr>
        <w:t>当废气处理</w:t>
      </w:r>
      <w:r>
        <w:rPr>
          <w:rFonts w:hint="eastAsia"/>
          <w:color w:val="auto"/>
          <w:sz w:val="24"/>
          <w:szCs w:val="24"/>
        </w:rPr>
        <w:t>效率降低至0时（</w:t>
      </w:r>
      <w:r>
        <w:rPr>
          <w:color w:val="auto"/>
          <w:sz w:val="24"/>
          <w:szCs w:val="32"/>
        </w:rPr>
        <w:t>见表</w:t>
      </w:r>
      <w:r>
        <w:rPr>
          <w:rFonts w:hint="eastAsia"/>
          <w:color w:val="auto"/>
          <w:sz w:val="24"/>
          <w:szCs w:val="32"/>
        </w:rPr>
        <w:t>4-</w:t>
      </w:r>
      <w:r>
        <w:rPr>
          <w:rFonts w:hint="eastAsia"/>
          <w:color w:val="auto"/>
          <w:sz w:val="24"/>
          <w:szCs w:val="32"/>
          <w:lang w:val="en-US" w:eastAsia="zh-CN"/>
        </w:rPr>
        <w:t>9</w:t>
      </w:r>
      <w:r>
        <w:rPr>
          <w:rFonts w:hint="eastAsia"/>
          <w:color w:val="auto"/>
          <w:sz w:val="24"/>
          <w:szCs w:val="32"/>
        </w:rPr>
        <w:t>）</w:t>
      </w:r>
      <w:r>
        <w:rPr>
          <w:rFonts w:hint="eastAsia"/>
          <w:color w:val="auto"/>
          <w:sz w:val="24"/>
          <w:szCs w:val="24"/>
        </w:rPr>
        <w:t>，将对周边大气环境产生短时不利影响。</w:t>
      </w:r>
    </w:p>
    <w:p w14:paraId="06EC54B6">
      <w:pPr>
        <w:adjustRightInd w:val="0"/>
        <w:snapToGrid w:val="0"/>
        <w:jc w:val="center"/>
        <w:rPr>
          <w:rFonts w:hint="eastAsia"/>
          <w:color w:val="auto"/>
          <w:sz w:val="24"/>
          <w:szCs w:val="24"/>
        </w:rPr>
      </w:pPr>
      <w:r>
        <w:rPr>
          <w:rFonts w:eastAsiaTheme="minorEastAsia"/>
          <w:b/>
          <w:color w:val="auto"/>
          <w:sz w:val="24"/>
          <w:szCs w:val="24"/>
        </w:rPr>
        <w:t>表</w:t>
      </w:r>
      <w:r>
        <w:rPr>
          <w:rFonts w:hint="eastAsia" w:eastAsiaTheme="minorEastAsia"/>
          <w:b/>
          <w:color w:val="auto"/>
          <w:sz w:val="24"/>
          <w:szCs w:val="24"/>
        </w:rPr>
        <w:t>4-</w:t>
      </w:r>
      <w:r>
        <w:rPr>
          <w:rFonts w:hint="eastAsia" w:eastAsiaTheme="minorEastAsia"/>
          <w:b/>
          <w:color w:val="auto"/>
          <w:sz w:val="24"/>
          <w:szCs w:val="24"/>
          <w:lang w:val="en-US" w:eastAsia="zh-CN"/>
        </w:rPr>
        <w:t xml:space="preserve">13 </w:t>
      </w:r>
      <w:r>
        <w:rPr>
          <w:rFonts w:eastAsiaTheme="minorEastAsia"/>
          <w:b/>
          <w:color w:val="auto"/>
          <w:sz w:val="24"/>
          <w:szCs w:val="24"/>
        </w:rPr>
        <w:t xml:space="preserve"> </w:t>
      </w:r>
      <w:r>
        <w:rPr>
          <w:rFonts w:hint="eastAsia" w:eastAsiaTheme="minorEastAsia"/>
          <w:b/>
          <w:color w:val="auto"/>
          <w:sz w:val="24"/>
          <w:szCs w:val="24"/>
        </w:rPr>
        <w:t>非正常工况下废气排放情况</w:t>
      </w:r>
    </w:p>
    <w:tbl>
      <w:tblPr>
        <w:tblStyle w:val="37"/>
        <w:tblW w:w="496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042"/>
        <w:gridCol w:w="2009"/>
        <w:gridCol w:w="1350"/>
        <w:gridCol w:w="1614"/>
        <w:gridCol w:w="1180"/>
        <w:gridCol w:w="1061"/>
      </w:tblGrid>
      <w:tr w14:paraId="0040FD5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tcBorders>
              <w:tl2br w:val="nil"/>
              <w:tr2bl w:val="nil"/>
            </w:tcBorders>
            <w:vAlign w:val="center"/>
          </w:tcPr>
          <w:p w14:paraId="682E42AA">
            <w:pPr>
              <w:widowControl/>
              <w:adjustRightInd w:val="0"/>
              <w:snapToGrid w:val="0"/>
              <w:jc w:val="center"/>
              <w:rPr>
                <w:b/>
                <w:color w:val="auto"/>
                <w:kern w:val="0"/>
                <w:szCs w:val="21"/>
              </w:rPr>
            </w:pPr>
            <w:r>
              <w:rPr>
                <w:b/>
                <w:color w:val="auto"/>
                <w:kern w:val="0"/>
                <w:szCs w:val="21"/>
                <w:lang w:bidi="ar"/>
              </w:rPr>
              <w:t>非正常排放源</w:t>
            </w:r>
          </w:p>
        </w:tc>
        <w:tc>
          <w:tcPr>
            <w:tcW w:w="1216" w:type="pct"/>
            <w:tcBorders>
              <w:tl2br w:val="nil"/>
              <w:tr2bl w:val="nil"/>
            </w:tcBorders>
            <w:vAlign w:val="center"/>
          </w:tcPr>
          <w:p w14:paraId="7B12B8E5">
            <w:pPr>
              <w:widowControl/>
              <w:adjustRightInd w:val="0"/>
              <w:snapToGrid w:val="0"/>
              <w:jc w:val="center"/>
              <w:rPr>
                <w:b/>
                <w:color w:val="auto"/>
                <w:kern w:val="0"/>
                <w:szCs w:val="21"/>
                <w:lang w:bidi="ar"/>
              </w:rPr>
            </w:pPr>
            <w:r>
              <w:rPr>
                <w:b/>
                <w:color w:val="auto"/>
                <w:kern w:val="0"/>
                <w:szCs w:val="21"/>
                <w:lang w:bidi="ar"/>
              </w:rPr>
              <w:t>非正常排放原因</w:t>
            </w:r>
          </w:p>
        </w:tc>
        <w:tc>
          <w:tcPr>
            <w:tcW w:w="817" w:type="pct"/>
            <w:tcBorders>
              <w:tl2br w:val="nil"/>
              <w:tr2bl w:val="nil"/>
            </w:tcBorders>
            <w:vAlign w:val="center"/>
          </w:tcPr>
          <w:p w14:paraId="5DD00249">
            <w:pPr>
              <w:widowControl/>
              <w:adjustRightInd w:val="0"/>
              <w:snapToGrid w:val="0"/>
              <w:jc w:val="center"/>
              <w:rPr>
                <w:b/>
                <w:color w:val="auto"/>
                <w:kern w:val="0"/>
                <w:szCs w:val="21"/>
              </w:rPr>
            </w:pPr>
            <w:r>
              <w:rPr>
                <w:b/>
                <w:color w:val="auto"/>
                <w:kern w:val="0"/>
                <w:szCs w:val="21"/>
                <w:lang w:bidi="ar"/>
              </w:rPr>
              <w:t>污染物</w:t>
            </w:r>
          </w:p>
        </w:tc>
        <w:tc>
          <w:tcPr>
            <w:tcW w:w="977" w:type="pct"/>
            <w:tcBorders>
              <w:tl2br w:val="nil"/>
              <w:tr2bl w:val="nil"/>
            </w:tcBorders>
            <w:vAlign w:val="center"/>
          </w:tcPr>
          <w:p w14:paraId="5D2107D5">
            <w:pPr>
              <w:widowControl/>
              <w:adjustRightInd w:val="0"/>
              <w:snapToGrid w:val="0"/>
              <w:jc w:val="center"/>
              <w:rPr>
                <w:b/>
                <w:color w:val="auto"/>
                <w:kern w:val="0"/>
                <w:szCs w:val="21"/>
                <w:lang w:bidi="ar"/>
              </w:rPr>
            </w:pPr>
            <w:r>
              <w:rPr>
                <w:b/>
                <w:color w:val="auto"/>
                <w:kern w:val="0"/>
                <w:szCs w:val="21"/>
                <w:lang w:bidi="ar"/>
              </w:rPr>
              <w:t>非正常排放速率（kg/h）</w:t>
            </w:r>
          </w:p>
        </w:tc>
        <w:tc>
          <w:tcPr>
            <w:tcW w:w="714" w:type="pct"/>
            <w:tcBorders>
              <w:tl2br w:val="nil"/>
              <w:tr2bl w:val="nil"/>
            </w:tcBorders>
            <w:vAlign w:val="center"/>
          </w:tcPr>
          <w:p w14:paraId="2913AC4A">
            <w:pPr>
              <w:widowControl/>
              <w:adjustRightInd w:val="0"/>
              <w:snapToGrid w:val="0"/>
              <w:jc w:val="center"/>
              <w:rPr>
                <w:b/>
                <w:color w:val="auto"/>
                <w:kern w:val="0"/>
                <w:szCs w:val="21"/>
              </w:rPr>
            </w:pPr>
            <w:r>
              <w:rPr>
                <w:b/>
                <w:color w:val="auto"/>
                <w:kern w:val="0"/>
                <w:szCs w:val="21"/>
                <w:lang w:bidi="ar"/>
              </w:rPr>
              <w:t>单次持续时间（h）</w:t>
            </w:r>
          </w:p>
        </w:tc>
        <w:tc>
          <w:tcPr>
            <w:tcW w:w="642" w:type="pct"/>
            <w:tcBorders>
              <w:tl2br w:val="nil"/>
              <w:tr2bl w:val="nil"/>
            </w:tcBorders>
            <w:vAlign w:val="center"/>
          </w:tcPr>
          <w:p w14:paraId="0B11A55E">
            <w:pPr>
              <w:widowControl/>
              <w:adjustRightInd w:val="0"/>
              <w:snapToGrid w:val="0"/>
              <w:jc w:val="center"/>
              <w:rPr>
                <w:b/>
                <w:color w:val="auto"/>
                <w:kern w:val="0"/>
                <w:szCs w:val="21"/>
              </w:rPr>
            </w:pPr>
            <w:r>
              <w:rPr>
                <w:b/>
                <w:color w:val="auto"/>
                <w:kern w:val="0"/>
                <w:szCs w:val="21"/>
                <w:lang w:bidi="ar"/>
              </w:rPr>
              <w:t>年发生频次（次）</w:t>
            </w:r>
          </w:p>
        </w:tc>
      </w:tr>
      <w:tr w14:paraId="1F81E3A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restart"/>
            <w:tcBorders>
              <w:tl2br w:val="nil"/>
              <w:tr2bl w:val="nil"/>
            </w:tcBorders>
            <w:vAlign w:val="center"/>
          </w:tcPr>
          <w:p w14:paraId="6F223A01">
            <w:pPr>
              <w:widowControl/>
              <w:jc w:val="center"/>
              <w:rPr>
                <w:color w:val="auto"/>
                <w:szCs w:val="21"/>
              </w:rPr>
            </w:pPr>
            <w:r>
              <w:rPr>
                <w:rFonts w:hint="eastAsia"/>
                <w:color w:val="auto"/>
                <w:kern w:val="0"/>
                <w:szCs w:val="21"/>
                <w:lang w:val="en-US" w:eastAsia="zh-CN"/>
              </w:rPr>
              <w:t>DA001</w:t>
            </w:r>
          </w:p>
        </w:tc>
        <w:tc>
          <w:tcPr>
            <w:tcW w:w="1216" w:type="pct"/>
            <w:vMerge w:val="restart"/>
            <w:tcBorders>
              <w:tl2br w:val="nil"/>
              <w:tr2bl w:val="nil"/>
            </w:tcBorders>
            <w:vAlign w:val="center"/>
          </w:tcPr>
          <w:p w14:paraId="2628E4F3">
            <w:pPr>
              <w:widowControl/>
              <w:adjustRightInd w:val="0"/>
              <w:snapToGrid w:val="0"/>
              <w:jc w:val="center"/>
              <w:rPr>
                <w:color w:val="auto"/>
                <w:szCs w:val="21"/>
              </w:rPr>
            </w:pPr>
            <w:r>
              <w:rPr>
                <w:rFonts w:hint="eastAsia"/>
                <w:color w:val="auto"/>
                <w:kern w:val="0"/>
                <w:szCs w:val="21"/>
              </w:rPr>
              <w:t>废气处理设施故障</w:t>
            </w:r>
          </w:p>
        </w:tc>
        <w:tc>
          <w:tcPr>
            <w:tcW w:w="817" w:type="pct"/>
            <w:tcBorders>
              <w:tl2br w:val="nil"/>
              <w:tr2bl w:val="nil"/>
            </w:tcBorders>
            <w:vAlign w:val="center"/>
          </w:tcPr>
          <w:p w14:paraId="28CE8290">
            <w:pPr>
              <w:pStyle w:val="105"/>
              <w:spacing w:line="240" w:lineRule="exact"/>
              <w:rPr>
                <w:color w:val="auto"/>
                <w:kern w:val="0"/>
                <w:sz w:val="21"/>
                <w:szCs w:val="21"/>
              </w:rPr>
            </w:pPr>
            <w:r>
              <w:rPr>
                <w:rFonts w:hint="eastAsia"/>
                <w:color w:val="auto"/>
                <w:kern w:val="0"/>
                <w:sz w:val="21"/>
                <w:szCs w:val="21"/>
                <w:lang w:val="en-US" w:eastAsia="zh-CN"/>
              </w:rPr>
              <w:t>颗粒物</w:t>
            </w:r>
          </w:p>
        </w:tc>
        <w:tc>
          <w:tcPr>
            <w:tcW w:w="2753" w:type="dxa"/>
            <w:tcBorders>
              <w:tl2br w:val="nil"/>
              <w:tr2bl w:val="nil"/>
            </w:tcBorders>
            <w:vAlign w:val="center"/>
          </w:tcPr>
          <w:p w14:paraId="0258024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w:t>
            </w:r>
          </w:p>
        </w:tc>
        <w:tc>
          <w:tcPr>
            <w:tcW w:w="714" w:type="pct"/>
            <w:vMerge w:val="restart"/>
            <w:tcBorders>
              <w:tl2br w:val="nil"/>
              <w:tr2bl w:val="nil"/>
            </w:tcBorders>
            <w:vAlign w:val="center"/>
          </w:tcPr>
          <w:p w14:paraId="525B7AE1">
            <w:pPr>
              <w:jc w:val="center"/>
              <w:rPr>
                <w:color w:val="auto"/>
                <w:szCs w:val="21"/>
              </w:rPr>
            </w:pPr>
            <w:r>
              <w:rPr>
                <w:color w:val="auto"/>
                <w:szCs w:val="21"/>
              </w:rPr>
              <w:t>0.5</w:t>
            </w:r>
          </w:p>
        </w:tc>
        <w:tc>
          <w:tcPr>
            <w:tcW w:w="642" w:type="pct"/>
            <w:vMerge w:val="restart"/>
            <w:tcBorders>
              <w:tl2br w:val="nil"/>
              <w:tr2bl w:val="nil"/>
            </w:tcBorders>
            <w:vAlign w:val="center"/>
          </w:tcPr>
          <w:p w14:paraId="56C40716">
            <w:pPr>
              <w:widowControl/>
              <w:adjustRightInd w:val="0"/>
              <w:snapToGrid w:val="0"/>
              <w:jc w:val="center"/>
              <w:rPr>
                <w:color w:val="auto"/>
                <w:szCs w:val="21"/>
              </w:rPr>
            </w:pPr>
            <w:r>
              <w:rPr>
                <w:color w:val="auto"/>
                <w:szCs w:val="21"/>
              </w:rPr>
              <w:t>不超过2次</w:t>
            </w:r>
          </w:p>
        </w:tc>
      </w:tr>
      <w:tr w14:paraId="4E7FAD0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6B8F068E">
            <w:pPr>
              <w:widowControl/>
              <w:jc w:val="center"/>
              <w:rPr>
                <w:color w:val="auto"/>
                <w:kern w:val="0"/>
                <w:szCs w:val="21"/>
              </w:rPr>
            </w:pPr>
          </w:p>
        </w:tc>
        <w:tc>
          <w:tcPr>
            <w:tcW w:w="1216" w:type="pct"/>
            <w:vMerge w:val="continue"/>
            <w:tcBorders>
              <w:tl2br w:val="nil"/>
              <w:tr2bl w:val="nil"/>
            </w:tcBorders>
            <w:vAlign w:val="center"/>
          </w:tcPr>
          <w:p w14:paraId="6F80D629">
            <w:pPr>
              <w:widowControl/>
              <w:adjustRightInd w:val="0"/>
              <w:snapToGrid w:val="0"/>
              <w:jc w:val="center"/>
              <w:rPr>
                <w:color w:val="auto"/>
                <w:kern w:val="0"/>
                <w:szCs w:val="21"/>
              </w:rPr>
            </w:pPr>
          </w:p>
        </w:tc>
        <w:tc>
          <w:tcPr>
            <w:tcW w:w="817" w:type="pct"/>
            <w:tcBorders>
              <w:tl2br w:val="nil"/>
              <w:tr2bl w:val="nil"/>
            </w:tcBorders>
            <w:vAlign w:val="center"/>
          </w:tcPr>
          <w:p w14:paraId="03A48926">
            <w:pPr>
              <w:pStyle w:val="105"/>
              <w:spacing w:line="240" w:lineRule="exact"/>
              <w:rPr>
                <w:rFonts w:hint="eastAsia" w:eastAsia="宋体"/>
                <w:color w:val="auto"/>
                <w:kern w:val="0"/>
                <w:sz w:val="21"/>
                <w:szCs w:val="21"/>
                <w:lang w:eastAsia="zh-CN"/>
              </w:rPr>
            </w:pPr>
            <w:r>
              <w:rPr>
                <w:color w:val="auto"/>
                <w:kern w:val="0"/>
                <w:sz w:val="21"/>
                <w:szCs w:val="21"/>
              </w:rPr>
              <w:t>非甲烷总烃</w:t>
            </w:r>
          </w:p>
        </w:tc>
        <w:tc>
          <w:tcPr>
            <w:tcW w:w="2753" w:type="dxa"/>
            <w:tcBorders>
              <w:tl2br w:val="nil"/>
              <w:tr2bl w:val="nil"/>
            </w:tcBorders>
            <w:vAlign w:val="center"/>
          </w:tcPr>
          <w:p w14:paraId="77513CC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0.225</w:t>
            </w:r>
          </w:p>
        </w:tc>
        <w:tc>
          <w:tcPr>
            <w:tcW w:w="714" w:type="pct"/>
            <w:vMerge w:val="continue"/>
            <w:tcBorders>
              <w:tl2br w:val="nil"/>
              <w:tr2bl w:val="nil"/>
            </w:tcBorders>
            <w:vAlign w:val="center"/>
          </w:tcPr>
          <w:p w14:paraId="47518EE3">
            <w:pPr>
              <w:jc w:val="center"/>
              <w:rPr>
                <w:color w:val="auto"/>
                <w:szCs w:val="21"/>
              </w:rPr>
            </w:pPr>
          </w:p>
        </w:tc>
        <w:tc>
          <w:tcPr>
            <w:tcW w:w="642" w:type="pct"/>
            <w:vMerge w:val="continue"/>
            <w:tcBorders>
              <w:tl2br w:val="nil"/>
              <w:tr2bl w:val="nil"/>
            </w:tcBorders>
            <w:vAlign w:val="center"/>
          </w:tcPr>
          <w:p w14:paraId="3BA111BE">
            <w:pPr>
              <w:widowControl/>
              <w:adjustRightInd w:val="0"/>
              <w:snapToGrid w:val="0"/>
              <w:jc w:val="center"/>
              <w:rPr>
                <w:color w:val="auto"/>
                <w:szCs w:val="21"/>
              </w:rPr>
            </w:pPr>
          </w:p>
        </w:tc>
      </w:tr>
      <w:tr w14:paraId="666FBAA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restart"/>
            <w:tcBorders>
              <w:tl2br w:val="nil"/>
              <w:tr2bl w:val="nil"/>
            </w:tcBorders>
            <w:vAlign w:val="center"/>
          </w:tcPr>
          <w:p w14:paraId="76CBF116">
            <w:pPr>
              <w:widowControl/>
              <w:jc w:val="center"/>
              <w:rPr>
                <w:color w:val="auto"/>
                <w:kern w:val="0"/>
                <w:szCs w:val="21"/>
              </w:rPr>
            </w:pPr>
            <w:r>
              <w:rPr>
                <w:rFonts w:hint="eastAsia"/>
                <w:color w:val="auto"/>
                <w:kern w:val="0"/>
                <w:szCs w:val="21"/>
                <w:lang w:val="en-US" w:eastAsia="zh-CN"/>
              </w:rPr>
              <w:t>DA002</w:t>
            </w:r>
          </w:p>
        </w:tc>
        <w:tc>
          <w:tcPr>
            <w:tcW w:w="1216" w:type="pct"/>
            <w:vMerge w:val="restart"/>
            <w:tcBorders>
              <w:tl2br w:val="nil"/>
              <w:tr2bl w:val="nil"/>
            </w:tcBorders>
            <w:vAlign w:val="center"/>
          </w:tcPr>
          <w:p w14:paraId="1670ADB4">
            <w:pPr>
              <w:widowControl/>
              <w:adjustRightInd w:val="0"/>
              <w:snapToGrid w:val="0"/>
              <w:jc w:val="center"/>
              <w:rPr>
                <w:color w:val="auto"/>
                <w:szCs w:val="21"/>
              </w:rPr>
            </w:pPr>
            <w:r>
              <w:rPr>
                <w:rFonts w:hint="eastAsia"/>
                <w:color w:val="auto"/>
                <w:kern w:val="0"/>
                <w:szCs w:val="21"/>
              </w:rPr>
              <w:t>废气处理设施故障</w:t>
            </w:r>
          </w:p>
        </w:tc>
        <w:tc>
          <w:tcPr>
            <w:tcW w:w="817" w:type="pct"/>
            <w:tcBorders>
              <w:tl2br w:val="nil"/>
              <w:tr2bl w:val="nil"/>
            </w:tcBorders>
            <w:vAlign w:val="center"/>
          </w:tcPr>
          <w:p w14:paraId="4514B42C">
            <w:pPr>
              <w:pStyle w:val="105"/>
              <w:spacing w:line="240" w:lineRule="exact"/>
              <w:rPr>
                <w:color w:val="auto"/>
                <w:kern w:val="0"/>
                <w:sz w:val="21"/>
                <w:szCs w:val="21"/>
              </w:rPr>
            </w:pPr>
            <w:r>
              <w:rPr>
                <w:color w:val="auto"/>
                <w:kern w:val="0"/>
                <w:sz w:val="21"/>
                <w:szCs w:val="21"/>
              </w:rPr>
              <w:t>颗粒物</w:t>
            </w:r>
          </w:p>
        </w:tc>
        <w:tc>
          <w:tcPr>
            <w:tcW w:w="2753" w:type="dxa"/>
            <w:tcBorders>
              <w:tl2br w:val="nil"/>
              <w:tr2bl w:val="nil"/>
            </w:tcBorders>
            <w:vAlign w:val="center"/>
          </w:tcPr>
          <w:p w14:paraId="719BA3D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0.485</w:t>
            </w:r>
          </w:p>
        </w:tc>
        <w:tc>
          <w:tcPr>
            <w:tcW w:w="714" w:type="pct"/>
            <w:vMerge w:val="restart"/>
            <w:tcBorders>
              <w:tl2br w:val="nil"/>
              <w:tr2bl w:val="nil"/>
            </w:tcBorders>
            <w:vAlign w:val="center"/>
          </w:tcPr>
          <w:p w14:paraId="3F6379D2">
            <w:pPr>
              <w:jc w:val="center"/>
              <w:rPr>
                <w:color w:val="auto"/>
                <w:szCs w:val="21"/>
              </w:rPr>
            </w:pPr>
            <w:r>
              <w:rPr>
                <w:color w:val="auto"/>
                <w:szCs w:val="21"/>
              </w:rPr>
              <w:t>0.5</w:t>
            </w:r>
          </w:p>
        </w:tc>
        <w:tc>
          <w:tcPr>
            <w:tcW w:w="642" w:type="pct"/>
            <w:vMerge w:val="restart"/>
            <w:tcBorders>
              <w:tl2br w:val="nil"/>
              <w:tr2bl w:val="nil"/>
            </w:tcBorders>
            <w:vAlign w:val="center"/>
          </w:tcPr>
          <w:p w14:paraId="3D40A6F2">
            <w:pPr>
              <w:widowControl/>
              <w:adjustRightInd w:val="0"/>
              <w:snapToGrid w:val="0"/>
              <w:jc w:val="center"/>
              <w:rPr>
                <w:color w:val="auto"/>
                <w:szCs w:val="21"/>
              </w:rPr>
            </w:pPr>
            <w:r>
              <w:rPr>
                <w:color w:val="auto"/>
                <w:szCs w:val="21"/>
              </w:rPr>
              <w:t>不超过2次</w:t>
            </w:r>
          </w:p>
        </w:tc>
      </w:tr>
      <w:tr w14:paraId="5B63593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77FE416B">
            <w:pPr>
              <w:widowControl/>
              <w:jc w:val="center"/>
              <w:rPr>
                <w:color w:val="auto"/>
                <w:kern w:val="0"/>
                <w:szCs w:val="21"/>
              </w:rPr>
            </w:pPr>
          </w:p>
        </w:tc>
        <w:tc>
          <w:tcPr>
            <w:tcW w:w="1216" w:type="pct"/>
            <w:vMerge w:val="continue"/>
            <w:tcBorders>
              <w:tl2br w:val="nil"/>
              <w:tr2bl w:val="nil"/>
            </w:tcBorders>
            <w:vAlign w:val="center"/>
          </w:tcPr>
          <w:p w14:paraId="469E3C64">
            <w:pPr>
              <w:widowControl/>
              <w:adjustRightInd w:val="0"/>
              <w:snapToGrid w:val="0"/>
              <w:jc w:val="center"/>
              <w:rPr>
                <w:color w:val="auto"/>
                <w:kern w:val="0"/>
                <w:szCs w:val="21"/>
              </w:rPr>
            </w:pPr>
          </w:p>
        </w:tc>
        <w:tc>
          <w:tcPr>
            <w:tcW w:w="817" w:type="pct"/>
            <w:tcBorders>
              <w:tl2br w:val="nil"/>
              <w:tr2bl w:val="nil"/>
            </w:tcBorders>
            <w:vAlign w:val="center"/>
          </w:tcPr>
          <w:p w14:paraId="53390D18">
            <w:pPr>
              <w:pStyle w:val="105"/>
              <w:spacing w:line="240" w:lineRule="exact"/>
              <w:rPr>
                <w:rFonts w:hint="default" w:eastAsia="宋体"/>
                <w:color w:val="auto"/>
                <w:kern w:val="0"/>
                <w:sz w:val="21"/>
                <w:szCs w:val="21"/>
                <w:lang w:val="en-US" w:eastAsia="zh-CN"/>
              </w:rPr>
            </w:pPr>
            <w:r>
              <w:rPr>
                <w:rFonts w:hint="eastAsia"/>
                <w:color w:val="auto"/>
                <w:kern w:val="0"/>
                <w:sz w:val="21"/>
                <w:szCs w:val="21"/>
                <w:lang w:val="en-US" w:eastAsia="zh-CN"/>
              </w:rPr>
              <w:t>SO</w:t>
            </w:r>
            <w:r>
              <w:rPr>
                <w:rFonts w:hint="eastAsia"/>
                <w:color w:val="auto"/>
                <w:kern w:val="0"/>
                <w:sz w:val="21"/>
                <w:szCs w:val="21"/>
                <w:vertAlign w:val="subscript"/>
                <w:lang w:val="en-US" w:eastAsia="zh-CN"/>
              </w:rPr>
              <w:t>2</w:t>
            </w:r>
          </w:p>
        </w:tc>
        <w:tc>
          <w:tcPr>
            <w:tcW w:w="2753" w:type="dxa"/>
            <w:tcBorders>
              <w:tl2br w:val="nil"/>
              <w:tr2bl w:val="nil"/>
            </w:tcBorders>
            <w:vAlign w:val="center"/>
          </w:tcPr>
          <w:p w14:paraId="08F95B6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0.33</w:t>
            </w:r>
          </w:p>
        </w:tc>
        <w:tc>
          <w:tcPr>
            <w:tcW w:w="714" w:type="pct"/>
            <w:vMerge w:val="continue"/>
            <w:tcBorders>
              <w:tl2br w:val="nil"/>
              <w:tr2bl w:val="nil"/>
            </w:tcBorders>
            <w:vAlign w:val="center"/>
          </w:tcPr>
          <w:p w14:paraId="5C03FEAC">
            <w:pPr>
              <w:jc w:val="center"/>
              <w:rPr>
                <w:color w:val="auto"/>
                <w:szCs w:val="21"/>
              </w:rPr>
            </w:pPr>
          </w:p>
        </w:tc>
        <w:tc>
          <w:tcPr>
            <w:tcW w:w="642" w:type="pct"/>
            <w:vMerge w:val="continue"/>
            <w:tcBorders>
              <w:tl2br w:val="nil"/>
              <w:tr2bl w:val="nil"/>
            </w:tcBorders>
            <w:vAlign w:val="center"/>
          </w:tcPr>
          <w:p w14:paraId="3D2706FE">
            <w:pPr>
              <w:widowControl/>
              <w:adjustRightInd w:val="0"/>
              <w:snapToGrid w:val="0"/>
              <w:jc w:val="center"/>
              <w:rPr>
                <w:color w:val="auto"/>
                <w:szCs w:val="21"/>
              </w:rPr>
            </w:pPr>
          </w:p>
        </w:tc>
      </w:tr>
      <w:tr w14:paraId="2D6BA18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0A3D9503">
            <w:pPr>
              <w:widowControl/>
              <w:jc w:val="center"/>
              <w:rPr>
                <w:color w:val="auto"/>
                <w:kern w:val="0"/>
                <w:szCs w:val="21"/>
              </w:rPr>
            </w:pPr>
          </w:p>
        </w:tc>
        <w:tc>
          <w:tcPr>
            <w:tcW w:w="1216" w:type="pct"/>
            <w:vMerge w:val="continue"/>
            <w:tcBorders>
              <w:tl2br w:val="nil"/>
              <w:tr2bl w:val="nil"/>
            </w:tcBorders>
            <w:vAlign w:val="center"/>
          </w:tcPr>
          <w:p w14:paraId="36D9A6C9">
            <w:pPr>
              <w:widowControl/>
              <w:adjustRightInd w:val="0"/>
              <w:snapToGrid w:val="0"/>
              <w:jc w:val="center"/>
              <w:rPr>
                <w:color w:val="auto"/>
                <w:kern w:val="0"/>
                <w:szCs w:val="21"/>
              </w:rPr>
            </w:pPr>
          </w:p>
        </w:tc>
        <w:tc>
          <w:tcPr>
            <w:tcW w:w="817" w:type="pct"/>
            <w:tcBorders>
              <w:tl2br w:val="nil"/>
              <w:tr2bl w:val="nil"/>
            </w:tcBorders>
            <w:vAlign w:val="center"/>
          </w:tcPr>
          <w:p w14:paraId="24B1D61E">
            <w:pPr>
              <w:pStyle w:val="105"/>
              <w:spacing w:line="240" w:lineRule="exact"/>
              <w:rPr>
                <w:rFonts w:hint="default" w:eastAsia="宋体"/>
                <w:color w:val="auto"/>
                <w:kern w:val="0"/>
                <w:sz w:val="21"/>
                <w:szCs w:val="21"/>
                <w:lang w:val="en-US" w:eastAsia="zh-CN"/>
              </w:rPr>
            </w:pPr>
            <w:r>
              <w:rPr>
                <w:rFonts w:hint="eastAsia"/>
                <w:color w:val="auto"/>
                <w:kern w:val="0"/>
                <w:sz w:val="21"/>
                <w:szCs w:val="21"/>
                <w:lang w:val="en-US" w:eastAsia="zh-CN"/>
              </w:rPr>
              <w:t>NO</w:t>
            </w:r>
            <w:r>
              <w:rPr>
                <w:rFonts w:hint="eastAsia"/>
                <w:color w:val="auto"/>
                <w:kern w:val="0"/>
                <w:sz w:val="21"/>
                <w:szCs w:val="21"/>
                <w:vertAlign w:val="subscript"/>
                <w:lang w:val="en-US" w:eastAsia="zh-CN"/>
              </w:rPr>
              <w:t>x</w:t>
            </w:r>
          </w:p>
        </w:tc>
        <w:tc>
          <w:tcPr>
            <w:tcW w:w="2753" w:type="dxa"/>
            <w:tcBorders>
              <w:tl2br w:val="nil"/>
              <w:tr2bl w:val="nil"/>
            </w:tcBorders>
            <w:vAlign w:val="center"/>
          </w:tcPr>
          <w:p w14:paraId="3AF412A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6</w:t>
            </w:r>
            <w:r>
              <w:rPr>
                <w:rFonts w:hint="eastAsia" w:ascii="Times New Roman" w:hAnsi="Times New Roman" w:eastAsia="宋体" w:cs="Times New Roman"/>
                <w:color w:val="auto"/>
                <w:szCs w:val="21"/>
                <w:lang w:val="en-US" w:eastAsia="zh-CN"/>
              </w:rPr>
              <w:t>9</w:t>
            </w:r>
          </w:p>
        </w:tc>
        <w:tc>
          <w:tcPr>
            <w:tcW w:w="714" w:type="pct"/>
            <w:vMerge w:val="continue"/>
            <w:tcBorders>
              <w:tl2br w:val="nil"/>
              <w:tr2bl w:val="nil"/>
            </w:tcBorders>
            <w:vAlign w:val="center"/>
          </w:tcPr>
          <w:p w14:paraId="25F470FE">
            <w:pPr>
              <w:jc w:val="center"/>
              <w:rPr>
                <w:color w:val="auto"/>
                <w:szCs w:val="21"/>
              </w:rPr>
            </w:pPr>
          </w:p>
        </w:tc>
        <w:tc>
          <w:tcPr>
            <w:tcW w:w="642" w:type="pct"/>
            <w:vMerge w:val="continue"/>
            <w:tcBorders>
              <w:tl2br w:val="nil"/>
              <w:tr2bl w:val="nil"/>
            </w:tcBorders>
            <w:vAlign w:val="center"/>
          </w:tcPr>
          <w:p w14:paraId="4EF84BA2">
            <w:pPr>
              <w:widowControl/>
              <w:adjustRightInd w:val="0"/>
              <w:snapToGrid w:val="0"/>
              <w:jc w:val="center"/>
              <w:rPr>
                <w:color w:val="auto"/>
                <w:szCs w:val="21"/>
              </w:rPr>
            </w:pPr>
          </w:p>
        </w:tc>
      </w:tr>
      <w:tr w14:paraId="2BFCBE3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38350386">
            <w:pPr>
              <w:widowControl/>
              <w:jc w:val="center"/>
              <w:rPr>
                <w:color w:val="auto"/>
                <w:kern w:val="0"/>
                <w:szCs w:val="21"/>
              </w:rPr>
            </w:pPr>
          </w:p>
        </w:tc>
        <w:tc>
          <w:tcPr>
            <w:tcW w:w="1216" w:type="pct"/>
            <w:vMerge w:val="continue"/>
            <w:tcBorders>
              <w:tl2br w:val="nil"/>
              <w:tr2bl w:val="nil"/>
            </w:tcBorders>
            <w:vAlign w:val="center"/>
          </w:tcPr>
          <w:p w14:paraId="1E4EDBF9">
            <w:pPr>
              <w:widowControl/>
              <w:adjustRightInd w:val="0"/>
              <w:snapToGrid w:val="0"/>
              <w:jc w:val="center"/>
              <w:rPr>
                <w:color w:val="auto"/>
                <w:kern w:val="0"/>
                <w:szCs w:val="21"/>
              </w:rPr>
            </w:pPr>
          </w:p>
        </w:tc>
        <w:tc>
          <w:tcPr>
            <w:tcW w:w="817" w:type="pct"/>
            <w:tcBorders>
              <w:tl2br w:val="nil"/>
              <w:tr2bl w:val="nil"/>
            </w:tcBorders>
            <w:vAlign w:val="center"/>
          </w:tcPr>
          <w:p w14:paraId="0827E40B">
            <w:pPr>
              <w:pStyle w:val="105"/>
              <w:spacing w:line="240" w:lineRule="exact"/>
              <w:rPr>
                <w:rFonts w:hint="eastAsia" w:eastAsia="宋体"/>
                <w:color w:val="auto"/>
                <w:kern w:val="0"/>
                <w:sz w:val="21"/>
                <w:szCs w:val="21"/>
                <w:lang w:eastAsia="zh-CN"/>
              </w:rPr>
            </w:pPr>
            <w:r>
              <w:rPr>
                <w:rFonts w:hint="eastAsia"/>
                <w:color w:val="auto"/>
                <w:kern w:val="0"/>
                <w:sz w:val="21"/>
                <w:szCs w:val="21"/>
                <w:lang w:eastAsia="zh-CN"/>
              </w:rPr>
              <w:t>汞</w:t>
            </w:r>
          </w:p>
        </w:tc>
        <w:tc>
          <w:tcPr>
            <w:tcW w:w="2753" w:type="dxa"/>
            <w:tcBorders>
              <w:tl2br w:val="nil"/>
              <w:tr2bl w:val="nil"/>
            </w:tcBorders>
            <w:vAlign w:val="center"/>
          </w:tcPr>
          <w:p w14:paraId="213452B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4</w:t>
            </w:r>
          </w:p>
        </w:tc>
        <w:tc>
          <w:tcPr>
            <w:tcW w:w="714" w:type="pct"/>
            <w:vMerge w:val="continue"/>
            <w:tcBorders>
              <w:tl2br w:val="nil"/>
              <w:tr2bl w:val="nil"/>
            </w:tcBorders>
            <w:vAlign w:val="center"/>
          </w:tcPr>
          <w:p w14:paraId="59DC8BB8">
            <w:pPr>
              <w:jc w:val="center"/>
              <w:rPr>
                <w:color w:val="auto"/>
                <w:szCs w:val="21"/>
              </w:rPr>
            </w:pPr>
          </w:p>
        </w:tc>
        <w:tc>
          <w:tcPr>
            <w:tcW w:w="642" w:type="pct"/>
            <w:vMerge w:val="continue"/>
            <w:tcBorders>
              <w:tl2br w:val="nil"/>
              <w:tr2bl w:val="nil"/>
            </w:tcBorders>
            <w:vAlign w:val="center"/>
          </w:tcPr>
          <w:p w14:paraId="4B675BF5">
            <w:pPr>
              <w:widowControl/>
              <w:adjustRightInd w:val="0"/>
              <w:snapToGrid w:val="0"/>
              <w:jc w:val="center"/>
              <w:rPr>
                <w:color w:val="auto"/>
                <w:szCs w:val="21"/>
              </w:rPr>
            </w:pPr>
          </w:p>
        </w:tc>
      </w:tr>
      <w:tr w14:paraId="33D5487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restart"/>
            <w:tcBorders>
              <w:tl2br w:val="nil"/>
              <w:tr2bl w:val="nil"/>
            </w:tcBorders>
            <w:vAlign w:val="center"/>
          </w:tcPr>
          <w:p w14:paraId="5E7A8FE4">
            <w:pPr>
              <w:widowControl/>
              <w:jc w:val="center"/>
              <w:rPr>
                <w:rFonts w:hint="default" w:eastAsia="宋体"/>
                <w:color w:val="auto"/>
                <w:kern w:val="0"/>
                <w:szCs w:val="21"/>
                <w:lang w:val="en-US" w:eastAsia="zh-CN"/>
              </w:rPr>
            </w:pPr>
            <w:r>
              <w:rPr>
                <w:rFonts w:hint="eastAsia"/>
                <w:color w:val="auto"/>
                <w:kern w:val="0"/>
                <w:szCs w:val="21"/>
                <w:lang w:val="en-US" w:eastAsia="zh-CN"/>
              </w:rPr>
              <w:t>DA003</w:t>
            </w:r>
          </w:p>
        </w:tc>
        <w:tc>
          <w:tcPr>
            <w:tcW w:w="1216" w:type="pct"/>
            <w:vMerge w:val="restart"/>
            <w:tcBorders>
              <w:tl2br w:val="nil"/>
              <w:tr2bl w:val="nil"/>
            </w:tcBorders>
            <w:vAlign w:val="center"/>
          </w:tcPr>
          <w:p w14:paraId="213E0E96">
            <w:pPr>
              <w:widowControl/>
              <w:adjustRightInd w:val="0"/>
              <w:snapToGrid w:val="0"/>
              <w:jc w:val="center"/>
              <w:rPr>
                <w:color w:val="auto"/>
                <w:kern w:val="0"/>
                <w:szCs w:val="21"/>
              </w:rPr>
            </w:pPr>
            <w:r>
              <w:rPr>
                <w:rFonts w:hint="eastAsia"/>
                <w:color w:val="auto"/>
                <w:kern w:val="0"/>
                <w:szCs w:val="21"/>
              </w:rPr>
              <w:t>废气处理设施故障</w:t>
            </w:r>
          </w:p>
        </w:tc>
        <w:tc>
          <w:tcPr>
            <w:tcW w:w="817" w:type="pct"/>
            <w:tcBorders>
              <w:tl2br w:val="nil"/>
              <w:tr2bl w:val="nil"/>
            </w:tcBorders>
            <w:shd w:val="clear" w:color="auto" w:fill="auto"/>
            <w:vAlign w:val="center"/>
          </w:tcPr>
          <w:p w14:paraId="27E866E7">
            <w:pPr>
              <w:pStyle w:val="105"/>
              <w:spacing w:line="240" w:lineRule="exact"/>
              <w:rPr>
                <w:rFonts w:hint="eastAsia" w:ascii="Times New Roman" w:hAnsi="Times New Roman" w:eastAsia="宋体" w:cs="Times New Roman"/>
                <w:color w:val="auto"/>
                <w:kern w:val="0"/>
                <w:sz w:val="21"/>
                <w:szCs w:val="21"/>
                <w:lang w:val="en-US" w:eastAsia="zh-CN" w:bidi="ar-SA"/>
              </w:rPr>
            </w:pPr>
            <w:r>
              <w:rPr>
                <w:color w:val="auto"/>
                <w:kern w:val="0"/>
                <w:sz w:val="21"/>
                <w:szCs w:val="21"/>
              </w:rPr>
              <w:t>颗粒物</w:t>
            </w:r>
          </w:p>
        </w:tc>
        <w:tc>
          <w:tcPr>
            <w:tcW w:w="2753" w:type="dxa"/>
            <w:tcBorders>
              <w:tl2br w:val="nil"/>
              <w:tr2bl w:val="nil"/>
            </w:tcBorders>
            <w:vAlign w:val="center"/>
          </w:tcPr>
          <w:p w14:paraId="3AC667B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0.485</w:t>
            </w:r>
          </w:p>
        </w:tc>
        <w:tc>
          <w:tcPr>
            <w:tcW w:w="714" w:type="pct"/>
            <w:vMerge w:val="restart"/>
            <w:tcBorders>
              <w:tl2br w:val="nil"/>
              <w:tr2bl w:val="nil"/>
            </w:tcBorders>
            <w:shd w:val="clear" w:color="auto" w:fill="auto"/>
            <w:vAlign w:val="center"/>
          </w:tcPr>
          <w:p w14:paraId="1519683E">
            <w:pPr>
              <w:jc w:val="center"/>
              <w:rPr>
                <w:rFonts w:ascii="Times New Roman" w:hAnsi="Times New Roman" w:eastAsia="宋体" w:cs="Times New Roman"/>
                <w:color w:val="auto"/>
                <w:kern w:val="2"/>
                <w:sz w:val="21"/>
                <w:szCs w:val="21"/>
                <w:lang w:val="en-US" w:eastAsia="zh-CN" w:bidi="ar-SA"/>
              </w:rPr>
            </w:pPr>
            <w:r>
              <w:rPr>
                <w:color w:val="auto"/>
                <w:szCs w:val="21"/>
              </w:rPr>
              <w:t>0.5</w:t>
            </w:r>
          </w:p>
        </w:tc>
        <w:tc>
          <w:tcPr>
            <w:tcW w:w="642" w:type="pct"/>
            <w:vMerge w:val="restart"/>
            <w:tcBorders>
              <w:tl2br w:val="nil"/>
              <w:tr2bl w:val="nil"/>
            </w:tcBorders>
            <w:shd w:val="clear" w:color="auto" w:fill="auto"/>
            <w:vAlign w:val="center"/>
          </w:tcPr>
          <w:p w14:paraId="2EFAD4D0">
            <w:pPr>
              <w:widowControl/>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不超过2次</w:t>
            </w:r>
          </w:p>
        </w:tc>
      </w:tr>
      <w:tr w14:paraId="075B4B3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3C6BCC7C">
            <w:pPr>
              <w:widowControl/>
              <w:jc w:val="center"/>
              <w:rPr>
                <w:color w:val="auto"/>
                <w:kern w:val="0"/>
                <w:szCs w:val="21"/>
              </w:rPr>
            </w:pPr>
          </w:p>
        </w:tc>
        <w:tc>
          <w:tcPr>
            <w:tcW w:w="1216" w:type="pct"/>
            <w:vMerge w:val="continue"/>
            <w:tcBorders>
              <w:tl2br w:val="nil"/>
              <w:tr2bl w:val="nil"/>
            </w:tcBorders>
            <w:vAlign w:val="center"/>
          </w:tcPr>
          <w:p w14:paraId="429FBD6C">
            <w:pPr>
              <w:widowControl/>
              <w:adjustRightInd w:val="0"/>
              <w:snapToGrid w:val="0"/>
              <w:jc w:val="center"/>
              <w:rPr>
                <w:color w:val="auto"/>
                <w:kern w:val="0"/>
                <w:szCs w:val="21"/>
              </w:rPr>
            </w:pPr>
          </w:p>
        </w:tc>
        <w:tc>
          <w:tcPr>
            <w:tcW w:w="817" w:type="pct"/>
            <w:tcBorders>
              <w:tl2br w:val="nil"/>
              <w:tr2bl w:val="nil"/>
            </w:tcBorders>
            <w:shd w:val="clear" w:color="auto" w:fill="auto"/>
            <w:vAlign w:val="center"/>
          </w:tcPr>
          <w:p w14:paraId="142230A3">
            <w:pPr>
              <w:pStyle w:val="105"/>
              <w:spacing w:line="240" w:lineRule="exact"/>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SO</w:t>
            </w:r>
            <w:r>
              <w:rPr>
                <w:rFonts w:hint="eastAsia"/>
                <w:color w:val="auto"/>
                <w:kern w:val="0"/>
                <w:sz w:val="21"/>
                <w:szCs w:val="21"/>
                <w:vertAlign w:val="subscript"/>
                <w:lang w:val="en-US" w:eastAsia="zh-CN"/>
              </w:rPr>
              <w:t>2</w:t>
            </w:r>
          </w:p>
        </w:tc>
        <w:tc>
          <w:tcPr>
            <w:tcW w:w="2753" w:type="dxa"/>
            <w:tcBorders>
              <w:tl2br w:val="nil"/>
              <w:tr2bl w:val="nil"/>
            </w:tcBorders>
            <w:vAlign w:val="center"/>
          </w:tcPr>
          <w:p w14:paraId="5124E2DB">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0.33</w:t>
            </w:r>
          </w:p>
        </w:tc>
        <w:tc>
          <w:tcPr>
            <w:tcW w:w="714" w:type="pct"/>
            <w:vMerge w:val="continue"/>
            <w:tcBorders>
              <w:tl2br w:val="nil"/>
              <w:tr2bl w:val="nil"/>
            </w:tcBorders>
            <w:vAlign w:val="center"/>
          </w:tcPr>
          <w:p w14:paraId="1B16FE8E">
            <w:pPr>
              <w:jc w:val="center"/>
              <w:rPr>
                <w:color w:val="auto"/>
                <w:szCs w:val="21"/>
              </w:rPr>
            </w:pPr>
          </w:p>
        </w:tc>
        <w:tc>
          <w:tcPr>
            <w:tcW w:w="642" w:type="pct"/>
            <w:vMerge w:val="continue"/>
            <w:tcBorders>
              <w:tl2br w:val="nil"/>
              <w:tr2bl w:val="nil"/>
            </w:tcBorders>
            <w:vAlign w:val="center"/>
          </w:tcPr>
          <w:p w14:paraId="3127DE9D">
            <w:pPr>
              <w:widowControl/>
              <w:adjustRightInd w:val="0"/>
              <w:snapToGrid w:val="0"/>
              <w:jc w:val="center"/>
              <w:rPr>
                <w:color w:val="auto"/>
                <w:szCs w:val="21"/>
              </w:rPr>
            </w:pPr>
          </w:p>
        </w:tc>
      </w:tr>
      <w:tr w14:paraId="63597B5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562D83F9">
            <w:pPr>
              <w:widowControl/>
              <w:jc w:val="center"/>
              <w:rPr>
                <w:color w:val="auto"/>
                <w:kern w:val="0"/>
                <w:szCs w:val="21"/>
              </w:rPr>
            </w:pPr>
          </w:p>
        </w:tc>
        <w:tc>
          <w:tcPr>
            <w:tcW w:w="1216" w:type="pct"/>
            <w:vMerge w:val="continue"/>
            <w:tcBorders>
              <w:tl2br w:val="nil"/>
              <w:tr2bl w:val="nil"/>
            </w:tcBorders>
            <w:vAlign w:val="center"/>
          </w:tcPr>
          <w:p w14:paraId="6DA34591">
            <w:pPr>
              <w:widowControl/>
              <w:adjustRightInd w:val="0"/>
              <w:snapToGrid w:val="0"/>
              <w:jc w:val="center"/>
              <w:rPr>
                <w:color w:val="auto"/>
                <w:kern w:val="0"/>
                <w:szCs w:val="21"/>
              </w:rPr>
            </w:pPr>
          </w:p>
        </w:tc>
        <w:tc>
          <w:tcPr>
            <w:tcW w:w="817" w:type="pct"/>
            <w:tcBorders>
              <w:tl2br w:val="nil"/>
              <w:tr2bl w:val="nil"/>
            </w:tcBorders>
            <w:shd w:val="clear" w:color="auto" w:fill="auto"/>
            <w:vAlign w:val="center"/>
          </w:tcPr>
          <w:p w14:paraId="1DB508B0">
            <w:pPr>
              <w:pStyle w:val="105"/>
              <w:spacing w:line="240" w:lineRule="exact"/>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NO</w:t>
            </w:r>
            <w:r>
              <w:rPr>
                <w:rFonts w:hint="eastAsia"/>
                <w:color w:val="auto"/>
                <w:kern w:val="0"/>
                <w:sz w:val="21"/>
                <w:szCs w:val="21"/>
                <w:vertAlign w:val="subscript"/>
                <w:lang w:val="en-US" w:eastAsia="zh-CN"/>
              </w:rPr>
              <w:t>x</w:t>
            </w:r>
          </w:p>
        </w:tc>
        <w:tc>
          <w:tcPr>
            <w:tcW w:w="2753" w:type="dxa"/>
            <w:tcBorders>
              <w:tl2br w:val="nil"/>
              <w:tr2bl w:val="nil"/>
            </w:tcBorders>
            <w:vAlign w:val="center"/>
          </w:tcPr>
          <w:p w14:paraId="0BAFD67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6</w:t>
            </w:r>
            <w:r>
              <w:rPr>
                <w:rFonts w:hint="eastAsia" w:ascii="Times New Roman" w:hAnsi="Times New Roman" w:eastAsia="宋体" w:cs="Times New Roman"/>
                <w:color w:val="auto"/>
                <w:szCs w:val="21"/>
                <w:lang w:val="en-US" w:eastAsia="zh-CN"/>
              </w:rPr>
              <w:t>9</w:t>
            </w:r>
          </w:p>
        </w:tc>
        <w:tc>
          <w:tcPr>
            <w:tcW w:w="714" w:type="pct"/>
            <w:vMerge w:val="continue"/>
            <w:tcBorders>
              <w:tl2br w:val="nil"/>
              <w:tr2bl w:val="nil"/>
            </w:tcBorders>
            <w:vAlign w:val="center"/>
          </w:tcPr>
          <w:p w14:paraId="3A400B07">
            <w:pPr>
              <w:jc w:val="center"/>
              <w:rPr>
                <w:color w:val="auto"/>
                <w:szCs w:val="21"/>
              </w:rPr>
            </w:pPr>
          </w:p>
        </w:tc>
        <w:tc>
          <w:tcPr>
            <w:tcW w:w="642" w:type="pct"/>
            <w:vMerge w:val="continue"/>
            <w:tcBorders>
              <w:tl2br w:val="nil"/>
              <w:tr2bl w:val="nil"/>
            </w:tcBorders>
            <w:vAlign w:val="center"/>
          </w:tcPr>
          <w:p w14:paraId="29A73E23">
            <w:pPr>
              <w:widowControl/>
              <w:adjustRightInd w:val="0"/>
              <w:snapToGrid w:val="0"/>
              <w:jc w:val="center"/>
              <w:rPr>
                <w:color w:val="auto"/>
                <w:szCs w:val="21"/>
              </w:rPr>
            </w:pPr>
          </w:p>
        </w:tc>
      </w:tr>
      <w:tr w14:paraId="58C6CE1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40" w:hRule="atLeast"/>
          <w:jc w:val="center"/>
        </w:trPr>
        <w:tc>
          <w:tcPr>
            <w:tcW w:w="631" w:type="pct"/>
            <w:vMerge w:val="continue"/>
            <w:tcBorders>
              <w:tl2br w:val="nil"/>
              <w:tr2bl w:val="nil"/>
            </w:tcBorders>
            <w:vAlign w:val="center"/>
          </w:tcPr>
          <w:p w14:paraId="1D5F852B">
            <w:pPr>
              <w:widowControl/>
              <w:jc w:val="center"/>
              <w:rPr>
                <w:color w:val="auto"/>
                <w:kern w:val="0"/>
                <w:szCs w:val="21"/>
              </w:rPr>
            </w:pPr>
          </w:p>
        </w:tc>
        <w:tc>
          <w:tcPr>
            <w:tcW w:w="1216" w:type="pct"/>
            <w:vMerge w:val="continue"/>
            <w:tcBorders>
              <w:tl2br w:val="nil"/>
              <w:tr2bl w:val="nil"/>
            </w:tcBorders>
            <w:vAlign w:val="center"/>
          </w:tcPr>
          <w:p w14:paraId="03F40028">
            <w:pPr>
              <w:widowControl/>
              <w:adjustRightInd w:val="0"/>
              <w:snapToGrid w:val="0"/>
              <w:jc w:val="center"/>
              <w:rPr>
                <w:color w:val="auto"/>
                <w:kern w:val="0"/>
                <w:szCs w:val="21"/>
              </w:rPr>
            </w:pPr>
          </w:p>
        </w:tc>
        <w:tc>
          <w:tcPr>
            <w:tcW w:w="817" w:type="pct"/>
            <w:tcBorders>
              <w:tl2br w:val="nil"/>
              <w:tr2bl w:val="nil"/>
            </w:tcBorders>
            <w:shd w:val="clear" w:color="auto" w:fill="auto"/>
            <w:vAlign w:val="center"/>
          </w:tcPr>
          <w:p w14:paraId="14FF8A3D">
            <w:pPr>
              <w:pStyle w:val="105"/>
              <w:spacing w:line="240" w:lineRule="exact"/>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汞</w:t>
            </w:r>
          </w:p>
        </w:tc>
        <w:tc>
          <w:tcPr>
            <w:tcW w:w="2753" w:type="dxa"/>
            <w:tcBorders>
              <w:tl2br w:val="nil"/>
              <w:tr2bl w:val="nil"/>
            </w:tcBorders>
            <w:vAlign w:val="center"/>
          </w:tcPr>
          <w:p w14:paraId="090D505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w:t>
            </w:r>
            <w:r>
              <w:rPr>
                <w:rFonts w:hint="eastAsia" w:cs="Times New Roman"/>
                <w:color w:val="auto"/>
                <w:szCs w:val="21"/>
                <w:lang w:val="en-US" w:eastAsia="zh-CN"/>
              </w:rPr>
              <w:t>4</w:t>
            </w:r>
          </w:p>
        </w:tc>
        <w:tc>
          <w:tcPr>
            <w:tcW w:w="714" w:type="pct"/>
            <w:vMerge w:val="continue"/>
            <w:tcBorders>
              <w:tl2br w:val="nil"/>
              <w:tr2bl w:val="nil"/>
            </w:tcBorders>
            <w:vAlign w:val="center"/>
          </w:tcPr>
          <w:p w14:paraId="7506EB4C">
            <w:pPr>
              <w:jc w:val="center"/>
              <w:rPr>
                <w:color w:val="auto"/>
                <w:szCs w:val="21"/>
              </w:rPr>
            </w:pPr>
          </w:p>
        </w:tc>
        <w:tc>
          <w:tcPr>
            <w:tcW w:w="642" w:type="pct"/>
            <w:vMerge w:val="continue"/>
            <w:tcBorders>
              <w:tl2br w:val="nil"/>
              <w:tr2bl w:val="nil"/>
            </w:tcBorders>
            <w:vAlign w:val="center"/>
          </w:tcPr>
          <w:p w14:paraId="4D0D51C9">
            <w:pPr>
              <w:widowControl/>
              <w:adjustRightInd w:val="0"/>
              <w:snapToGrid w:val="0"/>
              <w:jc w:val="center"/>
              <w:rPr>
                <w:color w:val="auto"/>
                <w:szCs w:val="21"/>
              </w:rPr>
            </w:pPr>
          </w:p>
        </w:tc>
      </w:tr>
    </w:tbl>
    <w:p w14:paraId="3E790870">
      <w:pPr>
        <w:adjustRightInd w:val="0"/>
        <w:snapToGrid w:val="0"/>
        <w:spacing w:before="120" w:beforeLines="50" w:line="360" w:lineRule="auto"/>
        <w:ind w:firstLine="480" w:firstLineChars="200"/>
        <w:rPr>
          <w:color w:val="auto"/>
          <w:sz w:val="24"/>
          <w:szCs w:val="24"/>
        </w:rPr>
      </w:pPr>
      <w:r>
        <w:rPr>
          <w:rFonts w:hint="eastAsia"/>
          <w:color w:val="auto"/>
          <w:sz w:val="24"/>
          <w:szCs w:val="24"/>
        </w:rPr>
        <w:t>为</w:t>
      </w:r>
      <w:r>
        <w:rPr>
          <w:color w:val="auto"/>
          <w:sz w:val="24"/>
          <w:szCs w:val="24"/>
        </w:rPr>
        <w:t>避免</w:t>
      </w:r>
      <w:r>
        <w:rPr>
          <w:rFonts w:hint="eastAsia"/>
          <w:color w:val="auto"/>
          <w:sz w:val="24"/>
          <w:szCs w:val="24"/>
        </w:rPr>
        <w:t>废气非正常</w:t>
      </w:r>
      <w:r>
        <w:rPr>
          <w:color w:val="auto"/>
          <w:sz w:val="24"/>
          <w:szCs w:val="24"/>
        </w:rPr>
        <w:t>排放发生</w:t>
      </w:r>
      <w:r>
        <w:rPr>
          <w:rFonts w:hint="eastAsia"/>
          <w:color w:val="auto"/>
          <w:sz w:val="24"/>
          <w:szCs w:val="24"/>
        </w:rPr>
        <w:t>，</w:t>
      </w:r>
      <w:r>
        <w:rPr>
          <w:color w:val="auto"/>
          <w:sz w:val="24"/>
          <w:szCs w:val="24"/>
        </w:rPr>
        <w:t>企业必须做好污染治理设施的日常维护与</w:t>
      </w:r>
      <w:r>
        <w:rPr>
          <w:rFonts w:hint="eastAsia"/>
          <w:color w:val="auto"/>
          <w:sz w:val="24"/>
          <w:szCs w:val="24"/>
        </w:rPr>
        <w:t>非正常工况下</w:t>
      </w:r>
      <w:r>
        <w:rPr>
          <w:color w:val="auto"/>
          <w:sz w:val="24"/>
          <w:szCs w:val="24"/>
        </w:rPr>
        <w:t>排放的防护措施</w:t>
      </w:r>
      <w:r>
        <w:rPr>
          <w:rFonts w:hint="eastAsia"/>
          <w:color w:val="auto"/>
          <w:sz w:val="24"/>
          <w:szCs w:val="24"/>
        </w:rPr>
        <w:t>。</w:t>
      </w:r>
      <w:r>
        <w:rPr>
          <w:color w:val="auto"/>
          <w:sz w:val="24"/>
          <w:szCs w:val="24"/>
        </w:rPr>
        <w:t>一旦发生事故时，能及时维修并采取相应的防护措施，将污染影响降到最小，建议建设单位做好以下防范工作：</w:t>
      </w:r>
    </w:p>
    <w:p w14:paraId="6CE004A3">
      <w:pPr>
        <w:pStyle w:val="17"/>
        <w:widowControl/>
        <w:snapToGrid w:val="0"/>
        <w:spacing w:line="360" w:lineRule="auto"/>
        <w:ind w:right="0" w:firstLine="480" w:firstLineChars="200"/>
        <w:rPr>
          <w:rFonts w:ascii="Times New Roman"/>
          <w:color w:val="auto"/>
          <w:szCs w:val="24"/>
        </w:rPr>
      </w:pPr>
      <w:r>
        <w:rPr>
          <w:rFonts w:ascii="Times New Roman"/>
          <w:color w:val="auto"/>
          <w:szCs w:val="24"/>
        </w:rPr>
        <w:t>①</w:t>
      </w:r>
      <w:r>
        <w:rPr>
          <w:rFonts w:hint="eastAsia" w:ascii="Times New Roman"/>
          <w:color w:val="auto"/>
          <w:szCs w:val="24"/>
        </w:rPr>
        <w:t>加强</w:t>
      </w:r>
      <w:r>
        <w:rPr>
          <w:rFonts w:ascii="Times New Roman"/>
          <w:color w:val="auto"/>
          <w:szCs w:val="24"/>
        </w:rPr>
        <w:t>废气处理设施的维护，及时发现处理设施的隐患，确保废气处理系统正常运行；开、停、检修要有预案，有严密周全的计划，确保不发生非正常排放，或使影响最小。</w:t>
      </w:r>
    </w:p>
    <w:p w14:paraId="1FD7AE21">
      <w:pPr>
        <w:adjustRightInd w:val="0"/>
        <w:snapToGrid w:val="0"/>
        <w:spacing w:line="360" w:lineRule="auto"/>
        <w:ind w:firstLine="480" w:firstLineChars="200"/>
        <w:rPr>
          <w:color w:val="auto"/>
          <w:sz w:val="24"/>
          <w:szCs w:val="24"/>
        </w:rPr>
      </w:pPr>
      <w:r>
        <w:rPr>
          <w:color w:val="auto"/>
          <w:sz w:val="24"/>
          <w:szCs w:val="24"/>
        </w:rPr>
        <w:t>②设有备用电源和备用处理设备和零件，以备停电或设备出现故障时保障及时更换使废气做到达标排放。</w:t>
      </w:r>
    </w:p>
    <w:p w14:paraId="536B75D8">
      <w:pPr>
        <w:spacing w:line="360" w:lineRule="auto"/>
        <w:ind w:firstLine="480" w:firstLineChars="200"/>
        <w:rPr>
          <w:color w:val="auto"/>
          <w:sz w:val="24"/>
          <w:szCs w:val="24"/>
        </w:rPr>
      </w:pPr>
      <w:r>
        <w:rPr>
          <w:color w:val="auto"/>
          <w:sz w:val="24"/>
          <w:szCs w:val="24"/>
        </w:rPr>
        <w:t>③对员工进行岗位培训，做好值班记录，实行岗位责任制</w:t>
      </w:r>
      <w:r>
        <w:rPr>
          <w:rFonts w:hint="eastAsia"/>
          <w:color w:val="auto"/>
          <w:sz w:val="24"/>
          <w:szCs w:val="24"/>
        </w:rPr>
        <w:t>。</w:t>
      </w:r>
    </w:p>
    <w:p w14:paraId="05D83C66">
      <w:pPr>
        <w:pStyle w:val="3"/>
        <w:spacing w:before="0" w:after="0" w:line="360" w:lineRule="auto"/>
        <w:rPr>
          <w:rFonts w:eastAsia="宋体"/>
          <w:color w:val="auto"/>
          <w:kern w:val="0"/>
          <w:szCs w:val="28"/>
        </w:rPr>
      </w:pPr>
      <w:bookmarkStart w:id="76" w:name="_Toc22656"/>
      <w:bookmarkStart w:id="77" w:name="_Toc1976"/>
      <w:r>
        <w:rPr>
          <w:rFonts w:hint="eastAsia" w:eastAsia="宋体"/>
          <w:color w:val="auto"/>
          <w:kern w:val="0"/>
          <w:szCs w:val="28"/>
        </w:rPr>
        <w:t>4.5无组织影响分析</w:t>
      </w:r>
      <w:bookmarkEnd w:id="76"/>
      <w:bookmarkEnd w:id="77"/>
    </w:p>
    <w:p w14:paraId="538BBEC3">
      <w:pPr>
        <w:snapToGrid w:val="0"/>
        <w:spacing w:line="360" w:lineRule="auto"/>
        <w:ind w:firstLine="480" w:firstLineChars="200"/>
        <w:rPr>
          <w:color w:val="auto"/>
          <w:sz w:val="24"/>
          <w:szCs w:val="24"/>
        </w:rPr>
      </w:pPr>
      <w:r>
        <w:rPr>
          <w:color w:val="auto"/>
          <w:sz w:val="24"/>
          <w:szCs w:val="24"/>
        </w:rPr>
        <w:t>对本项目</w:t>
      </w:r>
      <w:bookmarkStart w:id="78" w:name="_Hlk96205899"/>
      <w:r>
        <w:rPr>
          <w:color w:val="auto"/>
          <w:sz w:val="24"/>
          <w:szCs w:val="24"/>
        </w:rPr>
        <w:t>无组织废气排放对厂界污染物浓度</w:t>
      </w:r>
      <w:bookmarkEnd w:id="78"/>
      <w:r>
        <w:rPr>
          <w:color w:val="auto"/>
          <w:sz w:val="24"/>
          <w:szCs w:val="24"/>
        </w:rPr>
        <w:t>贡献进行预测，预测结果见下表。由预测结果可知，本项目</w:t>
      </w:r>
      <w:r>
        <w:rPr>
          <w:rFonts w:hint="eastAsia"/>
          <w:color w:val="auto"/>
          <w:sz w:val="24"/>
          <w:szCs w:val="24"/>
        </w:rPr>
        <w:t>无组织废气排放对厂界污染物浓度</w:t>
      </w:r>
      <w:r>
        <w:rPr>
          <w:color w:val="auto"/>
          <w:sz w:val="24"/>
          <w:szCs w:val="24"/>
        </w:rPr>
        <w:t>均低于相应标准限值</w:t>
      </w:r>
      <w:r>
        <w:rPr>
          <w:rFonts w:hint="eastAsia"/>
          <w:color w:val="auto"/>
          <w:sz w:val="24"/>
          <w:szCs w:val="24"/>
        </w:rPr>
        <w:t>，厂界</w:t>
      </w:r>
      <w:r>
        <w:rPr>
          <w:rFonts w:hint="eastAsia"/>
          <w:color w:val="auto"/>
          <w:sz w:val="24"/>
          <w:szCs w:val="24"/>
          <w:lang w:val="en-US" w:eastAsia="zh-CN"/>
        </w:rPr>
        <w:t>颗粒物</w:t>
      </w:r>
      <w:r>
        <w:rPr>
          <w:rFonts w:hint="eastAsia"/>
          <w:color w:val="auto"/>
          <w:sz w:val="24"/>
          <w:szCs w:val="24"/>
        </w:rPr>
        <w:t>、非甲烷总烃达标，影响不大</w:t>
      </w:r>
      <w:r>
        <w:rPr>
          <w:color w:val="auto"/>
          <w:sz w:val="24"/>
          <w:szCs w:val="24"/>
        </w:rPr>
        <w:t>。</w:t>
      </w:r>
    </w:p>
    <w:p w14:paraId="5184CA24">
      <w:pPr>
        <w:jc w:val="center"/>
        <w:rPr>
          <w:b/>
          <w:color w:val="auto"/>
          <w:sz w:val="24"/>
          <w:szCs w:val="24"/>
        </w:rPr>
      </w:pPr>
      <w:r>
        <w:rPr>
          <w:b/>
          <w:color w:val="auto"/>
          <w:sz w:val="24"/>
          <w:szCs w:val="24"/>
        </w:rPr>
        <w:t>表</w:t>
      </w:r>
      <w:r>
        <w:rPr>
          <w:rFonts w:hint="eastAsia"/>
          <w:b/>
          <w:color w:val="auto"/>
          <w:sz w:val="24"/>
          <w:szCs w:val="24"/>
        </w:rPr>
        <w:t>4-1</w:t>
      </w:r>
      <w:r>
        <w:rPr>
          <w:rFonts w:hint="eastAsia"/>
          <w:b/>
          <w:color w:val="auto"/>
          <w:sz w:val="24"/>
          <w:szCs w:val="24"/>
          <w:lang w:val="en-US" w:eastAsia="zh-CN"/>
        </w:rPr>
        <w:t>4</w:t>
      </w:r>
      <w:r>
        <w:rPr>
          <w:b/>
          <w:color w:val="auto"/>
          <w:sz w:val="24"/>
          <w:szCs w:val="24"/>
        </w:rPr>
        <w:t xml:space="preserve">  正常工况</w:t>
      </w:r>
      <w:r>
        <w:rPr>
          <w:rFonts w:hint="eastAsia"/>
          <w:b/>
          <w:color w:val="auto"/>
          <w:sz w:val="24"/>
          <w:szCs w:val="24"/>
        </w:rPr>
        <w:t>下</w:t>
      </w:r>
      <w:r>
        <w:rPr>
          <w:b/>
          <w:color w:val="auto"/>
          <w:sz w:val="24"/>
          <w:szCs w:val="24"/>
        </w:rPr>
        <w:t>无组织废气厂界浓度预测结果</w:t>
      </w:r>
    </w:p>
    <w:tbl>
      <w:tblPr>
        <w:tblStyle w:val="37"/>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936"/>
        <w:gridCol w:w="1937"/>
        <w:gridCol w:w="1937"/>
        <w:gridCol w:w="2500"/>
      </w:tblGrid>
      <w:tr w14:paraId="6BCD4C5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40" w:hRule="atLeast"/>
          <w:jc w:val="center"/>
        </w:trPr>
        <w:tc>
          <w:tcPr>
            <w:tcW w:w="1165" w:type="pct"/>
            <w:tcBorders>
              <w:tl2br w:val="nil"/>
              <w:tr2bl w:val="nil"/>
            </w:tcBorders>
            <w:vAlign w:val="center"/>
          </w:tcPr>
          <w:p w14:paraId="04E44EF4">
            <w:pPr>
              <w:jc w:val="center"/>
              <w:rPr>
                <w:b/>
                <w:bCs/>
                <w:color w:val="auto"/>
              </w:rPr>
            </w:pPr>
            <w:r>
              <w:rPr>
                <w:b/>
                <w:bCs/>
                <w:color w:val="auto"/>
                <w:sz w:val="23"/>
                <w:szCs w:val="23"/>
              </w:rPr>
              <w:t>污染源名称</w:t>
            </w:r>
          </w:p>
        </w:tc>
        <w:tc>
          <w:tcPr>
            <w:tcW w:w="1165" w:type="pct"/>
            <w:tcBorders>
              <w:tl2br w:val="nil"/>
              <w:tr2bl w:val="nil"/>
            </w:tcBorders>
            <w:vAlign w:val="center"/>
          </w:tcPr>
          <w:p w14:paraId="0818B05E">
            <w:pPr>
              <w:jc w:val="center"/>
              <w:rPr>
                <w:b/>
                <w:color w:val="auto"/>
                <w:szCs w:val="21"/>
              </w:rPr>
            </w:pPr>
            <w:r>
              <w:rPr>
                <w:b/>
                <w:color w:val="auto"/>
                <w:szCs w:val="21"/>
              </w:rPr>
              <w:t>污染物</w:t>
            </w:r>
          </w:p>
        </w:tc>
        <w:tc>
          <w:tcPr>
            <w:tcW w:w="1165" w:type="pct"/>
            <w:tcBorders>
              <w:tl2br w:val="nil"/>
              <w:tr2bl w:val="nil"/>
            </w:tcBorders>
            <w:vAlign w:val="center"/>
          </w:tcPr>
          <w:p w14:paraId="00055DE3">
            <w:pPr>
              <w:jc w:val="center"/>
              <w:rPr>
                <w:b/>
                <w:color w:val="auto"/>
                <w:szCs w:val="21"/>
              </w:rPr>
            </w:pPr>
            <w:r>
              <w:rPr>
                <w:b/>
                <w:color w:val="auto"/>
                <w:szCs w:val="21"/>
              </w:rPr>
              <w:t>厂界</w:t>
            </w:r>
            <w:r>
              <w:rPr>
                <w:rFonts w:hint="eastAsia"/>
                <w:b/>
                <w:color w:val="auto"/>
                <w:szCs w:val="21"/>
              </w:rPr>
              <w:t>（m</w:t>
            </w:r>
            <w:r>
              <w:rPr>
                <w:b/>
                <w:color w:val="auto"/>
                <w:sz w:val="23"/>
                <w:szCs w:val="23"/>
              </w:rPr>
              <w:t>g/m³</w:t>
            </w:r>
            <w:r>
              <w:rPr>
                <w:rFonts w:hint="eastAsia"/>
                <w:b/>
                <w:color w:val="auto"/>
                <w:sz w:val="23"/>
                <w:szCs w:val="23"/>
              </w:rPr>
              <w:t>）</w:t>
            </w:r>
          </w:p>
        </w:tc>
        <w:tc>
          <w:tcPr>
            <w:tcW w:w="1504" w:type="pct"/>
            <w:tcBorders>
              <w:tl2br w:val="nil"/>
              <w:tr2bl w:val="nil"/>
            </w:tcBorders>
            <w:vAlign w:val="center"/>
          </w:tcPr>
          <w:p w14:paraId="3DAE8F1D">
            <w:pPr>
              <w:jc w:val="center"/>
              <w:rPr>
                <w:b/>
                <w:color w:val="auto"/>
                <w:szCs w:val="21"/>
              </w:rPr>
            </w:pPr>
            <w:r>
              <w:rPr>
                <w:b/>
                <w:color w:val="auto"/>
                <w:szCs w:val="21"/>
              </w:rPr>
              <w:t>浓度限值</w:t>
            </w:r>
            <w:r>
              <w:rPr>
                <w:rFonts w:hint="eastAsia"/>
                <w:b/>
                <w:color w:val="auto"/>
                <w:szCs w:val="21"/>
              </w:rPr>
              <w:t>（</w:t>
            </w:r>
            <w:r>
              <w:rPr>
                <w:rFonts w:hint="eastAsia"/>
                <w:b/>
                <w:color w:val="auto"/>
                <w:sz w:val="23"/>
                <w:szCs w:val="23"/>
              </w:rPr>
              <w:t>m</w:t>
            </w:r>
            <w:r>
              <w:rPr>
                <w:b/>
                <w:color w:val="auto"/>
                <w:sz w:val="23"/>
                <w:szCs w:val="23"/>
              </w:rPr>
              <w:t>g/m³</w:t>
            </w:r>
            <w:r>
              <w:rPr>
                <w:rFonts w:hint="eastAsia"/>
                <w:b/>
                <w:color w:val="auto"/>
                <w:sz w:val="23"/>
                <w:szCs w:val="23"/>
              </w:rPr>
              <w:t>）</w:t>
            </w:r>
          </w:p>
        </w:tc>
      </w:tr>
      <w:tr w14:paraId="01C24E1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165" w:type="pct"/>
            <w:vMerge w:val="restart"/>
            <w:tcBorders>
              <w:tl2br w:val="nil"/>
              <w:tr2bl w:val="nil"/>
            </w:tcBorders>
            <w:vAlign w:val="center"/>
          </w:tcPr>
          <w:p w14:paraId="412E17BA">
            <w:pPr>
              <w:jc w:val="center"/>
              <w:rPr>
                <w:color w:val="auto"/>
              </w:rPr>
            </w:pPr>
            <w:r>
              <w:rPr>
                <w:rFonts w:hint="eastAsia"/>
                <w:bCs/>
                <w:color w:val="auto"/>
                <w:szCs w:val="21"/>
              </w:rPr>
              <w:t>生产车间</w:t>
            </w:r>
          </w:p>
        </w:tc>
        <w:tc>
          <w:tcPr>
            <w:tcW w:w="1165" w:type="pct"/>
            <w:tcBorders>
              <w:tl2br w:val="nil"/>
              <w:tr2bl w:val="nil"/>
            </w:tcBorders>
            <w:vAlign w:val="center"/>
          </w:tcPr>
          <w:p w14:paraId="6ECF655A">
            <w:pPr>
              <w:pStyle w:val="105"/>
              <w:spacing w:line="240" w:lineRule="exact"/>
              <w:rPr>
                <w:bCs/>
                <w:color w:val="auto"/>
                <w:sz w:val="21"/>
                <w:szCs w:val="21"/>
              </w:rPr>
            </w:pPr>
            <w:r>
              <w:rPr>
                <w:bCs/>
                <w:color w:val="auto"/>
                <w:sz w:val="21"/>
                <w:szCs w:val="21"/>
              </w:rPr>
              <w:t>非甲烷总烃</w:t>
            </w:r>
          </w:p>
        </w:tc>
        <w:tc>
          <w:tcPr>
            <w:tcW w:w="1165" w:type="pct"/>
            <w:tcBorders>
              <w:tl2br w:val="nil"/>
              <w:tr2bl w:val="nil"/>
            </w:tcBorders>
            <w:vAlign w:val="center"/>
          </w:tcPr>
          <w:p w14:paraId="128829EB">
            <w:pPr>
              <w:jc w:val="center"/>
              <w:rPr>
                <w:rFonts w:hint="default" w:eastAsia="宋体"/>
                <w:color w:val="auto"/>
                <w:lang w:val="en-US" w:eastAsia="zh-CN"/>
              </w:rPr>
            </w:pPr>
            <w:r>
              <w:rPr>
                <w:rFonts w:hint="eastAsia"/>
                <w:color w:val="auto"/>
                <w:szCs w:val="22"/>
                <w:lang w:val="en-US" w:eastAsia="zh-CN"/>
              </w:rPr>
              <w:t>0.0072</w:t>
            </w:r>
          </w:p>
        </w:tc>
        <w:tc>
          <w:tcPr>
            <w:tcW w:w="1504" w:type="pct"/>
            <w:tcBorders>
              <w:tl2br w:val="nil"/>
              <w:tr2bl w:val="nil"/>
            </w:tcBorders>
            <w:vAlign w:val="center"/>
          </w:tcPr>
          <w:p w14:paraId="152F30B7">
            <w:pPr>
              <w:kinsoku w:val="0"/>
              <w:overflowPunct w:val="0"/>
              <w:adjustRightInd w:val="0"/>
              <w:snapToGrid w:val="0"/>
              <w:spacing w:before="24" w:after="24"/>
              <w:jc w:val="center"/>
              <w:rPr>
                <w:color w:val="auto"/>
                <w:szCs w:val="21"/>
              </w:rPr>
            </w:pPr>
            <w:r>
              <w:rPr>
                <w:rFonts w:hint="eastAsia"/>
                <w:color w:val="auto"/>
                <w:szCs w:val="21"/>
              </w:rPr>
              <w:t>4</w:t>
            </w:r>
          </w:p>
        </w:tc>
      </w:tr>
      <w:tr w14:paraId="1926607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165" w:type="pct"/>
            <w:vMerge w:val="continue"/>
          </w:tcPr>
          <w:p w14:paraId="7D485ADB">
            <w:pPr>
              <w:jc w:val="center"/>
              <w:rPr>
                <w:color w:val="auto"/>
                <w:sz w:val="23"/>
                <w:szCs w:val="23"/>
              </w:rPr>
            </w:pPr>
            <w:bookmarkStart w:id="79" w:name="_Toc22972"/>
          </w:p>
        </w:tc>
        <w:tc>
          <w:tcPr>
            <w:tcW w:w="0" w:type="auto"/>
            <w:vAlign w:val="center"/>
          </w:tcPr>
          <w:p w14:paraId="7CA4FCE9">
            <w:pPr>
              <w:pStyle w:val="105"/>
              <w:spacing w:line="240" w:lineRule="exact"/>
              <w:rPr>
                <w:bCs/>
                <w:color w:val="auto"/>
                <w:sz w:val="21"/>
                <w:szCs w:val="21"/>
              </w:rPr>
            </w:pPr>
            <w:r>
              <w:rPr>
                <w:bCs/>
                <w:color w:val="auto"/>
                <w:sz w:val="21"/>
                <w:szCs w:val="21"/>
              </w:rPr>
              <w:t>颗粒物</w:t>
            </w:r>
          </w:p>
        </w:tc>
        <w:tc>
          <w:tcPr>
            <w:tcW w:w="0" w:type="auto"/>
            <w:vAlign w:val="center"/>
          </w:tcPr>
          <w:p w14:paraId="2D40822B">
            <w:pPr>
              <w:jc w:val="center"/>
              <w:rPr>
                <w:rFonts w:hint="default" w:eastAsia="宋体"/>
                <w:color w:val="auto"/>
                <w:szCs w:val="22"/>
                <w:lang w:val="en-US" w:eastAsia="zh-CN"/>
              </w:rPr>
            </w:pPr>
            <w:r>
              <w:rPr>
                <w:rFonts w:hint="eastAsia"/>
                <w:color w:val="auto"/>
              </w:rPr>
              <w:t>0.0</w:t>
            </w:r>
            <w:r>
              <w:rPr>
                <w:rFonts w:hint="eastAsia"/>
                <w:color w:val="auto"/>
                <w:lang w:val="en-US" w:eastAsia="zh-CN"/>
              </w:rPr>
              <w:t>072</w:t>
            </w:r>
          </w:p>
        </w:tc>
        <w:tc>
          <w:tcPr>
            <w:tcW w:w="0" w:type="auto"/>
            <w:vAlign w:val="center"/>
          </w:tcPr>
          <w:p w14:paraId="2D982B81">
            <w:pPr>
              <w:kinsoku w:val="0"/>
              <w:overflowPunct w:val="0"/>
              <w:adjustRightInd w:val="0"/>
              <w:snapToGrid w:val="0"/>
              <w:jc w:val="center"/>
              <w:rPr>
                <w:color w:val="auto"/>
                <w:szCs w:val="21"/>
              </w:rPr>
            </w:pPr>
            <w:r>
              <w:rPr>
                <w:rFonts w:hint="eastAsia"/>
                <w:color w:val="auto"/>
                <w:szCs w:val="21"/>
              </w:rPr>
              <w:t>0.5</w:t>
            </w:r>
          </w:p>
        </w:tc>
      </w:tr>
    </w:tbl>
    <w:p w14:paraId="1AFF614A">
      <w:pPr>
        <w:pStyle w:val="3"/>
        <w:keepNext/>
        <w:keepLines/>
        <w:pageBreakBefore w:val="0"/>
        <w:widowControl w:val="0"/>
        <w:kinsoku/>
        <w:wordWrap/>
        <w:overflowPunct/>
        <w:topLinePunct w:val="0"/>
        <w:autoSpaceDE/>
        <w:autoSpaceDN/>
        <w:bidi w:val="0"/>
        <w:adjustRightInd/>
        <w:snapToGrid/>
        <w:spacing w:before="157" w:beforeLines="50" w:after="0" w:line="360" w:lineRule="auto"/>
        <w:textAlignment w:val="auto"/>
        <w:rPr>
          <w:rFonts w:eastAsia="宋体"/>
          <w:color w:val="auto"/>
          <w:kern w:val="0"/>
          <w:szCs w:val="28"/>
        </w:rPr>
      </w:pPr>
      <w:bookmarkStart w:id="80" w:name="_Toc21024"/>
      <w:r>
        <w:rPr>
          <w:rFonts w:hint="eastAsia" w:eastAsia="宋体"/>
          <w:color w:val="auto"/>
          <w:kern w:val="0"/>
          <w:szCs w:val="28"/>
        </w:rPr>
        <w:t>4.6</w:t>
      </w:r>
      <w:bookmarkEnd w:id="79"/>
      <w:r>
        <w:rPr>
          <w:rFonts w:hint="eastAsia" w:eastAsia="宋体"/>
          <w:color w:val="auto"/>
          <w:kern w:val="0"/>
          <w:szCs w:val="28"/>
        </w:rPr>
        <w:t>大气环境防护距离</w:t>
      </w:r>
      <w:bookmarkEnd w:id="80"/>
    </w:p>
    <w:p w14:paraId="4418369B">
      <w:pPr>
        <w:spacing w:line="360" w:lineRule="auto"/>
        <w:ind w:firstLine="480" w:firstLineChars="200"/>
        <w:rPr>
          <w:color w:val="auto"/>
          <w:sz w:val="24"/>
          <w:szCs w:val="24"/>
        </w:rPr>
      </w:pPr>
      <w:r>
        <w:rPr>
          <w:color w:val="auto"/>
          <w:sz w:val="24"/>
          <w:szCs w:val="24"/>
        </w:rPr>
        <w:t>根据《环境影响评价技术导则 大气环境》（HJ2.2-2018）中推荐的大气环境防护距离计算软件的计算得出建设项目无组织排放的废气均无超标点，即废气可满足厂界达标排放，不需要设置大气环境防护距离。</w:t>
      </w:r>
    </w:p>
    <w:p w14:paraId="46204DFB">
      <w:pPr>
        <w:pStyle w:val="3"/>
        <w:spacing w:before="0" w:after="0" w:line="360" w:lineRule="auto"/>
        <w:rPr>
          <w:rFonts w:eastAsia="宋体"/>
          <w:color w:val="auto"/>
          <w:kern w:val="0"/>
          <w:szCs w:val="28"/>
        </w:rPr>
      </w:pPr>
      <w:bookmarkStart w:id="81" w:name="_Toc12544"/>
      <w:bookmarkStart w:id="82" w:name="_Toc25794"/>
      <w:r>
        <w:rPr>
          <w:rFonts w:hint="eastAsia" w:eastAsia="宋体"/>
          <w:color w:val="auto"/>
          <w:kern w:val="0"/>
          <w:szCs w:val="28"/>
        </w:rPr>
        <w:t>4.7异味影响分析</w:t>
      </w:r>
      <w:bookmarkEnd w:id="81"/>
    </w:p>
    <w:p w14:paraId="360D9E85">
      <w:pPr>
        <w:autoSpaceDE w:val="0"/>
        <w:autoSpaceDN w:val="0"/>
        <w:adjustRightInd w:val="0"/>
        <w:snapToGrid w:val="0"/>
        <w:spacing w:line="400" w:lineRule="exact"/>
        <w:ind w:firstLine="480" w:firstLineChars="200"/>
        <w:rPr>
          <w:rFonts w:hint="eastAsia"/>
          <w:color w:val="auto"/>
          <w:kern w:val="0"/>
          <w:sz w:val="24"/>
          <w:szCs w:val="24"/>
        </w:rPr>
      </w:pPr>
      <w:r>
        <w:rPr>
          <w:rFonts w:hint="eastAsia"/>
          <w:color w:val="auto"/>
          <w:kern w:val="0"/>
          <w:sz w:val="24"/>
          <w:szCs w:val="24"/>
        </w:rPr>
        <w:t>本项目生产过程中产生的废气不能够100%捕集</w:t>
      </w:r>
      <w:r>
        <w:rPr>
          <w:rFonts w:hint="eastAsia"/>
          <w:color w:val="auto"/>
          <w:kern w:val="0"/>
          <w:sz w:val="24"/>
          <w:szCs w:val="24"/>
          <w:lang w:val="en-US" w:eastAsia="zh-CN"/>
        </w:rPr>
        <w:t>以及SNCR脱硝会产生极少量无组织排放的氨气</w:t>
      </w:r>
      <w:r>
        <w:rPr>
          <w:rFonts w:hint="eastAsia"/>
          <w:color w:val="auto"/>
          <w:kern w:val="0"/>
          <w:sz w:val="24"/>
          <w:szCs w:val="24"/>
        </w:rPr>
        <w:t>，该无组织废气对外环境的影响带有较强的主观性，将此部分废气以臭气浓度评价。</w:t>
      </w:r>
    </w:p>
    <w:p w14:paraId="7D2195D6">
      <w:pPr>
        <w:autoSpaceDE w:val="0"/>
        <w:autoSpaceDN w:val="0"/>
        <w:adjustRightInd w:val="0"/>
        <w:snapToGrid w:val="0"/>
        <w:spacing w:line="400" w:lineRule="exact"/>
        <w:ind w:firstLine="480" w:firstLineChars="200"/>
        <w:rPr>
          <w:rFonts w:hint="eastAsia" w:ascii="Times New Roman" w:hAnsi="Times New Roman" w:eastAsia="宋体" w:cs="Times New Roman"/>
          <w:color w:val="auto"/>
          <w:kern w:val="0"/>
          <w:sz w:val="24"/>
          <w:szCs w:val="24"/>
        </w:rPr>
      </w:pPr>
      <w:r>
        <w:rPr>
          <w:rFonts w:hint="eastAsia"/>
          <w:color w:val="auto"/>
          <w:kern w:val="0"/>
          <w:sz w:val="24"/>
          <w:szCs w:val="24"/>
          <w:lang w:val="en-US" w:eastAsia="zh-CN"/>
        </w:rPr>
        <w:t>本</w:t>
      </w:r>
      <w:r>
        <w:rPr>
          <w:rFonts w:hint="eastAsia"/>
          <w:color w:val="auto"/>
          <w:kern w:val="0"/>
          <w:sz w:val="24"/>
          <w:szCs w:val="24"/>
        </w:rPr>
        <w:t>项目异味主要来源于</w:t>
      </w:r>
      <w:r>
        <w:rPr>
          <w:rFonts w:hint="eastAsia"/>
          <w:color w:val="auto"/>
          <w:kern w:val="0"/>
          <w:sz w:val="24"/>
          <w:szCs w:val="24"/>
          <w:lang w:val="en-US" w:eastAsia="zh-CN"/>
        </w:rPr>
        <w:t>锅炉废气脱硝过程</w:t>
      </w:r>
      <w:r>
        <w:rPr>
          <w:rFonts w:hint="eastAsia"/>
          <w:color w:val="auto"/>
          <w:kern w:val="0"/>
          <w:sz w:val="24"/>
          <w:szCs w:val="24"/>
        </w:rPr>
        <w:t>中</w:t>
      </w:r>
      <w:r>
        <w:rPr>
          <w:rFonts w:hint="eastAsia"/>
          <w:color w:val="auto"/>
          <w:kern w:val="0"/>
          <w:sz w:val="24"/>
          <w:szCs w:val="24"/>
          <w:lang w:val="en-US" w:eastAsia="zh-CN"/>
        </w:rPr>
        <w:t>产生的</w:t>
      </w:r>
      <w:r>
        <w:rPr>
          <w:rFonts w:hint="eastAsia"/>
          <w:color w:val="auto"/>
          <w:kern w:val="0"/>
          <w:sz w:val="24"/>
          <w:szCs w:val="24"/>
        </w:rPr>
        <w:t>少量氨</w:t>
      </w:r>
      <w:r>
        <w:rPr>
          <w:rFonts w:hint="eastAsia"/>
          <w:color w:val="auto"/>
          <w:kern w:val="0"/>
          <w:sz w:val="24"/>
          <w:szCs w:val="24"/>
          <w:lang w:val="en-US" w:eastAsia="zh-CN"/>
        </w:rPr>
        <w:t>气</w:t>
      </w:r>
      <w:r>
        <w:rPr>
          <w:rFonts w:hint="eastAsia"/>
          <w:color w:val="auto"/>
          <w:kern w:val="0"/>
          <w:sz w:val="24"/>
          <w:szCs w:val="24"/>
        </w:rPr>
        <w:t>。</w:t>
      </w:r>
      <w:r>
        <w:rPr>
          <w:rFonts w:hint="eastAsia" w:ascii="Times New Roman" w:hAnsi="Times New Roman" w:eastAsia="宋体" w:cs="Times New Roman"/>
          <w:color w:val="auto"/>
          <w:kern w:val="0"/>
          <w:sz w:val="24"/>
          <w:szCs w:val="24"/>
        </w:rPr>
        <w:t>异味的主要危害为：</w:t>
      </w:r>
    </w:p>
    <w:p w14:paraId="5EEE3005">
      <w:pPr>
        <w:autoSpaceDE w:val="0"/>
        <w:autoSpaceDN w:val="0"/>
        <w:adjustRightInd w:val="0"/>
        <w:snapToGrid w:val="0"/>
        <w:spacing w:line="400" w:lineRule="exact"/>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①危害呼吸系统。人们突然闻到异味，就会产生反射性地抑制吸气使呼吸次数减少，深度变浅，甚至会暂时停止吸气，妨碍正常呼吸功能。</w:t>
      </w:r>
    </w:p>
    <w:p w14:paraId="59ABF093">
      <w:pPr>
        <w:autoSpaceDE w:val="0"/>
        <w:autoSpaceDN w:val="0"/>
        <w:adjustRightInd w:val="0"/>
        <w:snapToGrid w:val="0"/>
        <w:spacing w:line="400" w:lineRule="exact"/>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②危害消化系统。经常接触异味，会使人厌食、恶心，甚至呕吐，进而发展为消化功能减退。</w:t>
      </w:r>
    </w:p>
    <w:p w14:paraId="5D3646E0">
      <w:pPr>
        <w:autoSpaceDE w:val="0"/>
        <w:autoSpaceDN w:val="0"/>
        <w:adjustRightInd w:val="0"/>
        <w:snapToGrid w:val="0"/>
        <w:spacing w:line="400" w:lineRule="exact"/>
        <w:ind w:firstLine="480" w:firstLineChars="200"/>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③危害内分泌系统。经常受异味刺激，会使内分泌系统的分泌功能紊乱，影响机体的代谢活动。</w:t>
      </w:r>
    </w:p>
    <w:p w14:paraId="57851E1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④危害神经系统。长期受到一种或几种低浓度异味物质的刺激，会引起嗅觉脱失、嗅觉疲劳等障碍。“久闻而不知其臭”，使嗅觉丧失了第一道防御功能，但脑神经仍不断受到刺激和损伤，最后导致大脑皮质兴奋和抑制的调节功能失调。</w:t>
      </w:r>
    </w:p>
    <w:p w14:paraId="2C4C6E7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⑤对精神的影响。异味使人精神烦躁不安，思想不集中，工作效率减低，判断力和记忆力下降影响大脑的思考活动。</w:t>
      </w:r>
    </w:p>
    <w:p w14:paraId="65C29E5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FF0000"/>
          <w:kern w:val="0"/>
          <w:sz w:val="24"/>
          <w:szCs w:val="24"/>
          <w:lang w:val="en-US" w:eastAsia="zh-CN"/>
        </w:rPr>
      </w:pPr>
      <w:r>
        <w:rPr>
          <w:rFonts w:hint="eastAsia" w:cs="Times New Roman"/>
          <w:color w:val="FF0000"/>
          <w:kern w:val="0"/>
          <w:sz w:val="24"/>
          <w:szCs w:val="24"/>
          <w:lang w:val="en-US" w:eastAsia="zh-CN"/>
        </w:rPr>
        <w:t>本项目主要以为物质氨厂界落地浓度值见表4-15</w:t>
      </w:r>
    </w:p>
    <w:p w14:paraId="10F36ACA">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eastAsia="宋体" w:cs="Times New Roman"/>
          <w:b/>
          <w:color w:val="FF0000"/>
          <w:sz w:val="24"/>
          <w:szCs w:val="24"/>
          <w:lang w:val="en-US" w:eastAsia="zh-CN"/>
        </w:rPr>
      </w:pPr>
      <w:r>
        <w:rPr>
          <w:rFonts w:hint="eastAsia" w:ascii="Times New Roman" w:hAnsi="Times New Roman" w:eastAsia="宋体" w:cs="Times New Roman"/>
          <w:b/>
          <w:color w:val="FF0000"/>
          <w:sz w:val="24"/>
          <w:szCs w:val="24"/>
          <w:lang w:val="en-US" w:eastAsia="zh-CN"/>
        </w:rPr>
        <w:t>表4-1</w:t>
      </w:r>
      <w:r>
        <w:rPr>
          <w:rFonts w:hint="eastAsia" w:cs="Times New Roman"/>
          <w:b/>
          <w:color w:val="FF0000"/>
          <w:sz w:val="24"/>
          <w:szCs w:val="24"/>
          <w:lang w:val="en-US" w:eastAsia="zh-CN"/>
        </w:rPr>
        <w:t>5</w:t>
      </w:r>
      <w:r>
        <w:rPr>
          <w:rFonts w:hint="eastAsia" w:ascii="Times New Roman" w:hAnsi="Times New Roman" w:eastAsia="宋体" w:cs="Times New Roman"/>
          <w:b/>
          <w:color w:val="FF0000"/>
          <w:sz w:val="24"/>
          <w:szCs w:val="24"/>
          <w:lang w:val="en-US" w:eastAsia="zh-CN"/>
        </w:rPr>
        <w:t xml:space="preserve">  异味物质厂界落地浓度值</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993"/>
        <w:gridCol w:w="1795"/>
        <w:gridCol w:w="1673"/>
        <w:gridCol w:w="1569"/>
      </w:tblGrid>
      <w:tr w14:paraId="571DE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4" w:hRule="atLeast"/>
        </w:trPr>
        <w:tc>
          <w:tcPr>
            <w:tcW w:w="770" w:type="pct"/>
            <w:noWrap w:val="0"/>
            <w:tcMar>
              <w:left w:w="57" w:type="dxa"/>
              <w:right w:w="57" w:type="dxa"/>
            </w:tcMar>
            <w:vAlign w:val="center"/>
          </w:tcPr>
          <w:p w14:paraId="3755F51D">
            <w:pPr>
              <w:pStyle w:val="128"/>
              <w:spacing w:line="320" w:lineRule="exact"/>
              <w:rPr>
                <w:rFonts w:hint="default" w:eastAsia="宋体"/>
                <w:b/>
                <w:color w:val="FF0000"/>
                <w:sz w:val="21"/>
                <w:szCs w:val="21"/>
                <w:lang w:val="en-US" w:eastAsia="zh-CN"/>
              </w:rPr>
            </w:pPr>
            <w:r>
              <w:rPr>
                <w:rFonts w:hint="eastAsia"/>
                <w:b/>
                <w:color w:val="FF0000"/>
                <w:sz w:val="21"/>
                <w:szCs w:val="21"/>
                <w:lang w:val="en-US" w:eastAsia="zh-CN"/>
              </w:rPr>
              <w:t>污染物名称</w:t>
            </w:r>
          </w:p>
        </w:tc>
        <w:tc>
          <w:tcPr>
            <w:tcW w:w="1198" w:type="pct"/>
            <w:noWrap w:val="0"/>
            <w:tcMar>
              <w:left w:w="57" w:type="dxa"/>
              <w:right w:w="57" w:type="dxa"/>
            </w:tcMar>
            <w:vAlign w:val="center"/>
          </w:tcPr>
          <w:p w14:paraId="1C15831A">
            <w:pPr>
              <w:pStyle w:val="128"/>
              <w:spacing w:line="320" w:lineRule="exact"/>
              <w:rPr>
                <w:rFonts w:hint="default" w:eastAsia="宋体"/>
                <w:b/>
                <w:color w:val="FF0000"/>
                <w:sz w:val="21"/>
                <w:szCs w:val="21"/>
                <w:lang w:val="en-US" w:eastAsia="zh-CN"/>
              </w:rPr>
            </w:pPr>
            <w:r>
              <w:rPr>
                <w:rFonts w:hint="eastAsia"/>
                <w:b/>
                <w:color w:val="FF0000"/>
                <w:sz w:val="21"/>
                <w:szCs w:val="21"/>
                <w:lang w:val="en-US" w:eastAsia="zh-CN"/>
              </w:rPr>
              <w:t>下风向最大质量浓度（mg/m</w:t>
            </w:r>
            <w:r>
              <w:rPr>
                <w:rFonts w:hint="eastAsia"/>
                <w:b/>
                <w:color w:val="FF0000"/>
                <w:sz w:val="21"/>
                <w:szCs w:val="21"/>
                <w:vertAlign w:val="superscript"/>
                <w:lang w:val="en-US" w:eastAsia="zh-CN"/>
              </w:rPr>
              <w:t>3</w:t>
            </w:r>
            <w:r>
              <w:rPr>
                <w:rFonts w:hint="eastAsia"/>
                <w:b/>
                <w:color w:val="FF0000"/>
                <w:sz w:val="21"/>
                <w:szCs w:val="21"/>
                <w:lang w:val="en-US" w:eastAsia="zh-CN"/>
              </w:rPr>
              <w:t>）</w:t>
            </w:r>
          </w:p>
        </w:tc>
        <w:tc>
          <w:tcPr>
            <w:tcW w:w="1079" w:type="pct"/>
            <w:noWrap w:val="0"/>
            <w:tcMar>
              <w:left w:w="57" w:type="dxa"/>
              <w:right w:w="57" w:type="dxa"/>
            </w:tcMar>
            <w:vAlign w:val="center"/>
          </w:tcPr>
          <w:p w14:paraId="3808E14C">
            <w:pPr>
              <w:pStyle w:val="128"/>
              <w:spacing w:line="320" w:lineRule="exact"/>
              <w:rPr>
                <w:rFonts w:hint="default" w:eastAsia="宋体"/>
                <w:b/>
                <w:color w:val="FF0000"/>
                <w:sz w:val="21"/>
                <w:szCs w:val="21"/>
                <w:lang w:val="en-US" w:eastAsia="zh-CN"/>
              </w:rPr>
            </w:pPr>
            <w:r>
              <w:rPr>
                <w:rFonts w:hint="eastAsia"/>
                <w:b/>
                <w:color w:val="FF0000"/>
                <w:sz w:val="21"/>
                <w:szCs w:val="21"/>
                <w:lang w:val="en-US" w:eastAsia="zh-CN"/>
              </w:rPr>
              <w:t>下风向最大质量占标率（%）</w:t>
            </w:r>
          </w:p>
        </w:tc>
        <w:tc>
          <w:tcPr>
            <w:tcW w:w="1006" w:type="pct"/>
            <w:noWrap w:val="0"/>
            <w:tcMar>
              <w:left w:w="57" w:type="dxa"/>
              <w:right w:w="57" w:type="dxa"/>
            </w:tcMar>
            <w:vAlign w:val="center"/>
          </w:tcPr>
          <w:p w14:paraId="6D092674">
            <w:pPr>
              <w:pStyle w:val="128"/>
              <w:spacing w:line="320" w:lineRule="exact"/>
              <w:rPr>
                <w:rFonts w:hint="eastAsia" w:eastAsia="宋体"/>
                <w:b/>
                <w:color w:val="FF0000"/>
                <w:sz w:val="21"/>
                <w:szCs w:val="21"/>
                <w:lang w:val="en-US" w:eastAsia="zh-CN"/>
              </w:rPr>
            </w:pPr>
            <w:r>
              <w:rPr>
                <w:rFonts w:hint="eastAsia"/>
                <w:b/>
                <w:color w:val="FF0000"/>
                <w:sz w:val="21"/>
                <w:szCs w:val="21"/>
                <w:lang w:val="en-US" w:eastAsia="zh-CN"/>
              </w:rPr>
              <w:t>嗅阈值（mg/m</w:t>
            </w:r>
            <w:r>
              <w:rPr>
                <w:rFonts w:hint="eastAsia"/>
                <w:b/>
                <w:color w:val="FF0000"/>
                <w:sz w:val="21"/>
                <w:szCs w:val="21"/>
                <w:vertAlign w:val="superscript"/>
                <w:lang w:val="en-US" w:eastAsia="zh-CN"/>
              </w:rPr>
              <w:t>3</w:t>
            </w:r>
            <w:r>
              <w:rPr>
                <w:rFonts w:hint="eastAsia"/>
                <w:b/>
                <w:color w:val="FF0000"/>
                <w:sz w:val="21"/>
                <w:szCs w:val="21"/>
                <w:lang w:val="en-US" w:eastAsia="zh-CN"/>
              </w:rPr>
              <w:t>）</w:t>
            </w:r>
          </w:p>
        </w:tc>
        <w:tc>
          <w:tcPr>
            <w:tcW w:w="943" w:type="pct"/>
            <w:noWrap w:val="0"/>
            <w:tcMar>
              <w:left w:w="57" w:type="dxa"/>
              <w:right w:w="57" w:type="dxa"/>
            </w:tcMar>
            <w:vAlign w:val="center"/>
          </w:tcPr>
          <w:p w14:paraId="45F7C060">
            <w:pPr>
              <w:pStyle w:val="128"/>
              <w:spacing w:line="320" w:lineRule="exact"/>
              <w:rPr>
                <w:rFonts w:hint="eastAsia" w:eastAsia="宋体"/>
                <w:b/>
                <w:color w:val="FF0000"/>
                <w:sz w:val="21"/>
                <w:szCs w:val="21"/>
                <w:lang w:val="en-US" w:eastAsia="zh-CN"/>
              </w:rPr>
            </w:pPr>
            <w:r>
              <w:rPr>
                <w:rFonts w:hint="eastAsia"/>
                <w:b/>
                <w:color w:val="FF0000"/>
                <w:sz w:val="21"/>
                <w:szCs w:val="21"/>
                <w:lang w:val="en-US" w:eastAsia="zh-CN"/>
              </w:rPr>
              <w:t>结果</w:t>
            </w:r>
          </w:p>
        </w:tc>
      </w:tr>
      <w:tr w14:paraId="10394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70" w:type="pct"/>
            <w:noWrap w:val="0"/>
            <w:tcMar>
              <w:left w:w="57" w:type="dxa"/>
              <w:right w:w="57" w:type="dxa"/>
            </w:tcMar>
            <w:vAlign w:val="center"/>
          </w:tcPr>
          <w:p w14:paraId="5EAA0F79">
            <w:pPr>
              <w:pStyle w:val="128"/>
              <w:spacing w:line="320" w:lineRule="exact"/>
              <w:rPr>
                <w:rFonts w:hint="eastAsia" w:eastAsia="宋体"/>
                <w:color w:val="FF0000"/>
                <w:sz w:val="21"/>
                <w:szCs w:val="21"/>
                <w:lang w:eastAsia="zh-CN"/>
              </w:rPr>
            </w:pPr>
            <w:r>
              <w:rPr>
                <w:rFonts w:hint="eastAsia"/>
                <w:color w:val="FF0000"/>
                <w:sz w:val="21"/>
                <w:szCs w:val="21"/>
                <w:lang w:val="en-US" w:eastAsia="zh-CN"/>
              </w:rPr>
              <w:t>氨</w:t>
            </w:r>
          </w:p>
        </w:tc>
        <w:tc>
          <w:tcPr>
            <w:tcW w:w="1198" w:type="pct"/>
            <w:noWrap w:val="0"/>
            <w:vAlign w:val="center"/>
          </w:tcPr>
          <w:p w14:paraId="391B52B9">
            <w:pPr>
              <w:pStyle w:val="128"/>
              <w:spacing w:line="320" w:lineRule="exact"/>
              <w:rPr>
                <w:rFonts w:hint="default" w:eastAsia="宋体"/>
                <w:color w:val="FF0000"/>
                <w:sz w:val="21"/>
                <w:szCs w:val="21"/>
                <w:lang w:val="en-US" w:eastAsia="zh-CN"/>
              </w:rPr>
            </w:pPr>
            <w:r>
              <w:rPr>
                <w:rFonts w:hint="default" w:ascii="Times New Roman" w:hAnsi="Times New Roman" w:cs="Times New Roman"/>
                <w:color w:val="FF0000"/>
                <w:sz w:val="21"/>
                <w:szCs w:val="21"/>
                <w:lang w:val="en-US" w:eastAsia="zh-CN"/>
              </w:rPr>
              <w:t>1.545×10</w:t>
            </w:r>
            <w:r>
              <w:rPr>
                <w:rFonts w:hint="default" w:ascii="Times New Roman" w:hAnsi="Times New Roman" w:cs="Times New Roman"/>
                <w:color w:val="FF0000"/>
                <w:sz w:val="21"/>
                <w:szCs w:val="21"/>
                <w:vertAlign w:val="superscript"/>
                <w:lang w:val="en-US" w:eastAsia="zh-CN"/>
              </w:rPr>
              <w:t>-4</w:t>
            </w:r>
          </w:p>
        </w:tc>
        <w:tc>
          <w:tcPr>
            <w:tcW w:w="1079" w:type="pct"/>
            <w:noWrap w:val="0"/>
            <w:tcMar>
              <w:left w:w="57" w:type="dxa"/>
              <w:right w:w="57" w:type="dxa"/>
            </w:tcMar>
            <w:vAlign w:val="center"/>
          </w:tcPr>
          <w:p w14:paraId="2D1A44C3">
            <w:pPr>
              <w:spacing w:line="320" w:lineRule="exact"/>
              <w:jc w:val="center"/>
              <w:rPr>
                <w:rFonts w:hint="default" w:eastAsia="宋体"/>
                <w:color w:val="FF0000"/>
                <w:sz w:val="21"/>
                <w:szCs w:val="21"/>
                <w:lang w:val="en-US" w:eastAsia="zh-CN"/>
              </w:rPr>
            </w:pPr>
            <w:r>
              <w:rPr>
                <w:rFonts w:hint="eastAsia"/>
                <w:color w:val="FF0000"/>
                <w:sz w:val="21"/>
                <w:szCs w:val="21"/>
                <w:lang w:val="en-US" w:eastAsia="zh-CN"/>
              </w:rPr>
              <w:t>0.0773</w:t>
            </w:r>
          </w:p>
        </w:tc>
        <w:tc>
          <w:tcPr>
            <w:tcW w:w="1006" w:type="pct"/>
            <w:noWrap w:val="0"/>
            <w:tcMar>
              <w:left w:w="57" w:type="dxa"/>
              <w:right w:w="57" w:type="dxa"/>
            </w:tcMar>
            <w:vAlign w:val="center"/>
          </w:tcPr>
          <w:p w14:paraId="1061BA21">
            <w:pPr>
              <w:spacing w:line="320" w:lineRule="exact"/>
              <w:jc w:val="center"/>
              <w:rPr>
                <w:rFonts w:hint="default" w:eastAsia="宋体"/>
                <w:color w:val="FF0000"/>
                <w:sz w:val="21"/>
                <w:szCs w:val="21"/>
                <w:lang w:val="en-US" w:eastAsia="zh-CN"/>
              </w:rPr>
            </w:pPr>
            <w:r>
              <w:rPr>
                <w:rFonts w:hint="eastAsia"/>
                <w:color w:val="FF0000"/>
                <w:sz w:val="21"/>
                <w:szCs w:val="21"/>
                <w:lang w:val="en-US" w:eastAsia="zh-CN"/>
              </w:rPr>
              <w:t>0.5</w:t>
            </w:r>
          </w:p>
        </w:tc>
        <w:tc>
          <w:tcPr>
            <w:tcW w:w="943" w:type="pct"/>
            <w:noWrap w:val="0"/>
            <w:tcMar>
              <w:left w:w="57" w:type="dxa"/>
              <w:right w:w="57" w:type="dxa"/>
            </w:tcMar>
            <w:vAlign w:val="center"/>
          </w:tcPr>
          <w:p w14:paraId="47E0800A">
            <w:pPr>
              <w:spacing w:line="320" w:lineRule="exact"/>
              <w:jc w:val="center"/>
              <w:rPr>
                <w:rFonts w:hint="default" w:eastAsia="宋体"/>
                <w:color w:val="FF0000"/>
                <w:sz w:val="21"/>
                <w:szCs w:val="21"/>
                <w:lang w:val="en-US" w:eastAsia="zh-CN"/>
              </w:rPr>
            </w:pPr>
            <w:r>
              <w:rPr>
                <w:rFonts w:hint="eastAsia"/>
                <w:color w:val="FF0000"/>
                <w:sz w:val="21"/>
                <w:szCs w:val="21"/>
                <w:lang w:val="en-US" w:eastAsia="zh-CN"/>
              </w:rPr>
              <w:t>未达到嗅阈值</w:t>
            </w:r>
          </w:p>
        </w:tc>
      </w:tr>
    </w:tbl>
    <w:p w14:paraId="45B491B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根据</w:t>
      </w:r>
      <w:r>
        <w:rPr>
          <w:rFonts w:hint="eastAsia" w:ascii="Times New Roman" w:hAnsi="Times New Roman" w:eastAsia="宋体" w:cs="Times New Roman"/>
          <w:color w:val="auto"/>
          <w:kern w:val="0"/>
          <w:sz w:val="24"/>
          <w:szCs w:val="24"/>
        </w:rPr>
        <w:t>美国纳德提出将臭气感觉强度从“无气味”到“臭气强度极强”分为五级，一般在车间下风向20m范围内有较强的异味（强度约3~4类），在20m~50m范围内很容易感觉到气味的存在（轻度约2~3类），在50~100m处气味就很弱（强度约1~2类），在100m外基本闻不到气味。随着距离的增加，气味浓度会迅速下降，南通地区春夏以东南风为主，冬季以西北风居多，项目厂界下风向周边敏感点距离项目生产车间</w:t>
      </w:r>
      <w:r>
        <w:rPr>
          <w:rFonts w:hint="eastAsia" w:ascii="Times New Roman" w:hAnsi="Times New Roman" w:eastAsia="宋体" w:cs="Times New Roman"/>
          <w:color w:val="auto"/>
          <w:kern w:val="0"/>
          <w:sz w:val="24"/>
          <w:szCs w:val="24"/>
          <w:lang w:val="en-US" w:eastAsia="zh-CN"/>
        </w:rPr>
        <w:t>为112m</w:t>
      </w:r>
      <w:r>
        <w:rPr>
          <w:rFonts w:hint="eastAsia" w:ascii="Times New Roman" w:hAnsi="Times New Roman" w:eastAsia="宋体" w:cs="Times New Roman"/>
          <w:color w:val="auto"/>
          <w:kern w:val="0"/>
          <w:sz w:val="24"/>
          <w:szCs w:val="24"/>
        </w:rPr>
        <w:t>，臭气强度为1~2类，对周边环境影响较小，项目产生的</w:t>
      </w:r>
      <w:r>
        <w:rPr>
          <w:rFonts w:hint="eastAsia" w:ascii="Times New Roman" w:hAnsi="Times New Roman" w:eastAsia="宋体" w:cs="Times New Roman"/>
          <w:color w:val="auto"/>
          <w:kern w:val="0"/>
          <w:sz w:val="24"/>
          <w:szCs w:val="24"/>
          <w:lang w:val="en-US" w:eastAsia="zh-CN"/>
        </w:rPr>
        <w:t>氨气</w:t>
      </w:r>
      <w:r>
        <w:rPr>
          <w:rFonts w:hint="eastAsia" w:ascii="Times New Roman" w:hAnsi="Times New Roman" w:eastAsia="宋体" w:cs="Times New Roman"/>
          <w:color w:val="auto"/>
          <w:kern w:val="0"/>
          <w:sz w:val="24"/>
          <w:szCs w:val="24"/>
          <w:lang w:val="en-US" w:eastAsia="zh-CN"/>
        </w:rPr>
        <w:t>仅3ppm</w:t>
      </w:r>
      <w:r>
        <w:rPr>
          <w:rFonts w:hint="eastAsia" w:ascii="Times New Roman" w:hAnsi="Times New Roman" w:eastAsia="宋体" w:cs="Times New Roman"/>
          <w:color w:val="auto"/>
          <w:kern w:val="0"/>
          <w:sz w:val="24"/>
          <w:szCs w:val="24"/>
        </w:rPr>
        <w:t>，臭气强度为0~1类，对周边大气环境影响可接受。</w:t>
      </w:r>
    </w:p>
    <w:p w14:paraId="5439C3F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考虑人体对异味的敏感程度各不相同，对于一些敏感受体，即使气味污染物浓度未超出嗅阈值，仍可被感知。因此，企业应加强异味气体的污染防治措施，降低无组织排放量和非正常排放的概率，避免异味污染。</w:t>
      </w:r>
    </w:p>
    <w:p w14:paraId="7A22E80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建议项目在生产时，采取以下措施以杜绝恶臭气体和异味对周围环境的不良影响：</w:t>
      </w:r>
    </w:p>
    <w:p w14:paraId="5A5F077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①生产时，应加强环保管理，确保废气治理措施相关的风机、吸附塔等的正常运行，最大程度减少非正常排放；</w:t>
      </w:r>
    </w:p>
    <w:p w14:paraId="0689AF5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②在车间周围种植树木，加强绿化，以减轻异味对周围的环境污染。</w:t>
      </w:r>
    </w:p>
    <w:p w14:paraId="2CF18D4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通过采取以上措施后，可将异味的影响降低到最低程度，不会对周边敏感目产生不良影响。</w:t>
      </w:r>
    </w:p>
    <w:p w14:paraId="50100989">
      <w:pPr>
        <w:pStyle w:val="3"/>
        <w:spacing w:before="0" w:after="0" w:line="360" w:lineRule="auto"/>
        <w:rPr>
          <w:rFonts w:hint="eastAsia" w:eastAsia="宋体"/>
          <w:color w:val="auto"/>
          <w:kern w:val="0"/>
          <w:szCs w:val="28"/>
          <w:lang w:val="en-US" w:eastAsia="zh-CN"/>
        </w:rPr>
      </w:pPr>
      <w:bookmarkStart w:id="83" w:name="_Toc29578"/>
      <w:r>
        <w:rPr>
          <w:rFonts w:hint="eastAsia" w:eastAsia="宋体"/>
          <w:color w:val="auto"/>
          <w:kern w:val="0"/>
          <w:szCs w:val="28"/>
          <w:lang w:val="en-US" w:eastAsia="zh-CN"/>
        </w:rPr>
        <w:t>4.8汞对人体健康分析</w:t>
      </w:r>
      <w:bookmarkEnd w:id="83"/>
    </w:p>
    <w:p w14:paraId="047ADBF8">
      <w:pPr>
        <w:spacing w:line="360" w:lineRule="auto"/>
        <w:ind w:firstLine="480" w:firstLineChars="200"/>
        <w:rPr>
          <w:rFonts w:hint="eastAsia"/>
          <w:color w:val="auto"/>
          <w:sz w:val="24"/>
          <w:szCs w:val="24"/>
          <w:lang w:val="en-US" w:eastAsia="zh-CN"/>
        </w:rPr>
      </w:pPr>
      <w:r>
        <w:rPr>
          <w:rFonts w:hint="default"/>
          <w:color w:val="auto"/>
          <w:sz w:val="24"/>
          <w:szCs w:val="24"/>
          <w:lang w:val="en-US" w:eastAsia="zh-CN"/>
        </w:rPr>
        <w:t>‌汞对人体健康的危害主要集中在神经系统、肾脏、消化系统、呼吸系统及发育毒性等方面‌，其毒性作用与汞的化学形态（如金属汞、无机汞、有机汞）、暴露途径（吸入、摄入、皮肤接触）以及暴露时间长短密切相关</w:t>
      </w:r>
      <w:r>
        <w:rPr>
          <w:rFonts w:hint="eastAsia"/>
          <w:color w:val="auto"/>
          <w:sz w:val="24"/>
          <w:szCs w:val="24"/>
          <w:lang w:val="en-US" w:eastAsia="zh-CN"/>
        </w:rPr>
        <w:t>。</w:t>
      </w:r>
    </w:p>
    <w:p w14:paraId="1688FE1F">
      <w:pPr>
        <w:spacing w:line="360" w:lineRule="auto"/>
        <w:ind w:firstLine="480" w:firstLineChars="200"/>
        <w:rPr>
          <w:rFonts w:hint="eastAsia"/>
          <w:color w:val="auto"/>
          <w:sz w:val="24"/>
          <w:szCs w:val="24"/>
          <w:lang w:val="en-US" w:eastAsia="zh-CN"/>
        </w:rPr>
      </w:pPr>
      <w:r>
        <w:rPr>
          <w:rFonts w:hint="default"/>
          <w:color w:val="auto"/>
          <w:sz w:val="24"/>
          <w:szCs w:val="24"/>
          <w:lang w:val="en-US" w:eastAsia="zh-CN"/>
        </w:rPr>
        <w:t>根据《环境空气质量标准》（GB3095-2026），‌空气汞的最大允许浓度为0.05微克/立方米</w:t>
      </w:r>
      <w:r>
        <w:rPr>
          <w:rFonts w:hint="eastAsia"/>
          <w:color w:val="auto"/>
          <w:sz w:val="24"/>
          <w:szCs w:val="24"/>
          <w:lang w:val="en-US" w:eastAsia="zh-CN"/>
        </w:rPr>
        <w:t>，</w:t>
      </w:r>
      <w:r>
        <w:rPr>
          <w:rFonts w:hint="default"/>
          <w:color w:val="auto"/>
          <w:sz w:val="24"/>
          <w:szCs w:val="24"/>
          <w:lang w:val="en-US" w:eastAsia="zh-CN"/>
        </w:rPr>
        <w:t>而燃煤电厂等工业源排放标准为‌0.03mg/m</w:t>
      </w:r>
      <w:r>
        <w:rPr>
          <w:rFonts w:hint="eastAsia"/>
          <w:color w:val="auto"/>
          <w:sz w:val="24"/>
          <w:szCs w:val="24"/>
          <w:vertAlign w:val="superscript"/>
          <w:lang w:val="en-US" w:eastAsia="zh-CN"/>
        </w:rPr>
        <w:t>3</w:t>
      </w:r>
      <w:r>
        <w:rPr>
          <w:rFonts w:hint="default"/>
          <w:color w:val="auto"/>
          <w:sz w:val="24"/>
          <w:szCs w:val="24"/>
          <w:lang w:val="en-US" w:eastAsia="zh-CN"/>
        </w:rPr>
        <w:t>（即30微克/立方米）</w:t>
      </w:r>
      <w:r>
        <w:rPr>
          <w:rFonts w:hint="eastAsia"/>
          <w:color w:val="auto"/>
          <w:sz w:val="24"/>
          <w:szCs w:val="24"/>
          <w:lang w:val="en-US" w:eastAsia="zh-CN"/>
        </w:rPr>
        <w:t>，工作场所空气中汞的时间加权平均容许浓度为‌0.02mg/m</w:t>
      </w:r>
      <w:r>
        <w:rPr>
          <w:rFonts w:hint="eastAsia"/>
          <w:color w:val="auto"/>
          <w:sz w:val="24"/>
          <w:szCs w:val="24"/>
          <w:vertAlign w:val="superscript"/>
          <w:lang w:val="en-US" w:eastAsia="zh-CN"/>
        </w:rPr>
        <w:t>3</w:t>
      </w:r>
      <w:r>
        <w:rPr>
          <w:rFonts w:hint="eastAsia"/>
          <w:color w:val="auto"/>
          <w:sz w:val="24"/>
          <w:szCs w:val="24"/>
          <w:lang w:val="en-US" w:eastAsia="zh-CN"/>
        </w:rPr>
        <w:t>‌（约20微克/立方米），超过即需采取防护措施。</w:t>
      </w:r>
      <w:r>
        <w:rPr>
          <w:rFonts w:hint="default"/>
          <w:color w:val="auto"/>
          <w:sz w:val="24"/>
          <w:szCs w:val="24"/>
          <w:lang w:val="en-US" w:eastAsia="zh-CN"/>
        </w:rPr>
        <w:t>‌</w:t>
      </w:r>
    </w:p>
    <w:p w14:paraId="38E85274">
      <w:pPr>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本项目汞排放浓度为16微克/立方米，</w:t>
      </w:r>
      <w:r>
        <w:rPr>
          <w:rFonts w:hint="default"/>
          <w:color w:val="auto"/>
          <w:sz w:val="24"/>
          <w:szCs w:val="24"/>
          <w:lang w:val="en-US" w:eastAsia="zh-CN"/>
        </w:rPr>
        <w:t>暴露途径下健康风险控制在可接受风险概率水平</w:t>
      </w:r>
      <w:r>
        <w:rPr>
          <w:rFonts w:hint="eastAsia"/>
          <w:color w:val="auto"/>
          <w:sz w:val="24"/>
          <w:szCs w:val="24"/>
          <w:lang w:val="en-US" w:eastAsia="zh-CN"/>
        </w:rPr>
        <w:t>。</w:t>
      </w:r>
    </w:p>
    <w:p w14:paraId="233F84EA">
      <w:pPr>
        <w:pStyle w:val="3"/>
        <w:spacing w:before="0" w:after="0" w:line="360" w:lineRule="auto"/>
        <w:rPr>
          <w:rFonts w:hint="default" w:eastAsia="宋体"/>
          <w:color w:val="auto"/>
          <w:kern w:val="0"/>
          <w:szCs w:val="28"/>
          <w:lang w:val="en-US" w:eastAsia="zh-CN"/>
        </w:rPr>
      </w:pPr>
      <w:bookmarkStart w:id="84" w:name="_Toc543"/>
      <w:r>
        <w:rPr>
          <w:rFonts w:hint="eastAsia" w:eastAsia="宋体"/>
          <w:color w:val="auto"/>
          <w:kern w:val="0"/>
          <w:szCs w:val="28"/>
          <w:lang w:val="en-US" w:eastAsia="zh-CN"/>
        </w:rPr>
        <w:t>4.9大气卫生防护距离</w:t>
      </w:r>
      <w:bookmarkEnd w:id="84"/>
    </w:p>
    <w:p w14:paraId="3F520F3F">
      <w:pPr>
        <w:autoSpaceDE w:val="0"/>
        <w:autoSpaceDN w:val="0"/>
        <w:adjustRightInd w:val="0"/>
        <w:snapToGrid w:val="0"/>
        <w:spacing w:line="400" w:lineRule="exact"/>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根据《大气有害物质物质无组织排放卫生防护距离推导技术导则》（GB/T39499-2020），核算卫生防护距离。卫生防护距离初值计算公式如下：</w:t>
      </w:r>
    </w:p>
    <w:p w14:paraId="34327689">
      <w:pPr>
        <w:spacing w:line="360" w:lineRule="auto"/>
        <w:ind w:firstLine="420"/>
        <w:jc w:val="center"/>
        <w:rPr>
          <w:color w:val="000000"/>
          <w:sz w:val="24"/>
          <w:szCs w:val="22"/>
        </w:rPr>
      </w:pPr>
      <w:r>
        <w:rPr>
          <w:color w:val="000000"/>
          <w:position w:val="-30"/>
          <w:sz w:val="24"/>
          <w:szCs w:val="22"/>
        </w:rPr>
        <w:drawing>
          <wp:inline distT="0" distB="0" distL="114300" distR="114300">
            <wp:extent cx="1828800" cy="457200"/>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0"/>
                    <a:stretch>
                      <a:fillRect/>
                    </a:stretch>
                  </pic:blipFill>
                  <pic:spPr>
                    <a:xfrm>
                      <a:off x="0" y="0"/>
                      <a:ext cx="1828800" cy="457200"/>
                    </a:xfrm>
                    <a:prstGeom prst="rect">
                      <a:avLst/>
                    </a:prstGeom>
                    <a:noFill/>
                    <a:ln>
                      <a:noFill/>
                    </a:ln>
                  </pic:spPr>
                </pic:pic>
              </a:graphicData>
            </a:graphic>
          </wp:inline>
        </w:drawing>
      </w:r>
    </w:p>
    <w:p w14:paraId="43AF07D3">
      <w:pPr>
        <w:spacing w:line="360" w:lineRule="auto"/>
        <w:ind w:firstLine="420"/>
        <w:rPr>
          <w:color w:val="000000"/>
          <w:sz w:val="24"/>
          <w:szCs w:val="22"/>
        </w:rPr>
      </w:pPr>
      <w:r>
        <w:rPr>
          <w:color w:val="000000"/>
          <w:sz w:val="24"/>
          <w:szCs w:val="22"/>
        </w:rPr>
        <w:t>式中：</w:t>
      </w:r>
    </w:p>
    <w:p w14:paraId="128D32AC">
      <w:pPr>
        <w:spacing w:line="360" w:lineRule="auto"/>
        <w:ind w:firstLine="420"/>
        <w:rPr>
          <w:color w:val="000000"/>
          <w:sz w:val="24"/>
          <w:szCs w:val="22"/>
        </w:rPr>
      </w:pPr>
      <w:r>
        <w:rPr>
          <w:color w:val="000000"/>
          <w:sz w:val="24"/>
          <w:szCs w:val="22"/>
        </w:rPr>
        <w:t>Cm—为环境一次浓度标准限值，mg/m</w:t>
      </w:r>
      <w:r>
        <w:rPr>
          <w:color w:val="000000"/>
          <w:sz w:val="24"/>
          <w:szCs w:val="22"/>
          <w:vertAlign w:val="superscript"/>
        </w:rPr>
        <w:t>3</w:t>
      </w:r>
      <w:r>
        <w:rPr>
          <w:color w:val="000000"/>
          <w:sz w:val="24"/>
          <w:szCs w:val="22"/>
        </w:rPr>
        <w:t>；</w:t>
      </w:r>
    </w:p>
    <w:p w14:paraId="023B282C">
      <w:pPr>
        <w:spacing w:line="360" w:lineRule="auto"/>
        <w:ind w:firstLine="420"/>
        <w:rPr>
          <w:color w:val="000000"/>
          <w:sz w:val="24"/>
          <w:szCs w:val="22"/>
        </w:rPr>
      </w:pPr>
      <w:r>
        <w:rPr>
          <w:color w:val="000000"/>
          <w:sz w:val="24"/>
          <w:szCs w:val="22"/>
        </w:rPr>
        <w:t>L—大气有害物质卫生防护距离初值，m；</w:t>
      </w:r>
    </w:p>
    <w:p w14:paraId="023A5342">
      <w:pPr>
        <w:spacing w:line="360" w:lineRule="auto"/>
        <w:ind w:firstLine="420"/>
        <w:rPr>
          <w:color w:val="000000"/>
          <w:sz w:val="24"/>
          <w:szCs w:val="22"/>
        </w:rPr>
      </w:pPr>
      <w:r>
        <w:rPr>
          <w:color w:val="000000"/>
          <w:sz w:val="24"/>
          <w:szCs w:val="22"/>
        </w:rPr>
        <w:t>Qc—有害气体无组织排放量可以达到的控制水平（kg/h）；</w:t>
      </w:r>
    </w:p>
    <w:p w14:paraId="442D0127">
      <w:pPr>
        <w:spacing w:line="360" w:lineRule="auto"/>
        <w:ind w:firstLine="420"/>
        <w:rPr>
          <w:color w:val="000000"/>
          <w:sz w:val="24"/>
          <w:szCs w:val="22"/>
        </w:rPr>
      </w:pPr>
      <w:r>
        <w:rPr>
          <w:color w:val="000000"/>
          <w:sz w:val="24"/>
          <w:szCs w:val="22"/>
        </w:rPr>
        <w:t>r—大气有害物质无组织排放源所在生产单元的等效半径，m，可按生产单元占地面积S换算，r=(S/π)1/2；</w:t>
      </w:r>
    </w:p>
    <w:p w14:paraId="3B270DEA">
      <w:pPr>
        <w:spacing w:line="360" w:lineRule="auto"/>
        <w:ind w:firstLine="420"/>
        <w:rPr>
          <w:color w:val="000000"/>
          <w:sz w:val="24"/>
          <w:szCs w:val="22"/>
        </w:rPr>
      </w:pPr>
      <w:r>
        <w:rPr>
          <w:color w:val="000000"/>
          <w:sz w:val="24"/>
          <w:szCs w:val="22"/>
        </w:rPr>
        <w:t>A、B、C、D—卫生防护距离初值计算系数，无因次，根据工业企业所在地区近5年平均风速及大气污染源构成类别从系数表中查取。</w:t>
      </w:r>
    </w:p>
    <w:p w14:paraId="15E6FF49">
      <w:pPr>
        <w:spacing w:line="360" w:lineRule="auto"/>
        <w:ind w:firstLine="420"/>
        <w:rPr>
          <w:color w:val="000000"/>
          <w:sz w:val="24"/>
          <w:szCs w:val="22"/>
        </w:rPr>
      </w:pPr>
      <w:r>
        <w:rPr>
          <w:color w:val="000000"/>
          <w:sz w:val="24"/>
          <w:szCs w:val="22"/>
        </w:rPr>
        <w:t>无组织排放多种有害气体时，按Qc/Cm的最大值计算其所需的卫生防护距离。卫生防护距离在100m内时，级差为50m；超过100m，但小于1000m时，级差为100m。当按两种或两种以上有害气体的Qc/Cm计算卫生防护距离在同一级别时，该类工业企业的卫生防护距离提高一级。</w:t>
      </w:r>
    </w:p>
    <w:p w14:paraId="5BEC2EE0">
      <w:pPr>
        <w:spacing w:line="360" w:lineRule="auto"/>
        <w:ind w:firstLine="420"/>
        <w:rPr>
          <w:b/>
          <w:color w:val="000000"/>
          <w:sz w:val="24"/>
          <w:szCs w:val="22"/>
        </w:rPr>
      </w:pPr>
      <w:r>
        <w:rPr>
          <w:color w:val="000000"/>
          <w:sz w:val="24"/>
          <w:szCs w:val="22"/>
        </w:rPr>
        <w:t>本项目大气卫生防护距离计算参数见表4-</w:t>
      </w:r>
      <w:r>
        <w:rPr>
          <w:rFonts w:hint="eastAsia"/>
          <w:color w:val="000000"/>
          <w:sz w:val="24"/>
          <w:szCs w:val="22"/>
          <w:lang w:val="en-US" w:eastAsia="zh-CN"/>
        </w:rPr>
        <w:t>16</w:t>
      </w:r>
      <w:r>
        <w:rPr>
          <w:color w:val="000000"/>
          <w:sz w:val="24"/>
          <w:szCs w:val="22"/>
        </w:rPr>
        <w:t>。</w:t>
      </w:r>
    </w:p>
    <w:p w14:paraId="16F298D3">
      <w:pPr>
        <w:spacing w:line="360" w:lineRule="auto"/>
        <w:jc w:val="center"/>
        <w:rPr>
          <w:rFonts w:hint="eastAsia"/>
          <w:b/>
          <w:bCs/>
          <w:color w:val="auto"/>
          <w:sz w:val="24"/>
          <w:szCs w:val="24"/>
          <w:lang w:val="en-US" w:eastAsia="zh-CN"/>
        </w:rPr>
      </w:pPr>
      <w:r>
        <w:rPr>
          <w:rFonts w:hint="eastAsia"/>
          <w:b/>
          <w:bCs/>
          <w:color w:val="auto"/>
          <w:sz w:val="24"/>
          <w:szCs w:val="24"/>
          <w:lang w:val="en-US" w:eastAsia="zh-CN"/>
        </w:rPr>
        <w:t>表4-16  卫生防护距离计算系数</w:t>
      </w:r>
    </w:p>
    <w:tbl>
      <w:tblPr>
        <w:tblStyle w:val="37"/>
        <w:tblW w:w="50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417"/>
        <w:gridCol w:w="646"/>
        <w:gridCol w:w="648"/>
        <w:gridCol w:w="656"/>
        <w:gridCol w:w="641"/>
        <w:gridCol w:w="641"/>
        <w:gridCol w:w="646"/>
        <w:gridCol w:w="641"/>
        <w:gridCol w:w="644"/>
        <w:gridCol w:w="617"/>
      </w:tblGrid>
      <w:tr w14:paraId="3D762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14:paraId="67241879">
            <w:pPr>
              <w:spacing w:line="240" w:lineRule="auto"/>
              <w:ind w:firstLine="0" w:firstLineChars="0"/>
              <w:jc w:val="center"/>
              <w:rPr>
                <w:b/>
                <w:bCs/>
                <w:color w:val="000000"/>
                <w:sz w:val="21"/>
                <w:szCs w:val="21"/>
              </w:rPr>
            </w:pPr>
            <w:r>
              <w:rPr>
                <w:b/>
                <w:bCs/>
                <w:color w:val="000000"/>
                <w:sz w:val="21"/>
                <w:szCs w:val="21"/>
              </w:rPr>
              <w:t>计算系数</w:t>
            </w:r>
          </w:p>
        </w:tc>
        <w:tc>
          <w:tcPr>
            <w:tcW w:w="842" w:type="pct"/>
            <w:vMerge w:val="restart"/>
            <w:noWrap w:val="0"/>
            <w:vAlign w:val="center"/>
          </w:tcPr>
          <w:p w14:paraId="41EA4B30">
            <w:pPr>
              <w:spacing w:line="240" w:lineRule="auto"/>
              <w:ind w:firstLine="0" w:firstLineChars="0"/>
              <w:jc w:val="center"/>
              <w:rPr>
                <w:b/>
                <w:bCs/>
                <w:color w:val="000000"/>
                <w:sz w:val="21"/>
                <w:szCs w:val="21"/>
              </w:rPr>
            </w:pPr>
            <w:r>
              <w:rPr>
                <w:b/>
                <w:bCs/>
                <w:color w:val="000000"/>
                <w:sz w:val="21"/>
                <w:szCs w:val="21"/>
              </w:rPr>
              <w:t>5年平均风速，m/s</w:t>
            </w:r>
          </w:p>
        </w:tc>
        <w:tc>
          <w:tcPr>
            <w:tcW w:w="3435" w:type="pct"/>
            <w:gridSpan w:val="9"/>
            <w:noWrap w:val="0"/>
            <w:vAlign w:val="center"/>
          </w:tcPr>
          <w:p w14:paraId="681CB75F">
            <w:pPr>
              <w:spacing w:line="240" w:lineRule="auto"/>
              <w:ind w:firstLine="0" w:firstLineChars="0"/>
              <w:jc w:val="center"/>
              <w:rPr>
                <w:b/>
                <w:bCs/>
                <w:color w:val="000000"/>
                <w:sz w:val="21"/>
                <w:szCs w:val="21"/>
              </w:rPr>
            </w:pPr>
            <w:r>
              <w:rPr>
                <w:b/>
                <w:bCs/>
                <w:color w:val="000000"/>
                <w:sz w:val="21"/>
                <w:szCs w:val="21"/>
              </w:rPr>
              <w:t>卫生防护距离L（m）</w:t>
            </w:r>
          </w:p>
        </w:tc>
      </w:tr>
      <w:tr w14:paraId="53E20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53008EB7">
            <w:pPr>
              <w:spacing w:line="240" w:lineRule="auto"/>
              <w:ind w:firstLine="0" w:firstLineChars="0"/>
              <w:jc w:val="center"/>
              <w:rPr>
                <w:b/>
                <w:bCs/>
                <w:color w:val="000000"/>
                <w:sz w:val="21"/>
                <w:szCs w:val="21"/>
              </w:rPr>
            </w:pPr>
          </w:p>
        </w:tc>
        <w:tc>
          <w:tcPr>
            <w:tcW w:w="842" w:type="pct"/>
            <w:vMerge w:val="continue"/>
            <w:noWrap w:val="0"/>
            <w:vAlign w:val="center"/>
          </w:tcPr>
          <w:p w14:paraId="5AF9566D">
            <w:pPr>
              <w:spacing w:line="240" w:lineRule="auto"/>
              <w:ind w:firstLine="0" w:firstLineChars="0"/>
              <w:jc w:val="center"/>
              <w:rPr>
                <w:b/>
                <w:bCs/>
                <w:color w:val="000000"/>
                <w:sz w:val="21"/>
                <w:szCs w:val="21"/>
              </w:rPr>
            </w:pPr>
          </w:p>
        </w:tc>
        <w:tc>
          <w:tcPr>
            <w:tcW w:w="1159" w:type="pct"/>
            <w:gridSpan w:val="3"/>
            <w:noWrap w:val="0"/>
            <w:vAlign w:val="center"/>
          </w:tcPr>
          <w:p w14:paraId="79110435">
            <w:pPr>
              <w:spacing w:line="240" w:lineRule="auto"/>
              <w:ind w:firstLine="0" w:firstLineChars="0"/>
              <w:jc w:val="center"/>
              <w:rPr>
                <w:color w:val="000000"/>
                <w:sz w:val="21"/>
                <w:szCs w:val="21"/>
              </w:rPr>
            </w:pPr>
            <w:r>
              <w:rPr>
                <w:color w:val="000000"/>
                <w:sz w:val="21"/>
                <w:szCs w:val="21"/>
              </w:rPr>
              <w:t>L≤1000</w:t>
            </w:r>
          </w:p>
        </w:tc>
        <w:tc>
          <w:tcPr>
            <w:tcW w:w="1145" w:type="pct"/>
            <w:gridSpan w:val="3"/>
            <w:noWrap w:val="0"/>
            <w:vAlign w:val="center"/>
          </w:tcPr>
          <w:p w14:paraId="145B66C3">
            <w:pPr>
              <w:spacing w:line="240" w:lineRule="auto"/>
              <w:ind w:firstLine="0" w:firstLineChars="0"/>
              <w:jc w:val="center"/>
              <w:rPr>
                <w:color w:val="000000"/>
                <w:sz w:val="21"/>
                <w:szCs w:val="21"/>
              </w:rPr>
            </w:pPr>
            <w:r>
              <w:rPr>
                <w:color w:val="000000"/>
                <w:sz w:val="21"/>
                <w:szCs w:val="21"/>
              </w:rPr>
              <w:t>1000＜L≤2000</w:t>
            </w:r>
          </w:p>
        </w:tc>
        <w:tc>
          <w:tcPr>
            <w:tcW w:w="1131" w:type="pct"/>
            <w:gridSpan w:val="3"/>
            <w:noWrap w:val="0"/>
            <w:vAlign w:val="center"/>
          </w:tcPr>
          <w:p w14:paraId="618C1A96">
            <w:pPr>
              <w:spacing w:line="240" w:lineRule="auto"/>
              <w:ind w:firstLine="0" w:firstLineChars="0"/>
              <w:jc w:val="center"/>
              <w:rPr>
                <w:color w:val="000000"/>
                <w:sz w:val="21"/>
                <w:szCs w:val="21"/>
              </w:rPr>
            </w:pPr>
            <w:r>
              <w:rPr>
                <w:color w:val="000000"/>
                <w:sz w:val="21"/>
                <w:szCs w:val="21"/>
              </w:rPr>
              <w:t>L＞2000</w:t>
            </w:r>
          </w:p>
        </w:tc>
      </w:tr>
      <w:tr w14:paraId="01DC8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027B3EA0">
            <w:pPr>
              <w:spacing w:line="240" w:lineRule="auto"/>
              <w:ind w:firstLine="0" w:firstLineChars="0"/>
              <w:jc w:val="center"/>
              <w:rPr>
                <w:b/>
                <w:bCs/>
                <w:color w:val="000000"/>
                <w:sz w:val="21"/>
                <w:szCs w:val="21"/>
              </w:rPr>
            </w:pPr>
          </w:p>
        </w:tc>
        <w:tc>
          <w:tcPr>
            <w:tcW w:w="842" w:type="pct"/>
            <w:vMerge w:val="continue"/>
            <w:noWrap w:val="0"/>
            <w:vAlign w:val="center"/>
          </w:tcPr>
          <w:p w14:paraId="1FE8AFBA">
            <w:pPr>
              <w:spacing w:line="240" w:lineRule="auto"/>
              <w:ind w:firstLine="0" w:firstLineChars="0"/>
              <w:jc w:val="center"/>
              <w:rPr>
                <w:b/>
                <w:bCs/>
                <w:color w:val="000000"/>
                <w:sz w:val="21"/>
                <w:szCs w:val="21"/>
              </w:rPr>
            </w:pPr>
          </w:p>
        </w:tc>
        <w:tc>
          <w:tcPr>
            <w:tcW w:w="3435" w:type="pct"/>
            <w:gridSpan w:val="9"/>
            <w:noWrap w:val="0"/>
            <w:vAlign w:val="center"/>
          </w:tcPr>
          <w:p w14:paraId="66A8925E">
            <w:pPr>
              <w:spacing w:line="240" w:lineRule="auto"/>
              <w:ind w:firstLine="0" w:firstLineChars="0"/>
              <w:jc w:val="center"/>
              <w:rPr>
                <w:b/>
                <w:bCs/>
                <w:color w:val="000000"/>
                <w:sz w:val="21"/>
                <w:szCs w:val="21"/>
              </w:rPr>
            </w:pPr>
            <w:r>
              <w:rPr>
                <w:b/>
                <w:bCs/>
                <w:color w:val="000000"/>
                <w:sz w:val="21"/>
                <w:szCs w:val="21"/>
              </w:rPr>
              <w:t>工业大气污染源构成类别</w:t>
            </w:r>
          </w:p>
        </w:tc>
      </w:tr>
      <w:tr w14:paraId="625F6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4E101CEC">
            <w:pPr>
              <w:spacing w:line="240" w:lineRule="auto"/>
              <w:ind w:firstLine="0" w:firstLineChars="0"/>
              <w:jc w:val="center"/>
              <w:rPr>
                <w:b/>
                <w:bCs/>
                <w:color w:val="000000"/>
                <w:sz w:val="21"/>
                <w:szCs w:val="21"/>
              </w:rPr>
            </w:pPr>
          </w:p>
        </w:tc>
        <w:tc>
          <w:tcPr>
            <w:tcW w:w="842" w:type="pct"/>
            <w:vMerge w:val="continue"/>
            <w:noWrap w:val="0"/>
            <w:vAlign w:val="center"/>
          </w:tcPr>
          <w:p w14:paraId="2E02A132">
            <w:pPr>
              <w:spacing w:line="240" w:lineRule="auto"/>
              <w:ind w:firstLine="0" w:firstLineChars="0"/>
              <w:jc w:val="center"/>
              <w:rPr>
                <w:b/>
                <w:bCs/>
                <w:color w:val="000000"/>
                <w:sz w:val="21"/>
                <w:szCs w:val="21"/>
              </w:rPr>
            </w:pPr>
          </w:p>
        </w:tc>
        <w:tc>
          <w:tcPr>
            <w:tcW w:w="384" w:type="pct"/>
            <w:noWrap w:val="0"/>
            <w:vAlign w:val="center"/>
          </w:tcPr>
          <w:p w14:paraId="19590A75">
            <w:pPr>
              <w:spacing w:line="240" w:lineRule="auto"/>
              <w:ind w:firstLine="0" w:firstLineChars="0"/>
              <w:jc w:val="center"/>
              <w:rPr>
                <w:color w:val="000000"/>
                <w:sz w:val="21"/>
                <w:szCs w:val="21"/>
              </w:rPr>
            </w:pPr>
            <w:r>
              <w:rPr>
                <w:color w:val="000000"/>
                <w:sz w:val="21"/>
                <w:szCs w:val="21"/>
              </w:rPr>
              <w:t>Ⅰ</w:t>
            </w:r>
          </w:p>
        </w:tc>
        <w:tc>
          <w:tcPr>
            <w:tcW w:w="385" w:type="pct"/>
            <w:noWrap w:val="0"/>
            <w:vAlign w:val="center"/>
          </w:tcPr>
          <w:p w14:paraId="07C50402">
            <w:pPr>
              <w:spacing w:line="240" w:lineRule="auto"/>
              <w:ind w:firstLine="0" w:firstLineChars="0"/>
              <w:jc w:val="center"/>
              <w:rPr>
                <w:color w:val="000000"/>
                <w:sz w:val="21"/>
                <w:szCs w:val="21"/>
              </w:rPr>
            </w:pPr>
            <w:r>
              <w:rPr>
                <w:color w:val="000000"/>
                <w:sz w:val="21"/>
                <w:szCs w:val="21"/>
              </w:rPr>
              <w:t>Ⅱ</w:t>
            </w:r>
          </w:p>
        </w:tc>
        <w:tc>
          <w:tcPr>
            <w:tcW w:w="390" w:type="pct"/>
            <w:noWrap w:val="0"/>
            <w:vAlign w:val="center"/>
          </w:tcPr>
          <w:p w14:paraId="082949D4">
            <w:pPr>
              <w:spacing w:line="240" w:lineRule="auto"/>
              <w:ind w:firstLine="0" w:firstLineChars="0"/>
              <w:jc w:val="center"/>
              <w:rPr>
                <w:color w:val="000000"/>
                <w:sz w:val="21"/>
                <w:szCs w:val="21"/>
              </w:rPr>
            </w:pPr>
            <w:r>
              <w:rPr>
                <w:color w:val="000000"/>
                <w:sz w:val="21"/>
                <w:szCs w:val="21"/>
              </w:rPr>
              <w:t>Ⅲ</w:t>
            </w:r>
          </w:p>
        </w:tc>
        <w:tc>
          <w:tcPr>
            <w:tcW w:w="381" w:type="pct"/>
            <w:noWrap w:val="0"/>
            <w:vAlign w:val="center"/>
          </w:tcPr>
          <w:p w14:paraId="19A63D0C">
            <w:pPr>
              <w:spacing w:line="240" w:lineRule="auto"/>
              <w:ind w:firstLine="0" w:firstLineChars="0"/>
              <w:jc w:val="center"/>
              <w:rPr>
                <w:color w:val="000000"/>
                <w:sz w:val="21"/>
                <w:szCs w:val="21"/>
              </w:rPr>
            </w:pPr>
            <w:r>
              <w:rPr>
                <w:color w:val="000000"/>
                <w:sz w:val="21"/>
                <w:szCs w:val="21"/>
              </w:rPr>
              <w:t>Ⅰ</w:t>
            </w:r>
          </w:p>
        </w:tc>
        <w:tc>
          <w:tcPr>
            <w:tcW w:w="381" w:type="pct"/>
            <w:noWrap w:val="0"/>
            <w:vAlign w:val="center"/>
          </w:tcPr>
          <w:p w14:paraId="77D2C55A">
            <w:pPr>
              <w:spacing w:line="240" w:lineRule="auto"/>
              <w:ind w:firstLine="0" w:firstLineChars="0"/>
              <w:jc w:val="center"/>
              <w:rPr>
                <w:color w:val="000000"/>
                <w:sz w:val="21"/>
                <w:szCs w:val="21"/>
              </w:rPr>
            </w:pPr>
            <w:r>
              <w:rPr>
                <w:color w:val="000000"/>
                <w:sz w:val="21"/>
                <w:szCs w:val="21"/>
              </w:rPr>
              <w:t>Ⅱ</w:t>
            </w:r>
          </w:p>
        </w:tc>
        <w:tc>
          <w:tcPr>
            <w:tcW w:w="384" w:type="pct"/>
            <w:noWrap w:val="0"/>
            <w:vAlign w:val="center"/>
          </w:tcPr>
          <w:p w14:paraId="47C81C88">
            <w:pPr>
              <w:spacing w:line="240" w:lineRule="auto"/>
              <w:ind w:firstLine="0" w:firstLineChars="0"/>
              <w:jc w:val="center"/>
              <w:rPr>
                <w:color w:val="000000"/>
                <w:sz w:val="21"/>
                <w:szCs w:val="21"/>
              </w:rPr>
            </w:pPr>
            <w:r>
              <w:rPr>
                <w:color w:val="000000"/>
                <w:sz w:val="21"/>
                <w:szCs w:val="21"/>
              </w:rPr>
              <w:t>Ⅲ</w:t>
            </w:r>
          </w:p>
        </w:tc>
        <w:tc>
          <w:tcPr>
            <w:tcW w:w="381" w:type="pct"/>
            <w:noWrap w:val="0"/>
            <w:vAlign w:val="center"/>
          </w:tcPr>
          <w:p w14:paraId="7973005C">
            <w:pPr>
              <w:spacing w:line="240" w:lineRule="auto"/>
              <w:ind w:firstLine="0" w:firstLineChars="0"/>
              <w:jc w:val="center"/>
              <w:rPr>
                <w:color w:val="000000"/>
                <w:sz w:val="21"/>
                <w:szCs w:val="21"/>
              </w:rPr>
            </w:pPr>
            <w:r>
              <w:rPr>
                <w:color w:val="000000"/>
                <w:sz w:val="21"/>
                <w:szCs w:val="21"/>
              </w:rPr>
              <w:t>Ⅰ</w:t>
            </w:r>
          </w:p>
        </w:tc>
        <w:tc>
          <w:tcPr>
            <w:tcW w:w="383" w:type="pct"/>
            <w:noWrap w:val="0"/>
            <w:vAlign w:val="center"/>
          </w:tcPr>
          <w:p w14:paraId="74DCE514">
            <w:pPr>
              <w:spacing w:line="240" w:lineRule="auto"/>
              <w:ind w:firstLine="0" w:firstLineChars="0"/>
              <w:jc w:val="center"/>
              <w:rPr>
                <w:color w:val="000000"/>
                <w:sz w:val="21"/>
                <w:szCs w:val="21"/>
              </w:rPr>
            </w:pPr>
            <w:r>
              <w:rPr>
                <w:color w:val="000000"/>
                <w:sz w:val="21"/>
                <w:szCs w:val="21"/>
              </w:rPr>
              <w:t>Ⅱ</w:t>
            </w:r>
          </w:p>
        </w:tc>
        <w:tc>
          <w:tcPr>
            <w:tcW w:w="367" w:type="pct"/>
            <w:noWrap w:val="0"/>
            <w:vAlign w:val="center"/>
          </w:tcPr>
          <w:p w14:paraId="1D32B1D7">
            <w:pPr>
              <w:spacing w:line="240" w:lineRule="auto"/>
              <w:ind w:firstLine="0" w:firstLineChars="0"/>
              <w:jc w:val="center"/>
              <w:rPr>
                <w:color w:val="000000"/>
                <w:sz w:val="21"/>
                <w:szCs w:val="21"/>
              </w:rPr>
            </w:pPr>
            <w:r>
              <w:rPr>
                <w:color w:val="000000"/>
                <w:sz w:val="21"/>
                <w:szCs w:val="21"/>
              </w:rPr>
              <w:t>Ⅲ</w:t>
            </w:r>
          </w:p>
        </w:tc>
      </w:tr>
      <w:tr w14:paraId="6D9FB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14:paraId="17F82275">
            <w:pPr>
              <w:spacing w:line="240" w:lineRule="auto"/>
              <w:ind w:firstLine="0" w:firstLineChars="0"/>
              <w:jc w:val="center"/>
              <w:rPr>
                <w:color w:val="000000"/>
                <w:sz w:val="21"/>
                <w:szCs w:val="21"/>
              </w:rPr>
            </w:pPr>
            <w:r>
              <w:rPr>
                <w:color w:val="000000"/>
                <w:sz w:val="21"/>
                <w:szCs w:val="21"/>
              </w:rPr>
              <w:t>A</w:t>
            </w:r>
          </w:p>
        </w:tc>
        <w:tc>
          <w:tcPr>
            <w:tcW w:w="842" w:type="pct"/>
            <w:noWrap w:val="0"/>
            <w:vAlign w:val="center"/>
          </w:tcPr>
          <w:p w14:paraId="1ED5DF07">
            <w:pPr>
              <w:spacing w:line="240" w:lineRule="auto"/>
              <w:ind w:firstLine="0" w:firstLineChars="0"/>
              <w:jc w:val="center"/>
              <w:rPr>
                <w:color w:val="000000"/>
                <w:sz w:val="21"/>
                <w:szCs w:val="21"/>
              </w:rPr>
            </w:pPr>
            <w:r>
              <w:rPr>
                <w:color w:val="000000"/>
                <w:sz w:val="21"/>
                <w:szCs w:val="21"/>
              </w:rPr>
              <w:t>&lt;2</w:t>
            </w:r>
          </w:p>
        </w:tc>
        <w:tc>
          <w:tcPr>
            <w:tcW w:w="384" w:type="pct"/>
            <w:noWrap w:val="0"/>
            <w:vAlign w:val="center"/>
          </w:tcPr>
          <w:p w14:paraId="408CBB81">
            <w:pPr>
              <w:spacing w:line="240" w:lineRule="auto"/>
              <w:ind w:firstLine="0" w:firstLineChars="0"/>
              <w:jc w:val="center"/>
              <w:rPr>
                <w:color w:val="000000"/>
                <w:sz w:val="21"/>
                <w:szCs w:val="21"/>
              </w:rPr>
            </w:pPr>
            <w:r>
              <w:rPr>
                <w:color w:val="000000"/>
                <w:sz w:val="21"/>
                <w:szCs w:val="21"/>
              </w:rPr>
              <w:t>400</w:t>
            </w:r>
          </w:p>
        </w:tc>
        <w:tc>
          <w:tcPr>
            <w:tcW w:w="385" w:type="pct"/>
            <w:noWrap w:val="0"/>
            <w:vAlign w:val="center"/>
          </w:tcPr>
          <w:p w14:paraId="51F5871D">
            <w:pPr>
              <w:spacing w:line="240" w:lineRule="auto"/>
              <w:ind w:firstLine="0" w:firstLineChars="0"/>
              <w:jc w:val="center"/>
              <w:rPr>
                <w:color w:val="000000"/>
                <w:sz w:val="21"/>
                <w:szCs w:val="21"/>
              </w:rPr>
            </w:pPr>
            <w:r>
              <w:rPr>
                <w:color w:val="000000"/>
                <w:sz w:val="21"/>
                <w:szCs w:val="21"/>
              </w:rPr>
              <w:t>400</w:t>
            </w:r>
          </w:p>
        </w:tc>
        <w:tc>
          <w:tcPr>
            <w:tcW w:w="390" w:type="pct"/>
            <w:noWrap w:val="0"/>
            <w:vAlign w:val="center"/>
          </w:tcPr>
          <w:p w14:paraId="37B1B578">
            <w:pPr>
              <w:spacing w:line="240" w:lineRule="auto"/>
              <w:ind w:firstLine="0" w:firstLineChars="0"/>
              <w:jc w:val="center"/>
              <w:rPr>
                <w:color w:val="000000"/>
                <w:sz w:val="21"/>
                <w:szCs w:val="21"/>
              </w:rPr>
            </w:pPr>
            <w:r>
              <w:rPr>
                <w:color w:val="000000"/>
                <w:sz w:val="21"/>
                <w:szCs w:val="21"/>
              </w:rPr>
              <w:t>400</w:t>
            </w:r>
          </w:p>
        </w:tc>
        <w:tc>
          <w:tcPr>
            <w:tcW w:w="381" w:type="pct"/>
            <w:noWrap w:val="0"/>
            <w:vAlign w:val="center"/>
          </w:tcPr>
          <w:p w14:paraId="2019566E">
            <w:pPr>
              <w:spacing w:line="240" w:lineRule="auto"/>
              <w:ind w:firstLine="0" w:firstLineChars="0"/>
              <w:jc w:val="center"/>
              <w:rPr>
                <w:color w:val="000000"/>
                <w:sz w:val="21"/>
                <w:szCs w:val="21"/>
              </w:rPr>
            </w:pPr>
            <w:r>
              <w:rPr>
                <w:color w:val="000000"/>
                <w:sz w:val="21"/>
                <w:szCs w:val="21"/>
              </w:rPr>
              <w:t>400</w:t>
            </w:r>
          </w:p>
        </w:tc>
        <w:tc>
          <w:tcPr>
            <w:tcW w:w="381" w:type="pct"/>
            <w:noWrap w:val="0"/>
            <w:vAlign w:val="center"/>
          </w:tcPr>
          <w:p w14:paraId="1126F96D">
            <w:pPr>
              <w:spacing w:line="240" w:lineRule="auto"/>
              <w:ind w:firstLine="0" w:firstLineChars="0"/>
              <w:jc w:val="center"/>
              <w:rPr>
                <w:color w:val="000000"/>
                <w:sz w:val="21"/>
                <w:szCs w:val="21"/>
              </w:rPr>
            </w:pPr>
            <w:r>
              <w:rPr>
                <w:color w:val="000000"/>
                <w:sz w:val="21"/>
                <w:szCs w:val="21"/>
              </w:rPr>
              <w:t>400</w:t>
            </w:r>
          </w:p>
        </w:tc>
        <w:tc>
          <w:tcPr>
            <w:tcW w:w="384" w:type="pct"/>
            <w:noWrap w:val="0"/>
            <w:vAlign w:val="center"/>
          </w:tcPr>
          <w:p w14:paraId="4A937208">
            <w:pPr>
              <w:spacing w:line="240" w:lineRule="auto"/>
              <w:ind w:firstLine="0" w:firstLineChars="0"/>
              <w:jc w:val="center"/>
              <w:rPr>
                <w:color w:val="000000"/>
                <w:sz w:val="21"/>
                <w:szCs w:val="21"/>
              </w:rPr>
            </w:pPr>
            <w:r>
              <w:rPr>
                <w:color w:val="000000"/>
                <w:sz w:val="21"/>
                <w:szCs w:val="21"/>
              </w:rPr>
              <w:t>400</w:t>
            </w:r>
          </w:p>
        </w:tc>
        <w:tc>
          <w:tcPr>
            <w:tcW w:w="381" w:type="pct"/>
            <w:noWrap w:val="0"/>
            <w:vAlign w:val="center"/>
          </w:tcPr>
          <w:p w14:paraId="2EAAC978">
            <w:pPr>
              <w:spacing w:line="240" w:lineRule="auto"/>
              <w:ind w:firstLine="0" w:firstLineChars="0"/>
              <w:jc w:val="center"/>
              <w:rPr>
                <w:color w:val="000000"/>
                <w:sz w:val="21"/>
                <w:szCs w:val="21"/>
              </w:rPr>
            </w:pPr>
            <w:r>
              <w:rPr>
                <w:color w:val="000000"/>
                <w:sz w:val="21"/>
                <w:szCs w:val="21"/>
              </w:rPr>
              <w:t>80</w:t>
            </w:r>
          </w:p>
        </w:tc>
        <w:tc>
          <w:tcPr>
            <w:tcW w:w="383" w:type="pct"/>
            <w:noWrap w:val="0"/>
            <w:vAlign w:val="center"/>
          </w:tcPr>
          <w:p w14:paraId="3DFA2527">
            <w:pPr>
              <w:spacing w:line="240" w:lineRule="auto"/>
              <w:ind w:firstLine="0" w:firstLineChars="0"/>
              <w:jc w:val="center"/>
              <w:rPr>
                <w:color w:val="000000"/>
                <w:sz w:val="21"/>
                <w:szCs w:val="21"/>
              </w:rPr>
            </w:pPr>
            <w:r>
              <w:rPr>
                <w:color w:val="000000"/>
                <w:sz w:val="21"/>
                <w:szCs w:val="21"/>
              </w:rPr>
              <w:t>80</w:t>
            </w:r>
          </w:p>
        </w:tc>
        <w:tc>
          <w:tcPr>
            <w:tcW w:w="367" w:type="pct"/>
            <w:noWrap w:val="0"/>
            <w:vAlign w:val="center"/>
          </w:tcPr>
          <w:p w14:paraId="4C3B6613">
            <w:pPr>
              <w:spacing w:line="240" w:lineRule="auto"/>
              <w:ind w:firstLine="0" w:firstLineChars="0"/>
              <w:jc w:val="center"/>
              <w:rPr>
                <w:color w:val="000000"/>
                <w:sz w:val="21"/>
                <w:szCs w:val="21"/>
              </w:rPr>
            </w:pPr>
            <w:r>
              <w:rPr>
                <w:color w:val="000000"/>
                <w:sz w:val="21"/>
                <w:szCs w:val="21"/>
              </w:rPr>
              <w:t>80</w:t>
            </w:r>
          </w:p>
        </w:tc>
      </w:tr>
      <w:tr w14:paraId="522F7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3AD2F8ED">
            <w:pPr>
              <w:spacing w:line="240" w:lineRule="auto"/>
              <w:ind w:firstLine="0" w:firstLineChars="0"/>
              <w:jc w:val="center"/>
              <w:rPr>
                <w:color w:val="000000"/>
                <w:sz w:val="21"/>
                <w:szCs w:val="21"/>
              </w:rPr>
            </w:pPr>
          </w:p>
        </w:tc>
        <w:tc>
          <w:tcPr>
            <w:tcW w:w="842" w:type="pct"/>
            <w:noWrap w:val="0"/>
            <w:vAlign w:val="center"/>
          </w:tcPr>
          <w:p w14:paraId="7989F6B4">
            <w:pPr>
              <w:spacing w:line="240" w:lineRule="auto"/>
              <w:ind w:firstLine="0" w:firstLineChars="0"/>
              <w:jc w:val="center"/>
              <w:rPr>
                <w:color w:val="000000"/>
                <w:sz w:val="21"/>
                <w:szCs w:val="21"/>
              </w:rPr>
            </w:pPr>
            <w:r>
              <w:rPr>
                <w:color w:val="000000"/>
                <w:sz w:val="21"/>
                <w:szCs w:val="21"/>
              </w:rPr>
              <w:t>2-4</w:t>
            </w:r>
          </w:p>
        </w:tc>
        <w:tc>
          <w:tcPr>
            <w:tcW w:w="384" w:type="pct"/>
            <w:noWrap w:val="0"/>
            <w:vAlign w:val="center"/>
          </w:tcPr>
          <w:p w14:paraId="5782A444">
            <w:pPr>
              <w:spacing w:line="240" w:lineRule="auto"/>
              <w:ind w:firstLine="0" w:firstLineChars="0"/>
              <w:jc w:val="center"/>
              <w:rPr>
                <w:color w:val="000000"/>
                <w:sz w:val="21"/>
                <w:szCs w:val="21"/>
              </w:rPr>
            </w:pPr>
            <w:r>
              <w:rPr>
                <w:color w:val="000000"/>
                <w:sz w:val="21"/>
                <w:szCs w:val="21"/>
              </w:rPr>
              <w:t>700</w:t>
            </w:r>
          </w:p>
        </w:tc>
        <w:tc>
          <w:tcPr>
            <w:tcW w:w="385" w:type="pct"/>
            <w:noWrap w:val="0"/>
            <w:vAlign w:val="center"/>
          </w:tcPr>
          <w:p w14:paraId="1BCA53ED">
            <w:pPr>
              <w:spacing w:line="240" w:lineRule="auto"/>
              <w:ind w:firstLine="0" w:firstLineChars="0"/>
              <w:jc w:val="center"/>
              <w:rPr>
                <w:color w:val="000000"/>
                <w:sz w:val="21"/>
                <w:szCs w:val="21"/>
              </w:rPr>
            </w:pPr>
            <w:r>
              <w:rPr>
                <w:b/>
                <w:bCs/>
                <w:color w:val="000000"/>
                <w:sz w:val="21"/>
                <w:szCs w:val="21"/>
              </w:rPr>
              <w:t>470</w:t>
            </w:r>
          </w:p>
        </w:tc>
        <w:tc>
          <w:tcPr>
            <w:tcW w:w="390" w:type="pct"/>
            <w:noWrap w:val="0"/>
            <w:vAlign w:val="center"/>
          </w:tcPr>
          <w:p w14:paraId="76C02EBF">
            <w:pPr>
              <w:spacing w:line="240" w:lineRule="auto"/>
              <w:ind w:firstLine="0" w:firstLineChars="0"/>
              <w:jc w:val="center"/>
              <w:rPr>
                <w:color w:val="000000"/>
                <w:sz w:val="21"/>
                <w:szCs w:val="21"/>
              </w:rPr>
            </w:pPr>
            <w:r>
              <w:rPr>
                <w:color w:val="000000"/>
                <w:sz w:val="21"/>
                <w:szCs w:val="21"/>
              </w:rPr>
              <w:t>350</w:t>
            </w:r>
          </w:p>
        </w:tc>
        <w:tc>
          <w:tcPr>
            <w:tcW w:w="381" w:type="pct"/>
            <w:noWrap w:val="0"/>
            <w:vAlign w:val="center"/>
          </w:tcPr>
          <w:p w14:paraId="47291C18">
            <w:pPr>
              <w:spacing w:line="240" w:lineRule="auto"/>
              <w:ind w:firstLine="0" w:firstLineChars="0"/>
              <w:jc w:val="center"/>
              <w:rPr>
                <w:color w:val="000000"/>
                <w:sz w:val="21"/>
                <w:szCs w:val="21"/>
              </w:rPr>
            </w:pPr>
            <w:r>
              <w:rPr>
                <w:color w:val="000000"/>
                <w:sz w:val="21"/>
                <w:szCs w:val="21"/>
              </w:rPr>
              <w:t>700</w:t>
            </w:r>
          </w:p>
        </w:tc>
        <w:tc>
          <w:tcPr>
            <w:tcW w:w="381" w:type="pct"/>
            <w:noWrap w:val="0"/>
            <w:vAlign w:val="center"/>
          </w:tcPr>
          <w:p w14:paraId="04D0A829">
            <w:pPr>
              <w:spacing w:line="240" w:lineRule="auto"/>
              <w:ind w:firstLine="0" w:firstLineChars="0"/>
              <w:jc w:val="center"/>
              <w:rPr>
                <w:color w:val="000000"/>
                <w:sz w:val="21"/>
                <w:szCs w:val="21"/>
              </w:rPr>
            </w:pPr>
            <w:r>
              <w:rPr>
                <w:color w:val="000000"/>
                <w:sz w:val="21"/>
                <w:szCs w:val="21"/>
              </w:rPr>
              <w:t>470</w:t>
            </w:r>
          </w:p>
        </w:tc>
        <w:tc>
          <w:tcPr>
            <w:tcW w:w="384" w:type="pct"/>
            <w:noWrap w:val="0"/>
            <w:vAlign w:val="center"/>
          </w:tcPr>
          <w:p w14:paraId="65F9672D">
            <w:pPr>
              <w:spacing w:line="240" w:lineRule="auto"/>
              <w:ind w:firstLine="0" w:firstLineChars="0"/>
              <w:jc w:val="center"/>
              <w:rPr>
                <w:color w:val="000000"/>
                <w:sz w:val="21"/>
                <w:szCs w:val="21"/>
              </w:rPr>
            </w:pPr>
            <w:r>
              <w:rPr>
                <w:color w:val="000000"/>
                <w:sz w:val="21"/>
                <w:szCs w:val="21"/>
              </w:rPr>
              <w:t>350</w:t>
            </w:r>
          </w:p>
        </w:tc>
        <w:tc>
          <w:tcPr>
            <w:tcW w:w="381" w:type="pct"/>
            <w:noWrap w:val="0"/>
            <w:vAlign w:val="center"/>
          </w:tcPr>
          <w:p w14:paraId="0890A0DA">
            <w:pPr>
              <w:spacing w:line="240" w:lineRule="auto"/>
              <w:ind w:firstLine="0" w:firstLineChars="0"/>
              <w:jc w:val="center"/>
              <w:rPr>
                <w:color w:val="000000"/>
                <w:sz w:val="21"/>
                <w:szCs w:val="21"/>
              </w:rPr>
            </w:pPr>
            <w:r>
              <w:rPr>
                <w:color w:val="000000"/>
                <w:sz w:val="21"/>
                <w:szCs w:val="21"/>
              </w:rPr>
              <w:t>380</w:t>
            </w:r>
          </w:p>
        </w:tc>
        <w:tc>
          <w:tcPr>
            <w:tcW w:w="383" w:type="pct"/>
            <w:noWrap w:val="0"/>
            <w:vAlign w:val="center"/>
          </w:tcPr>
          <w:p w14:paraId="6AD881F9">
            <w:pPr>
              <w:spacing w:line="240" w:lineRule="auto"/>
              <w:ind w:firstLine="0" w:firstLineChars="0"/>
              <w:jc w:val="center"/>
              <w:rPr>
                <w:color w:val="000000"/>
                <w:sz w:val="21"/>
                <w:szCs w:val="21"/>
              </w:rPr>
            </w:pPr>
            <w:r>
              <w:rPr>
                <w:color w:val="000000"/>
                <w:sz w:val="21"/>
                <w:szCs w:val="21"/>
              </w:rPr>
              <w:t>250</w:t>
            </w:r>
          </w:p>
        </w:tc>
        <w:tc>
          <w:tcPr>
            <w:tcW w:w="367" w:type="pct"/>
            <w:noWrap w:val="0"/>
            <w:vAlign w:val="center"/>
          </w:tcPr>
          <w:p w14:paraId="5A4DDEA1">
            <w:pPr>
              <w:spacing w:line="240" w:lineRule="auto"/>
              <w:ind w:firstLine="0" w:firstLineChars="0"/>
              <w:jc w:val="center"/>
              <w:rPr>
                <w:color w:val="000000"/>
                <w:sz w:val="21"/>
                <w:szCs w:val="21"/>
              </w:rPr>
            </w:pPr>
            <w:r>
              <w:rPr>
                <w:color w:val="000000"/>
                <w:sz w:val="21"/>
                <w:szCs w:val="21"/>
              </w:rPr>
              <w:t>190</w:t>
            </w:r>
          </w:p>
        </w:tc>
      </w:tr>
      <w:tr w14:paraId="0156A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44B690A5">
            <w:pPr>
              <w:spacing w:line="240" w:lineRule="auto"/>
              <w:ind w:firstLine="0" w:firstLineChars="0"/>
              <w:jc w:val="center"/>
              <w:rPr>
                <w:color w:val="000000"/>
                <w:sz w:val="21"/>
                <w:szCs w:val="21"/>
              </w:rPr>
            </w:pPr>
          </w:p>
        </w:tc>
        <w:tc>
          <w:tcPr>
            <w:tcW w:w="842" w:type="pct"/>
            <w:noWrap w:val="0"/>
            <w:vAlign w:val="center"/>
          </w:tcPr>
          <w:p w14:paraId="72483274">
            <w:pPr>
              <w:spacing w:line="240" w:lineRule="auto"/>
              <w:ind w:firstLine="0" w:firstLineChars="0"/>
              <w:jc w:val="center"/>
              <w:rPr>
                <w:color w:val="000000"/>
                <w:sz w:val="21"/>
                <w:szCs w:val="21"/>
              </w:rPr>
            </w:pPr>
            <w:r>
              <w:rPr>
                <w:color w:val="000000"/>
                <w:sz w:val="21"/>
                <w:szCs w:val="21"/>
              </w:rPr>
              <w:t>&gt;4</w:t>
            </w:r>
          </w:p>
        </w:tc>
        <w:tc>
          <w:tcPr>
            <w:tcW w:w="384" w:type="pct"/>
            <w:noWrap w:val="0"/>
            <w:vAlign w:val="center"/>
          </w:tcPr>
          <w:p w14:paraId="32AB9809">
            <w:pPr>
              <w:spacing w:line="240" w:lineRule="auto"/>
              <w:ind w:firstLine="0" w:firstLineChars="0"/>
              <w:jc w:val="center"/>
              <w:rPr>
                <w:color w:val="000000"/>
                <w:sz w:val="21"/>
                <w:szCs w:val="21"/>
              </w:rPr>
            </w:pPr>
            <w:r>
              <w:rPr>
                <w:color w:val="000000"/>
                <w:sz w:val="21"/>
                <w:szCs w:val="21"/>
              </w:rPr>
              <w:t>530</w:t>
            </w:r>
          </w:p>
        </w:tc>
        <w:tc>
          <w:tcPr>
            <w:tcW w:w="385" w:type="pct"/>
            <w:noWrap w:val="0"/>
            <w:vAlign w:val="center"/>
          </w:tcPr>
          <w:p w14:paraId="3643B11B">
            <w:pPr>
              <w:spacing w:line="240" w:lineRule="auto"/>
              <w:ind w:firstLine="0" w:firstLineChars="0"/>
              <w:jc w:val="center"/>
              <w:rPr>
                <w:color w:val="000000"/>
                <w:sz w:val="21"/>
                <w:szCs w:val="21"/>
              </w:rPr>
            </w:pPr>
            <w:r>
              <w:rPr>
                <w:color w:val="000000"/>
                <w:sz w:val="21"/>
                <w:szCs w:val="21"/>
              </w:rPr>
              <w:t>350</w:t>
            </w:r>
          </w:p>
        </w:tc>
        <w:tc>
          <w:tcPr>
            <w:tcW w:w="390" w:type="pct"/>
            <w:noWrap w:val="0"/>
            <w:vAlign w:val="center"/>
          </w:tcPr>
          <w:p w14:paraId="0ED695B2">
            <w:pPr>
              <w:spacing w:line="240" w:lineRule="auto"/>
              <w:ind w:firstLine="0" w:firstLineChars="0"/>
              <w:jc w:val="center"/>
              <w:rPr>
                <w:color w:val="000000"/>
                <w:sz w:val="21"/>
                <w:szCs w:val="21"/>
              </w:rPr>
            </w:pPr>
            <w:r>
              <w:rPr>
                <w:color w:val="000000"/>
                <w:sz w:val="21"/>
                <w:szCs w:val="21"/>
              </w:rPr>
              <w:t>260</w:t>
            </w:r>
          </w:p>
        </w:tc>
        <w:tc>
          <w:tcPr>
            <w:tcW w:w="381" w:type="pct"/>
            <w:noWrap w:val="0"/>
            <w:vAlign w:val="center"/>
          </w:tcPr>
          <w:p w14:paraId="6AC919B0">
            <w:pPr>
              <w:spacing w:line="240" w:lineRule="auto"/>
              <w:ind w:firstLine="0" w:firstLineChars="0"/>
              <w:jc w:val="center"/>
              <w:rPr>
                <w:color w:val="000000"/>
                <w:sz w:val="21"/>
                <w:szCs w:val="21"/>
              </w:rPr>
            </w:pPr>
            <w:r>
              <w:rPr>
                <w:color w:val="000000"/>
                <w:sz w:val="21"/>
                <w:szCs w:val="21"/>
              </w:rPr>
              <w:t>530</w:t>
            </w:r>
          </w:p>
        </w:tc>
        <w:tc>
          <w:tcPr>
            <w:tcW w:w="381" w:type="pct"/>
            <w:noWrap w:val="0"/>
            <w:vAlign w:val="center"/>
          </w:tcPr>
          <w:p w14:paraId="47B65B33">
            <w:pPr>
              <w:spacing w:line="240" w:lineRule="auto"/>
              <w:ind w:firstLine="0" w:firstLineChars="0"/>
              <w:jc w:val="center"/>
              <w:rPr>
                <w:color w:val="000000"/>
                <w:sz w:val="21"/>
                <w:szCs w:val="21"/>
              </w:rPr>
            </w:pPr>
            <w:r>
              <w:rPr>
                <w:color w:val="000000"/>
                <w:sz w:val="21"/>
                <w:szCs w:val="21"/>
              </w:rPr>
              <w:t>350</w:t>
            </w:r>
          </w:p>
        </w:tc>
        <w:tc>
          <w:tcPr>
            <w:tcW w:w="384" w:type="pct"/>
            <w:noWrap w:val="0"/>
            <w:vAlign w:val="center"/>
          </w:tcPr>
          <w:p w14:paraId="4C3560F3">
            <w:pPr>
              <w:spacing w:line="240" w:lineRule="auto"/>
              <w:ind w:firstLine="0" w:firstLineChars="0"/>
              <w:jc w:val="center"/>
              <w:rPr>
                <w:color w:val="000000"/>
                <w:sz w:val="21"/>
                <w:szCs w:val="21"/>
              </w:rPr>
            </w:pPr>
            <w:r>
              <w:rPr>
                <w:color w:val="000000"/>
                <w:sz w:val="21"/>
                <w:szCs w:val="21"/>
              </w:rPr>
              <w:t>260</w:t>
            </w:r>
          </w:p>
        </w:tc>
        <w:tc>
          <w:tcPr>
            <w:tcW w:w="381" w:type="pct"/>
            <w:noWrap w:val="0"/>
            <w:vAlign w:val="center"/>
          </w:tcPr>
          <w:p w14:paraId="3A5BE72A">
            <w:pPr>
              <w:spacing w:line="240" w:lineRule="auto"/>
              <w:ind w:firstLine="0" w:firstLineChars="0"/>
              <w:jc w:val="center"/>
              <w:rPr>
                <w:color w:val="000000"/>
                <w:sz w:val="21"/>
                <w:szCs w:val="21"/>
              </w:rPr>
            </w:pPr>
            <w:r>
              <w:rPr>
                <w:color w:val="000000"/>
                <w:sz w:val="21"/>
                <w:szCs w:val="21"/>
              </w:rPr>
              <w:t>290</w:t>
            </w:r>
          </w:p>
        </w:tc>
        <w:tc>
          <w:tcPr>
            <w:tcW w:w="383" w:type="pct"/>
            <w:noWrap w:val="0"/>
            <w:vAlign w:val="center"/>
          </w:tcPr>
          <w:p w14:paraId="5C12EFE7">
            <w:pPr>
              <w:spacing w:line="240" w:lineRule="auto"/>
              <w:ind w:firstLine="0" w:firstLineChars="0"/>
              <w:jc w:val="center"/>
              <w:rPr>
                <w:color w:val="000000"/>
                <w:sz w:val="21"/>
                <w:szCs w:val="21"/>
              </w:rPr>
            </w:pPr>
            <w:r>
              <w:rPr>
                <w:color w:val="000000"/>
                <w:sz w:val="21"/>
                <w:szCs w:val="21"/>
              </w:rPr>
              <w:t>190</w:t>
            </w:r>
          </w:p>
        </w:tc>
        <w:tc>
          <w:tcPr>
            <w:tcW w:w="367" w:type="pct"/>
            <w:noWrap w:val="0"/>
            <w:vAlign w:val="center"/>
          </w:tcPr>
          <w:p w14:paraId="7B907C4A">
            <w:pPr>
              <w:spacing w:line="240" w:lineRule="auto"/>
              <w:ind w:firstLine="0" w:firstLineChars="0"/>
              <w:jc w:val="center"/>
              <w:rPr>
                <w:color w:val="000000"/>
                <w:sz w:val="21"/>
                <w:szCs w:val="21"/>
              </w:rPr>
            </w:pPr>
            <w:r>
              <w:rPr>
                <w:color w:val="000000"/>
                <w:sz w:val="21"/>
                <w:szCs w:val="21"/>
              </w:rPr>
              <w:t>140</w:t>
            </w:r>
          </w:p>
        </w:tc>
      </w:tr>
      <w:tr w14:paraId="1813A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14:paraId="6B53564D">
            <w:pPr>
              <w:spacing w:line="240" w:lineRule="auto"/>
              <w:ind w:firstLine="0" w:firstLineChars="0"/>
              <w:jc w:val="center"/>
              <w:rPr>
                <w:color w:val="000000"/>
                <w:sz w:val="21"/>
                <w:szCs w:val="21"/>
              </w:rPr>
            </w:pPr>
            <w:r>
              <w:rPr>
                <w:color w:val="000000"/>
                <w:sz w:val="21"/>
                <w:szCs w:val="21"/>
              </w:rPr>
              <w:t>B</w:t>
            </w:r>
          </w:p>
        </w:tc>
        <w:tc>
          <w:tcPr>
            <w:tcW w:w="842" w:type="pct"/>
            <w:noWrap w:val="0"/>
            <w:vAlign w:val="center"/>
          </w:tcPr>
          <w:p w14:paraId="0C42DCBE">
            <w:pPr>
              <w:spacing w:line="240" w:lineRule="auto"/>
              <w:ind w:firstLine="0" w:firstLineChars="0"/>
              <w:jc w:val="center"/>
              <w:rPr>
                <w:color w:val="000000"/>
                <w:sz w:val="21"/>
                <w:szCs w:val="21"/>
              </w:rPr>
            </w:pPr>
            <w:r>
              <w:rPr>
                <w:color w:val="000000"/>
                <w:sz w:val="21"/>
                <w:szCs w:val="21"/>
              </w:rPr>
              <w:t>&lt;2</w:t>
            </w:r>
          </w:p>
        </w:tc>
        <w:tc>
          <w:tcPr>
            <w:tcW w:w="1159" w:type="pct"/>
            <w:gridSpan w:val="3"/>
            <w:noWrap w:val="0"/>
            <w:vAlign w:val="center"/>
          </w:tcPr>
          <w:p w14:paraId="53678EA6">
            <w:pPr>
              <w:spacing w:line="240" w:lineRule="auto"/>
              <w:ind w:firstLine="0" w:firstLineChars="0"/>
              <w:jc w:val="center"/>
              <w:rPr>
                <w:color w:val="000000"/>
                <w:sz w:val="21"/>
                <w:szCs w:val="21"/>
              </w:rPr>
            </w:pPr>
            <w:r>
              <w:rPr>
                <w:color w:val="000000"/>
                <w:sz w:val="21"/>
                <w:szCs w:val="21"/>
              </w:rPr>
              <w:t>0.01</w:t>
            </w:r>
          </w:p>
        </w:tc>
        <w:tc>
          <w:tcPr>
            <w:tcW w:w="1145" w:type="pct"/>
            <w:gridSpan w:val="3"/>
            <w:noWrap w:val="0"/>
            <w:vAlign w:val="center"/>
          </w:tcPr>
          <w:p w14:paraId="4A0E816A">
            <w:pPr>
              <w:spacing w:line="240" w:lineRule="auto"/>
              <w:ind w:firstLine="0" w:firstLineChars="0"/>
              <w:jc w:val="center"/>
              <w:rPr>
                <w:color w:val="000000"/>
                <w:sz w:val="21"/>
                <w:szCs w:val="21"/>
              </w:rPr>
            </w:pPr>
            <w:r>
              <w:rPr>
                <w:color w:val="000000"/>
                <w:sz w:val="21"/>
                <w:szCs w:val="21"/>
              </w:rPr>
              <w:t>0.015</w:t>
            </w:r>
          </w:p>
        </w:tc>
        <w:tc>
          <w:tcPr>
            <w:tcW w:w="1131" w:type="pct"/>
            <w:gridSpan w:val="3"/>
            <w:noWrap w:val="0"/>
            <w:vAlign w:val="center"/>
          </w:tcPr>
          <w:p w14:paraId="191044E0">
            <w:pPr>
              <w:spacing w:line="240" w:lineRule="auto"/>
              <w:ind w:firstLine="0" w:firstLineChars="0"/>
              <w:jc w:val="center"/>
              <w:rPr>
                <w:color w:val="000000"/>
                <w:sz w:val="21"/>
                <w:szCs w:val="21"/>
              </w:rPr>
            </w:pPr>
            <w:r>
              <w:rPr>
                <w:color w:val="000000"/>
                <w:sz w:val="21"/>
                <w:szCs w:val="21"/>
              </w:rPr>
              <w:t>0.015</w:t>
            </w:r>
          </w:p>
        </w:tc>
      </w:tr>
      <w:tr w14:paraId="457CF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21147FEF">
            <w:pPr>
              <w:spacing w:line="240" w:lineRule="auto"/>
              <w:ind w:firstLine="0" w:firstLineChars="0"/>
              <w:jc w:val="center"/>
              <w:rPr>
                <w:color w:val="000000"/>
                <w:sz w:val="21"/>
                <w:szCs w:val="21"/>
              </w:rPr>
            </w:pPr>
          </w:p>
        </w:tc>
        <w:tc>
          <w:tcPr>
            <w:tcW w:w="842" w:type="pct"/>
            <w:noWrap w:val="0"/>
            <w:vAlign w:val="center"/>
          </w:tcPr>
          <w:p w14:paraId="3048226D">
            <w:pPr>
              <w:spacing w:line="240" w:lineRule="auto"/>
              <w:ind w:firstLine="0" w:firstLineChars="0"/>
              <w:jc w:val="center"/>
              <w:rPr>
                <w:color w:val="000000"/>
                <w:sz w:val="21"/>
                <w:szCs w:val="21"/>
              </w:rPr>
            </w:pPr>
            <w:r>
              <w:rPr>
                <w:color w:val="000000"/>
                <w:sz w:val="21"/>
                <w:szCs w:val="21"/>
              </w:rPr>
              <w:t>&gt;2</w:t>
            </w:r>
          </w:p>
        </w:tc>
        <w:tc>
          <w:tcPr>
            <w:tcW w:w="1159" w:type="pct"/>
            <w:gridSpan w:val="3"/>
            <w:noWrap w:val="0"/>
            <w:vAlign w:val="center"/>
          </w:tcPr>
          <w:p w14:paraId="713F2008">
            <w:pPr>
              <w:spacing w:line="240" w:lineRule="auto"/>
              <w:ind w:firstLine="0" w:firstLineChars="0"/>
              <w:jc w:val="center"/>
              <w:rPr>
                <w:color w:val="000000"/>
                <w:sz w:val="21"/>
                <w:szCs w:val="21"/>
              </w:rPr>
            </w:pPr>
            <w:r>
              <w:rPr>
                <w:b/>
                <w:bCs/>
                <w:color w:val="000000"/>
                <w:sz w:val="21"/>
                <w:szCs w:val="21"/>
              </w:rPr>
              <w:t>0.021</w:t>
            </w:r>
          </w:p>
        </w:tc>
        <w:tc>
          <w:tcPr>
            <w:tcW w:w="1145" w:type="pct"/>
            <w:gridSpan w:val="3"/>
            <w:noWrap w:val="0"/>
            <w:vAlign w:val="center"/>
          </w:tcPr>
          <w:p w14:paraId="6C73C7F5">
            <w:pPr>
              <w:spacing w:line="240" w:lineRule="auto"/>
              <w:ind w:firstLine="0" w:firstLineChars="0"/>
              <w:jc w:val="center"/>
              <w:rPr>
                <w:color w:val="000000"/>
                <w:sz w:val="21"/>
                <w:szCs w:val="21"/>
              </w:rPr>
            </w:pPr>
            <w:r>
              <w:rPr>
                <w:color w:val="000000"/>
                <w:sz w:val="21"/>
                <w:szCs w:val="21"/>
              </w:rPr>
              <w:t>0.036</w:t>
            </w:r>
          </w:p>
        </w:tc>
        <w:tc>
          <w:tcPr>
            <w:tcW w:w="1131" w:type="pct"/>
            <w:gridSpan w:val="3"/>
            <w:noWrap w:val="0"/>
            <w:vAlign w:val="center"/>
          </w:tcPr>
          <w:p w14:paraId="7AADEB26">
            <w:pPr>
              <w:spacing w:line="240" w:lineRule="auto"/>
              <w:ind w:firstLine="0" w:firstLineChars="0"/>
              <w:jc w:val="center"/>
              <w:rPr>
                <w:color w:val="000000"/>
                <w:sz w:val="21"/>
                <w:szCs w:val="21"/>
              </w:rPr>
            </w:pPr>
            <w:r>
              <w:rPr>
                <w:color w:val="000000"/>
                <w:sz w:val="21"/>
                <w:szCs w:val="21"/>
              </w:rPr>
              <w:t>0.036</w:t>
            </w:r>
          </w:p>
        </w:tc>
      </w:tr>
      <w:tr w14:paraId="0FEF0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14:paraId="138E6775">
            <w:pPr>
              <w:spacing w:line="240" w:lineRule="auto"/>
              <w:ind w:firstLine="0" w:firstLineChars="0"/>
              <w:jc w:val="center"/>
              <w:rPr>
                <w:color w:val="000000"/>
                <w:sz w:val="21"/>
                <w:szCs w:val="21"/>
              </w:rPr>
            </w:pPr>
            <w:r>
              <w:rPr>
                <w:color w:val="000000"/>
                <w:sz w:val="21"/>
                <w:szCs w:val="21"/>
              </w:rPr>
              <w:t>C</w:t>
            </w:r>
          </w:p>
        </w:tc>
        <w:tc>
          <w:tcPr>
            <w:tcW w:w="842" w:type="pct"/>
            <w:noWrap w:val="0"/>
            <w:vAlign w:val="center"/>
          </w:tcPr>
          <w:p w14:paraId="36F9BE6B">
            <w:pPr>
              <w:spacing w:line="240" w:lineRule="auto"/>
              <w:ind w:firstLine="0" w:firstLineChars="0"/>
              <w:jc w:val="center"/>
              <w:rPr>
                <w:color w:val="000000"/>
                <w:sz w:val="21"/>
                <w:szCs w:val="21"/>
              </w:rPr>
            </w:pPr>
            <w:r>
              <w:rPr>
                <w:color w:val="000000"/>
                <w:sz w:val="21"/>
                <w:szCs w:val="21"/>
              </w:rPr>
              <w:t>&lt;2</w:t>
            </w:r>
          </w:p>
        </w:tc>
        <w:tc>
          <w:tcPr>
            <w:tcW w:w="1159" w:type="pct"/>
            <w:gridSpan w:val="3"/>
            <w:noWrap w:val="0"/>
            <w:vAlign w:val="center"/>
          </w:tcPr>
          <w:p w14:paraId="6581AD70">
            <w:pPr>
              <w:spacing w:line="240" w:lineRule="auto"/>
              <w:ind w:firstLine="0" w:firstLineChars="0"/>
              <w:jc w:val="center"/>
              <w:rPr>
                <w:color w:val="000000"/>
                <w:sz w:val="21"/>
                <w:szCs w:val="21"/>
              </w:rPr>
            </w:pPr>
            <w:r>
              <w:rPr>
                <w:color w:val="000000"/>
                <w:sz w:val="21"/>
                <w:szCs w:val="21"/>
              </w:rPr>
              <w:t>1.85</w:t>
            </w:r>
          </w:p>
        </w:tc>
        <w:tc>
          <w:tcPr>
            <w:tcW w:w="1145" w:type="pct"/>
            <w:gridSpan w:val="3"/>
            <w:noWrap w:val="0"/>
            <w:vAlign w:val="center"/>
          </w:tcPr>
          <w:p w14:paraId="4896C60D">
            <w:pPr>
              <w:spacing w:line="240" w:lineRule="auto"/>
              <w:ind w:firstLine="0" w:firstLineChars="0"/>
              <w:jc w:val="center"/>
              <w:rPr>
                <w:color w:val="000000"/>
                <w:sz w:val="21"/>
                <w:szCs w:val="21"/>
              </w:rPr>
            </w:pPr>
            <w:r>
              <w:rPr>
                <w:color w:val="000000"/>
                <w:sz w:val="21"/>
                <w:szCs w:val="21"/>
              </w:rPr>
              <w:t>1.79</w:t>
            </w:r>
          </w:p>
        </w:tc>
        <w:tc>
          <w:tcPr>
            <w:tcW w:w="1131" w:type="pct"/>
            <w:gridSpan w:val="3"/>
            <w:noWrap w:val="0"/>
            <w:vAlign w:val="center"/>
          </w:tcPr>
          <w:p w14:paraId="5AD8620F">
            <w:pPr>
              <w:spacing w:line="240" w:lineRule="auto"/>
              <w:ind w:firstLine="0" w:firstLineChars="0"/>
              <w:jc w:val="center"/>
              <w:rPr>
                <w:color w:val="000000"/>
                <w:sz w:val="21"/>
                <w:szCs w:val="21"/>
              </w:rPr>
            </w:pPr>
            <w:r>
              <w:rPr>
                <w:color w:val="000000"/>
                <w:sz w:val="21"/>
                <w:szCs w:val="21"/>
              </w:rPr>
              <w:t>1.79</w:t>
            </w:r>
          </w:p>
        </w:tc>
      </w:tr>
      <w:tr w14:paraId="1D56F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4EBD5D82">
            <w:pPr>
              <w:spacing w:line="240" w:lineRule="auto"/>
              <w:ind w:firstLine="0" w:firstLineChars="0"/>
              <w:jc w:val="center"/>
              <w:rPr>
                <w:color w:val="000000"/>
                <w:sz w:val="21"/>
                <w:szCs w:val="21"/>
              </w:rPr>
            </w:pPr>
          </w:p>
        </w:tc>
        <w:tc>
          <w:tcPr>
            <w:tcW w:w="842" w:type="pct"/>
            <w:noWrap w:val="0"/>
            <w:vAlign w:val="center"/>
          </w:tcPr>
          <w:p w14:paraId="7F281485">
            <w:pPr>
              <w:spacing w:line="240" w:lineRule="auto"/>
              <w:ind w:firstLine="0" w:firstLineChars="0"/>
              <w:jc w:val="center"/>
              <w:rPr>
                <w:color w:val="000000"/>
                <w:sz w:val="21"/>
                <w:szCs w:val="21"/>
              </w:rPr>
            </w:pPr>
            <w:r>
              <w:rPr>
                <w:color w:val="000000"/>
                <w:sz w:val="21"/>
                <w:szCs w:val="21"/>
              </w:rPr>
              <w:t>&gt;2</w:t>
            </w:r>
          </w:p>
        </w:tc>
        <w:tc>
          <w:tcPr>
            <w:tcW w:w="1159" w:type="pct"/>
            <w:gridSpan w:val="3"/>
            <w:noWrap w:val="0"/>
            <w:vAlign w:val="center"/>
          </w:tcPr>
          <w:p w14:paraId="7991E9F6">
            <w:pPr>
              <w:spacing w:line="240" w:lineRule="auto"/>
              <w:ind w:firstLine="0" w:firstLineChars="0"/>
              <w:jc w:val="center"/>
              <w:rPr>
                <w:color w:val="000000"/>
                <w:sz w:val="21"/>
                <w:szCs w:val="21"/>
              </w:rPr>
            </w:pPr>
            <w:r>
              <w:rPr>
                <w:b/>
                <w:bCs/>
                <w:color w:val="000000"/>
                <w:sz w:val="21"/>
                <w:szCs w:val="21"/>
              </w:rPr>
              <w:t>1.85</w:t>
            </w:r>
          </w:p>
        </w:tc>
        <w:tc>
          <w:tcPr>
            <w:tcW w:w="1145" w:type="pct"/>
            <w:gridSpan w:val="3"/>
            <w:noWrap w:val="0"/>
            <w:vAlign w:val="center"/>
          </w:tcPr>
          <w:p w14:paraId="72AD4B82">
            <w:pPr>
              <w:spacing w:line="240" w:lineRule="auto"/>
              <w:ind w:firstLine="0" w:firstLineChars="0"/>
              <w:jc w:val="center"/>
              <w:rPr>
                <w:color w:val="000000"/>
                <w:sz w:val="21"/>
                <w:szCs w:val="21"/>
              </w:rPr>
            </w:pPr>
            <w:r>
              <w:rPr>
                <w:color w:val="000000"/>
                <w:sz w:val="21"/>
                <w:szCs w:val="21"/>
              </w:rPr>
              <w:t>1.77</w:t>
            </w:r>
          </w:p>
        </w:tc>
        <w:tc>
          <w:tcPr>
            <w:tcW w:w="1131" w:type="pct"/>
            <w:gridSpan w:val="3"/>
            <w:noWrap w:val="0"/>
            <w:vAlign w:val="center"/>
          </w:tcPr>
          <w:p w14:paraId="129E470C">
            <w:pPr>
              <w:spacing w:line="240" w:lineRule="auto"/>
              <w:ind w:firstLine="0" w:firstLineChars="0"/>
              <w:jc w:val="center"/>
              <w:rPr>
                <w:color w:val="000000"/>
                <w:sz w:val="21"/>
                <w:szCs w:val="21"/>
              </w:rPr>
            </w:pPr>
            <w:r>
              <w:rPr>
                <w:color w:val="000000"/>
                <w:sz w:val="21"/>
                <w:szCs w:val="21"/>
              </w:rPr>
              <w:t>1.77</w:t>
            </w:r>
          </w:p>
        </w:tc>
      </w:tr>
      <w:tr w14:paraId="5BE62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14:paraId="6CF35BF0">
            <w:pPr>
              <w:spacing w:line="240" w:lineRule="auto"/>
              <w:ind w:firstLine="0" w:firstLineChars="0"/>
              <w:jc w:val="center"/>
              <w:rPr>
                <w:color w:val="000000"/>
                <w:sz w:val="21"/>
                <w:szCs w:val="21"/>
              </w:rPr>
            </w:pPr>
            <w:r>
              <w:rPr>
                <w:color w:val="000000"/>
                <w:sz w:val="21"/>
                <w:szCs w:val="21"/>
              </w:rPr>
              <w:t>D</w:t>
            </w:r>
          </w:p>
        </w:tc>
        <w:tc>
          <w:tcPr>
            <w:tcW w:w="842" w:type="pct"/>
            <w:noWrap w:val="0"/>
            <w:vAlign w:val="center"/>
          </w:tcPr>
          <w:p w14:paraId="52AE0C9B">
            <w:pPr>
              <w:spacing w:line="240" w:lineRule="auto"/>
              <w:ind w:firstLine="0" w:firstLineChars="0"/>
              <w:jc w:val="center"/>
              <w:rPr>
                <w:color w:val="000000"/>
                <w:sz w:val="21"/>
                <w:szCs w:val="21"/>
              </w:rPr>
            </w:pPr>
            <w:r>
              <w:rPr>
                <w:color w:val="000000"/>
                <w:sz w:val="21"/>
                <w:szCs w:val="21"/>
              </w:rPr>
              <w:t>&lt;2</w:t>
            </w:r>
          </w:p>
        </w:tc>
        <w:tc>
          <w:tcPr>
            <w:tcW w:w="1159" w:type="pct"/>
            <w:gridSpan w:val="3"/>
            <w:noWrap w:val="0"/>
            <w:vAlign w:val="center"/>
          </w:tcPr>
          <w:p w14:paraId="067CF243">
            <w:pPr>
              <w:spacing w:line="240" w:lineRule="auto"/>
              <w:ind w:firstLine="0" w:firstLineChars="0"/>
              <w:jc w:val="center"/>
              <w:rPr>
                <w:color w:val="000000"/>
                <w:sz w:val="21"/>
                <w:szCs w:val="21"/>
              </w:rPr>
            </w:pPr>
            <w:r>
              <w:rPr>
                <w:color w:val="000000"/>
                <w:sz w:val="21"/>
                <w:szCs w:val="21"/>
              </w:rPr>
              <w:t>0.78</w:t>
            </w:r>
          </w:p>
        </w:tc>
        <w:tc>
          <w:tcPr>
            <w:tcW w:w="1145" w:type="pct"/>
            <w:gridSpan w:val="3"/>
            <w:noWrap w:val="0"/>
            <w:vAlign w:val="center"/>
          </w:tcPr>
          <w:p w14:paraId="4E371B5C">
            <w:pPr>
              <w:spacing w:line="240" w:lineRule="auto"/>
              <w:ind w:firstLine="0" w:firstLineChars="0"/>
              <w:jc w:val="center"/>
              <w:rPr>
                <w:color w:val="000000"/>
                <w:sz w:val="21"/>
                <w:szCs w:val="21"/>
              </w:rPr>
            </w:pPr>
            <w:r>
              <w:rPr>
                <w:color w:val="000000"/>
                <w:sz w:val="21"/>
                <w:szCs w:val="21"/>
              </w:rPr>
              <w:t>0.78</w:t>
            </w:r>
          </w:p>
        </w:tc>
        <w:tc>
          <w:tcPr>
            <w:tcW w:w="1131" w:type="pct"/>
            <w:gridSpan w:val="3"/>
            <w:noWrap w:val="0"/>
            <w:vAlign w:val="center"/>
          </w:tcPr>
          <w:p w14:paraId="25B06349">
            <w:pPr>
              <w:spacing w:line="240" w:lineRule="auto"/>
              <w:ind w:firstLine="0" w:firstLineChars="0"/>
              <w:jc w:val="center"/>
              <w:rPr>
                <w:color w:val="000000"/>
                <w:sz w:val="21"/>
                <w:szCs w:val="21"/>
              </w:rPr>
            </w:pPr>
            <w:r>
              <w:rPr>
                <w:color w:val="000000"/>
                <w:sz w:val="21"/>
                <w:szCs w:val="21"/>
              </w:rPr>
              <w:t>0.57</w:t>
            </w:r>
          </w:p>
        </w:tc>
      </w:tr>
      <w:tr w14:paraId="30062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14:paraId="452B094D">
            <w:pPr>
              <w:spacing w:line="240" w:lineRule="auto"/>
              <w:ind w:firstLine="0" w:firstLineChars="0"/>
              <w:jc w:val="center"/>
              <w:rPr>
                <w:color w:val="000000"/>
                <w:sz w:val="21"/>
                <w:szCs w:val="21"/>
              </w:rPr>
            </w:pPr>
          </w:p>
        </w:tc>
        <w:tc>
          <w:tcPr>
            <w:tcW w:w="842" w:type="pct"/>
            <w:noWrap w:val="0"/>
            <w:vAlign w:val="center"/>
          </w:tcPr>
          <w:p w14:paraId="3F480FCA">
            <w:pPr>
              <w:spacing w:line="240" w:lineRule="auto"/>
              <w:ind w:firstLine="0" w:firstLineChars="0"/>
              <w:jc w:val="center"/>
              <w:rPr>
                <w:color w:val="000000"/>
                <w:sz w:val="21"/>
                <w:szCs w:val="21"/>
              </w:rPr>
            </w:pPr>
            <w:r>
              <w:rPr>
                <w:color w:val="000000"/>
                <w:sz w:val="21"/>
                <w:szCs w:val="21"/>
              </w:rPr>
              <w:t>&gt;2</w:t>
            </w:r>
          </w:p>
        </w:tc>
        <w:tc>
          <w:tcPr>
            <w:tcW w:w="1159" w:type="pct"/>
            <w:gridSpan w:val="3"/>
            <w:noWrap w:val="0"/>
            <w:vAlign w:val="center"/>
          </w:tcPr>
          <w:p w14:paraId="382B46B4">
            <w:pPr>
              <w:spacing w:line="240" w:lineRule="auto"/>
              <w:ind w:firstLine="0" w:firstLineChars="0"/>
              <w:jc w:val="center"/>
              <w:rPr>
                <w:color w:val="000000"/>
                <w:sz w:val="21"/>
                <w:szCs w:val="21"/>
              </w:rPr>
            </w:pPr>
            <w:r>
              <w:rPr>
                <w:b/>
                <w:bCs/>
                <w:color w:val="000000"/>
                <w:sz w:val="21"/>
                <w:szCs w:val="21"/>
              </w:rPr>
              <w:t>0.84</w:t>
            </w:r>
          </w:p>
        </w:tc>
        <w:tc>
          <w:tcPr>
            <w:tcW w:w="1145" w:type="pct"/>
            <w:gridSpan w:val="3"/>
            <w:noWrap w:val="0"/>
            <w:vAlign w:val="center"/>
          </w:tcPr>
          <w:p w14:paraId="1C86619B">
            <w:pPr>
              <w:spacing w:line="240" w:lineRule="auto"/>
              <w:ind w:firstLine="0" w:firstLineChars="0"/>
              <w:jc w:val="center"/>
              <w:rPr>
                <w:color w:val="000000"/>
                <w:sz w:val="21"/>
                <w:szCs w:val="21"/>
              </w:rPr>
            </w:pPr>
            <w:r>
              <w:rPr>
                <w:color w:val="000000"/>
                <w:sz w:val="21"/>
                <w:szCs w:val="21"/>
              </w:rPr>
              <w:t>0.84</w:t>
            </w:r>
          </w:p>
        </w:tc>
        <w:tc>
          <w:tcPr>
            <w:tcW w:w="1131" w:type="pct"/>
            <w:gridSpan w:val="3"/>
            <w:noWrap w:val="0"/>
            <w:vAlign w:val="center"/>
          </w:tcPr>
          <w:p w14:paraId="08E3527B">
            <w:pPr>
              <w:spacing w:line="240" w:lineRule="auto"/>
              <w:ind w:firstLine="0" w:firstLineChars="0"/>
              <w:jc w:val="center"/>
              <w:rPr>
                <w:color w:val="000000"/>
                <w:sz w:val="21"/>
                <w:szCs w:val="21"/>
              </w:rPr>
            </w:pPr>
            <w:r>
              <w:rPr>
                <w:color w:val="000000"/>
                <w:sz w:val="21"/>
                <w:szCs w:val="21"/>
              </w:rPr>
              <w:t>0.76</w:t>
            </w:r>
          </w:p>
        </w:tc>
      </w:tr>
      <w:tr w14:paraId="675C0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11"/>
            <w:noWrap w:val="0"/>
            <w:vAlign w:val="center"/>
          </w:tcPr>
          <w:p w14:paraId="69757F07">
            <w:pPr>
              <w:spacing w:line="240" w:lineRule="auto"/>
              <w:ind w:firstLine="0" w:firstLineChars="0"/>
              <w:rPr>
                <w:color w:val="000000"/>
                <w:sz w:val="21"/>
                <w:szCs w:val="21"/>
              </w:rPr>
            </w:pPr>
            <w:r>
              <w:rPr>
                <w:color w:val="000000"/>
                <w:sz w:val="21"/>
                <w:szCs w:val="21"/>
              </w:rPr>
              <w:t>注：</w:t>
            </w:r>
          </w:p>
          <w:p w14:paraId="734D3E8C">
            <w:pPr>
              <w:spacing w:line="240" w:lineRule="auto"/>
              <w:ind w:firstLine="0" w:firstLineChars="0"/>
              <w:rPr>
                <w:color w:val="000000"/>
                <w:sz w:val="21"/>
                <w:szCs w:val="21"/>
              </w:rPr>
            </w:pPr>
            <w:r>
              <w:rPr>
                <w:color w:val="000000"/>
                <w:sz w:val="21"/>
                <w:szCs w:val="21"/>
              </w:rPr>
              <w:t>I 类：与无组织排放源共存的排放同种有害气体的排气筒的排放量，大于或等于标准规定的允许排放量的 1/3 者。</w:t>
            </w:r>
          </w:p>
          <w:p w14:paraId="4EB522DF">
            <w:pPr>
              <w:spacing w:line="240" w:lineRule="auto"/>
              <w:ind w:firstLine="0" w:firstLineChars="0"/>
              <w:rPr>
                <w:color w:val="000000"/>
                <w:sz w:val="21"/>
                <w:szCs w:val="21"/>
              </w:rPr>
            </w:pPr>
            <w:r>
              <w:rPr>
                <w:color w:val="000000"/>
                <w:sz w:val="21"/>
                <w:szCs w:val="21"/>
              </w:rPr>
              <w:t>II 类：与无组织排放源共存的排放同种有害气体的排气筒的排放量，小于标准规定的允许排放量的1/3，或虽无排放同种大气污染物之排气简共存，但无组织排放的有害物质的容许浓度指标是按急性反应指标确定者。</w:t>
            </w:r>
          </w:p>
          <w:p w14:paraId="75779F98">
            <w:pPr>
              <w:spacing w:line="240" w:lineRule="auto"/>
              <w:ind w:firstLine="0" w:firstLineChars="0"/>
              <w:rPr>
                <w:color w:val="000000"/>
                <w:sz w:val="21"/>
                <w:szCs w:val="21"/>
              </w:rPr>
            </w:pPr>
            <w:r>
              <w:rPr>
                <w:color w:val="000000"/>
                <w:sz w:val="21"/>
                <w:szCs w:val="21"/>
              </w:rPr>
              <w:t>Ⅲ类：无排放同种有害物质的排气筒与无组织排放源共存，但无组织排放的有害物质的容许浓度是按慢性反应指标确定者。</w:t>
            </w:r>
          </w:p>
        </w:tc>
      </w:tr>
    </w:tbl>
    <w:p w14:paraId="11D853B9">
      <w:pPr>
        <w:spacing w:line="360" w:lineRule="auto"/>
        <w:ind w:firstLine="420"/>
        <w:rPr>
          <w:color w:val="000000"/>
          <w:sz w:val="24"/>
          <w:szCs w:val="22"/>
        </w:rPr>
      </w:pPr>
      <w:r>
        <w:rPr>
          <w:color w:val="000000"/>
          <w:sz w:val="24"/>
          <w:szCs w:val="22"/>
        </w:rPr>
        <w:t>本项目有与无组织排放源共存的排放同种有害气体的排气筒的排放量，小于标准规定的允许排放量的1/3，属于II类。</w:t>
      </w:r>
    </w:p>
    <w:p w14:paraId="031BBAC6">
      <w:pPr>
        <w:spacing w:line="360" w:lineRule="auto"/>
        <w:ind w:firstLine="420"/>
        <w:rPr>
          <w:color w:val="000000"/>
          <w:sz w:val="24"/>
          <w:szCs w:val="22"/>
        </w:rPr>
      </w:pPr>
      <w:r>
        <w:rPr>
          <w:color w:val="000000"/>
          <w:sz w:val="24"/>
          <w:szCs w:val="22"/>
        </w:rPr>
        <w:t>根据《大气有害物质无组织排放卫生防护距离推导技术导则》（GB/T39499-2020）中第4章，“当目标企业无组织排放存在多种有毒有害物质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14:paraId="721AC02A">
      <w:pPr>
        <w:spacing w:line="360" w:lineRule="auto"/>
        <w:ind w:firstLine="420"/>
        <w:rPr>
          <w:color w:val="000000"/>
          <w:sz w:val="24"/>
          <w:szCs w:val="22"/>
        </w:rPr>
      </w:pPr>
      <w:r>
        <w:rPr>
          <w:color w:val="000000"/>
          <w:sz w:val="24"/>
          <w:szCs w:val="22"/>
        </w:rPr>
        <w:t>本项目无组织废气</w:t>
      </w:r>
      <w:r>
        <w:rPr>
          <w:rFonts w:hint="eastAsia"/>
          <w:color w:val="000000"/>
          <w:sz w:val="24"/>
          <w:szCs w:val="22"/>
          <w:lang w:val="en-US" w:eastAsia="zh-CN"/>
        </w:rPr>
        <w:t>为</w:t>
      </w:r>
      <w:r>
        <w:rPr>
          <w:color w:val="000000"/>
          <w:sz w:val="24"/>
          <w:szCs w:val="22"/>
        </w:rPr>
        <w:t>颗粒物</w:t>
      </w:r>
      <w:r>
        <w:rPr>
          <w:rFonts w:hint="eastAsia"/>
          <w:color w:val="000000"/>
          <w:sz w:val="24"/>
          <w:szCs w:val="22"/>
          <w:lang w:val="en-US" w:eastAsia="zh-CN"/>
        </w:rPr>
        <w:t>和非甲烷总烃</w:t>
      </w:r>
      <w:r>
        <w:rPr>
          <w:color w:val="000000"/>
          <w:sz w:val="24"/>
          <w:szCs w:val="22"/>
        </w:rPr>
        <w:t>。因此，本项目选择生产车间排放的颗粒物</w:t>
      </w:r>
      <w:r>
        <w:rPr>
          <w:rFonts w:hint="eastAsia"/>
          <w:color w:val="000000"/>
          <w:sz w:val="24"/>
          <w:szCs w:val="22"/>
          <w:lang w:val="en-US" w:eastAsia="zh-CN"/>
        </w:rPr>
        <w:t>和非甲烷总烃</w:t>
      </w:r>
      <w:r>
        <w:rPr>
          <w:color w:val="000000"/>
          <w:sz w:val="24"/>
          <w:szCs w:val="22"/>
        </w:rPr>
        <w:t>计算卫生防护距离初值。本项目卫生防护距离计算参数见下表。</w:t>
      </w:r>
    </w:p>
    <w:p w14:paraId="71674913">
      <w:pPr>
        <w:spacing w:line="360" w:lineRule="auto"/>
        <w:jc w:val="center"/>
        <w:rPr>
          <w:rFonts w:hint="eastAsia"/>
          <w:b/>
          <w:bCs/>
          <w:color w:val="auto"/>
          <w:sz w:val="24"/>
          <w:szCs w:val="24"/>
          <w:lang w:val="en-US" w:eastAsia="zh-CN"/>
        </w:rPr>
      </w:pPr>
      <w:r>
        <w:rPr>
          <w:rFonts w:hint="eastAsia"/>
          <w:b/>
          <w:bCs/>
          <w:color w:val="auto"/>
          <w:sz w:val="24"/>
          <w:szCs w:val="24"/>
          <w:lang w:val="en-US" w:eastAsia="zh-CN"/>
        </w:rPr>
        <w:t>表4-17  卫生防护距离计算参数</w:t>
      </w:r>
    </w:p>
    <w:tbl>
      <w:tblPr>
        <w:tblStyle w:val="37"/>
        <w:tblW w:w="49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941"/>
        <w:gridCol w:w="1775"/>
        <w:gridCol w:w="1605"/>
        <w:gridCol w:w="768"/>
        <w:gridCol w:w="997"/>
        <w:gridCol w:w="1278"/>
      </w:tblGrid>
      <w:tr w14:paraId="2495C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8" w:type="pct"/>
            <w:gridSpan w:val="2"/>
            <w:vMerge w:val="restart"/>
            <w:noWrap w:val="0"/>
            <w:vAlign w:val="center"/>
          </w:tcPr>
          <w:p w14:paraId="47130AF1">
            <w:pPr>
              <w:spacing w:line="240" w:lineRule="auto"/>
              <w:ind w:firstLine="0" w:firstLineChars="0"/>
              <w:jc w:val="center"/>
              <w:rPr>
                <w:b/>
                <w:bCs/>
                <w:sz w:val="21"/>
                <w:szCs w:val="21"/>
              </w:rPr>
            </w:pPr>
            <w:r>
              <w:rPr>
                <w:b/>
                <w:bCs/>
                <w:sz w:val="21"/>
                <w:szCs w:val="21"/>
              </w:rPr>
              <w:t>污染物</w:t>
            </w:r>
          </w:p>
        </w:tc>
        <w:tc>
          <w:tcPr>
            <w:tcW w:w="1075" w:type="pct"/>
            <w:vMerge w:val="restart"/>
            <w:noWrap w:val="0"/>
            <w:vAlign w:val="center"/>
          </w:tcPr>
          <w:p w14:paraId="7F110632">
            <w:pPr>
              <w:spacing w:line="240" w:lineRule="auto"/>
              <w:ind w:firstLine="0" w:firstLineChars="0"/>
              <w:jc w:val="center"/>
              <w:rPr>
                <w:b/>
                <w:bCs/>
                <w:sz w:val="21"/>
                <w:szCs w:val="21"/>
              </w:rPr>
            </w:pPr>
            <w:r>
              <w:rPr>
                <w:b/>
                <w:bCs/>
                <w:sz w:val="21"/>
                <w:szCs w:val="21"/>
              </w:rPr>
              <w:t>产生速率(kg/h)</w:t>
            </w:r>
          </w:p>
        </w:tc>
        <w:tc>
          <w:tcPr>
            <w:tcW w:w="972" w:type="pct"/>
            <w:vMerge w:val="restart"/>
            <w:noWrap w:val="0"/>
            <w:vAlign w:val="center"/>
          </w:tcPr>
          <w:p w14:paraId="796C55EF">
            <w:pPr>
              <w:spacing w:line="240" w:lineRule="auto"/>
              <w:ind w:firstLine="0" w:firstLineChars="0"/>
              <w:jc w:val="center"/>
              <w:rPr>
                <w:b/>
                <w:bCs/>
                <w:sz w:val="21"/>
                <w:szCs w:val="21"/>
              </w:rPr>
            </w:pPr>
            <w:r>
              <w:rPr>
                <w:b/>
                <w:bCs/>
                <w:sz w:val="21"/>
                <w:szCs w:val="21"/>
              </w:rPr>
              <w:t>面源面积(m</w:t>
            </w:r>
            <w:r>
              <w:rPr>
                <w:b/>
                <w:bCs/>
                <w:sz w:val="21"/>
                <w:szCs w:val="21"/>
                <w:vertAlign w:val="superscript"/>
              </w:rPr>
              <w:t>2</w:t>
            </w:r>
            <w:r>
              <w:rPr>
                <w:b/>
                <w:bCs/>
                <w:sz w:val="21"/>
                <w:szCs w:val="21"/>
              </w:rPr>
              <w:t>)</w:t>
            </w:r>
          </w:p>
        </w:tc>
        <w:tc>
          <w:tcPr>
            <w:tcW w:w="465" w:type="pct"/>
            <w:vMerge w:val="restart"/>
            <w:noWrap w:val="0"/>
            <w:vAlign w:val="center"/>
          </w:tcPr>
          <w:p w14:paraId="2FD5BF87">
            <w:pPr>
              <w:spacing w:line="240" w:lineRule="auto"/>
              <w:ind w:firstLine="0" w:firstLineChars="0"/>
              <w:jc w:val="center"/>
              <w:rPr>
                <w:b/>
                <w:bCs/>
                <w:sz w:val="21"/>
                <w:szCs w:val="21"/>
              </w:rPr>
            </w:pPr>
            <w:r>
              <w:rPr>
                <w:b/>
                <w:bCs/>
                <w:sz w:val="21"/>
                <w:szCs w:val="21"/>
              </w:rPr>
              <w:t>L(m)</w:t>
            </w:r>
          </w:p>
        </w:tc>
        <w:tc>
          <w:tcPr>
            <w:tcW w:w="1378" w:type="pct"/>
            <w:gridSpan w:val="2"/>
            <w:noWrap w:val="0"/>
            <w:vAlign w:val="center"/>
          </w:tcPr>
          <w:p w14:paraId="7E093F63">
            <w:pPr>
              <w:spacing w:line="240" w:lineRule="auto"/>
              <w:ind w:firstLine="0" w:firstLineChars="0"/>
              <w:jc w:val="center"/>
              <w:rPr>
                <w:b/>
                <w:bCs/>
                <w:sz w:val="21"/>
                <w:szCs w:val="21"/>
              </w:rPr>
            </w:pPr>
            <w:r>
              <w:rPr>
                <w:b/>
                <w:bCs/>
                <w:sz w:val="21"/>
                <w:szCs w:val="21"/>
              </w:rPr>
              <w:t>卫生防护距离(m)</w:t>
            </w:r>
          </w:p>
        </w:tc>
      </w:tr>
      <w:tr w14:paraId="7701D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8" w:type="pct"/>
            <w:gridSpan w:val="2"/>
            <w:vMerge w:val="continue"/>
            <w:tcBorders>
              <w:bottom w:val="single" w:color="auto" w:sz="12" w:space="0"/>
            </w:tcBorders>
            <w:noWrap w:val="0"/>
            <w:vAlign w:val="center"/>
          </w:tcPr>
          <w:p w14:paraId="2D330270">
            <w:pPr>
              <w:spacing w:line="240" w:lineRule="auto"/>
              <w:ind w:firstLine="0" w:firstLineChars="0"/>
              <w:jc w:val="center"/>
              <w:rPr>
                <w:b/>
                <w:bCs/>
                <w:sz w:val="21"/>
                <w:szCs w:val="21"/>
              </w:rPr>
            </w:pPr>
          </w:p>
        </w:tc>
        <w:tc>
          <w:tcPr>
            <w:tcW w:w="1075" w:type="pct"/>
            <w:vMerge w:val="continue"/>
            <w:tcBorders>
              <w:bottom w:val="single" w:color="auto" w:sz="12" w:space="0"/>
            </w:tcBorders>
            <w:noWrap w:val="0"/>
            <w:vAlign w:val="center"/>
          </w:tcPr>
          <w:p w14:paraId="0BFA7863">
            <w:pPr>
              <w:spacing w:line="240" w:lineRule="auto"/>
              <w:ind w:firstLine="0" w:firstLineChars="0"/>
              <w:jc w:val="center"/>
              <w:rPr>
                <w:b/>
                <w:bCs/>
                <w:sz w:val="21"/>
                <w:szCs w:val="21"/>
              </w:rPr>
            </w:pPr>
          </w:p>
        </w:tc>
        <w:tc>
          <w:tcPr>
            <w:tcW w:w="972" w:type="pct"/>
            <w:vMerge w:val="continue"/>
            <w:tcBorders>
              <w:bottom w:val="single" w:color="auto" w:sz="12" w:space="0"/>
            </w:tcBorders>
            <w:noWrap w:val="0"/>
            <w:vAlign w:val="center"/>
          </w:tcPr>
          <w:p w14:paraId="5E8FEFB8">
            <w:pPr>
              <w:spacing w:line="240" w:lineRule="auto"/>
              <w:ind w:firstLine="0" w:firstLineChars="0"/>
              <w:jc w:val="center"/>
              <w:rPr>
                <w:b/>
                <w:bCs/>
                <w:sz w:val="21"/>
                <w:szCs w:val="21"/>
              </w:rPr>
            </w:pPr>
          </w:p>
        </w:tc>
        <w:tc>
          <w:tcPr>
            <w:tcW w:w="465" w:type="pct"/>
            <w:vMerge w:val="continue"/>
            <w:tcBorders>
              <w:bottom w:val="single" w:color="auto" w:sz="12" w:space="0"/>
            </w:tcBorders>
            <w:noWrap w:val="0"/>
            <w:vAlign w:val="center"/>
          </w:tcPr>
          <w:p w14:paraId="25BBC61D">
            <w:pPr>
              <w:spacing w:line="240" w:lineRule="auto"/>
              <w:ind w:firstLine="0" w:firstLineChars="0"/>
              <w:jc w:val="center"/>
              <w:rPr>
                <w:b/>
                <w:bCs/>
                <w:sz w:val="21"/>
                <w:szCs w:val="21"/>
              </w:rPr>
            </w:pPr>
          </w:p>
        </w:tc>
        <w:tc>
          <w:tcPr>
            <w:tcW w:w="604" w:type="pct"/>
            <w:tcBorders>
              <w:bottom w:val="single" w:color="auto" w:sz="12" w:space="0"/>
            </w:tcBorders>
            <w:noWrap w:val="0"/>
            <w:vAlign w:val="center"/>
          </w:tcPr>
          <w:p w14:paraId="65A3AC92">
            <w:pPr>
              <w:spacing w:line="240" w:lineRule="auto"/>
              <w:ind w:firstLine="0" w:firstLineChars="0"/>
              <w:jc w:val="center"/>
              <w:rPr>
                <w:b/>
                <w:bCs/>
                <w:sz w:val="21"/>
                <w:szCs w:val="21"/>
              </w:rPr>
            </w:pPr>
            <w:r>
              <w:rPr>
                <w:b/>
                <w:bCs/>
                <w:sz w:val="21"/>
                <w:szCs w:val="21"/>
              </w:rPr>
              <w:t>初值</w:t>
            </w:r>
          </w:p>
        </w:tc>
        <w:tc>
          <w:tcPr>
            <w:tcW w:w="774" w:type="pct"/>
            <w:tcBorders>
              <w:bottom w:val="single" w:color="auto" w:sz="12" w:space="0"/>
            </w:tcBorders>
            <w:noWrap w:val="0"/>
            <w:vAlign w:val="center"/>
          </w:tcPr>
          <w:p w14:paraId="674BCD4E">
            <w:pPr>
              <w:spacing w:line="240" w:lineRule="auto"/>
              <w:ind w:firstLine="0" w:firstLineChars="0"/>
              <w:jc w:val="center"/>
              <w:rPr>
                <w:b/>
                <w:bCs/>
                <w:sz w:val="21"/>
                <w:szCs w:val="21"/>
              </w:rPr>
            </w:pPr>
            <w:r>
              <w:rPr>
                <w:b/>
                <w:bCs/>
                <w:sz w:val="21"/>
                <w:szCs w:val="21"/>
              </w:rPr>
              <w:t>终值</w:t>
            </w:r>
          </w:p>
        </w:tc>
      </w:tr>
      <w:tr w14:paraId="4FF6D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tcBorders>
              <w:top w:val="single" w:color="auto" w:sz="12" w:space="0"/>
            </w:tcBorders>
            <w:noWrap w:val="0"/>
            <w:vAlign w:val="center"/>
          </w:tcPr>
          <w:p w14:paraId="38294ED0">
            <w:pPr>
              <w:spacing w:line="240" w:lineRule="auto"/>
              <w:ind w:firstLine="0" w:firstLineChars="0"/>
              <w:jc w:val="center"/>
              <w:textAlignment w:val="center"/>
              <w:rPr>
                <w:sz w:val="21"/>
                <w:szCs w:val="21"/>
              </w:rPr>
            </w:pPr>
            <w:r>
              <w:rPr>
                <w:sz w:val="21"/>
                <w:szCs w:val="21"/>
              </w:rPr>
              <w:t>生产车间</w:t>
            </w:r>
          </w:p>
        </w:tc>
        <w:tc>
          <w:tcPr>
            <w:tcW w:w="571" w:type="pct"/>
            <w:tcBorders>
              <w:top w:val="single" w:color="auto" w:sz="12" w:space="0"/>
            </w:tcBorders>
            <w:noWrap w:val="0"/>
            <w:vAlign w:val="center"/>
          </w:tcPr>
          <w:p w14:paraId="58F3727A">
            <w:pPr>
              <w:spacing w:line="240" w:lineRule="auto"/>
              <w:ind w:firstLine="0" w:firstLineChars="0"/>
              <w:jc w:val="center"/>
              <w:textAlignment w:val="center"/>
              <w:rPr>
                <w:rFonts w:hint="eastAsia" w:eastAsia="宋体"/>
                <w:sz w:val="21"/>
                <w:szCs w:val="21"/>
                <w:lang w:eastAsia="zh-CN"/>
              </w:rPr>
            </w:pPr>
            <w:r>
              <w:rPr>
                <w:sz w:val="21"/>
                <w:szCs w:val="21"/>
              </w:rPr>
              <w:t>颗粒物</w:t>
            </w:r>
            <w:r>
              <w:rPr>
                <w:rFonts w:hint="eastAsia"/>
                <w:sz w:val="21"/>
                <w:szCs w:val="21"/>
                <w:lang w:eastAsia="zh-CN"/>
              </w:rPr>
              <w:t>（</w:t>
            </w:r>
            <w:r>
              <w:rPr>
                <w:rFonts w:hint="eastAsia"/>
                <w:sz w:val="21"/>
                <w:szCs w:val="21"/>
                <w:lang w:val="en-US" w:eastAsia="zh-CN"/>
              </w:rPr>
              <w:t>拉毛区域</w:t>
            </w:r>
            <w:r>
              <w:rPr>
                <w:rFonts w:hint="eastAsia"/>
                <w:sz w:val="21"/>
                <w:szCs w:val="21"/>
                <w:lang w:eastAsia="zh-CN"/>
              </w:rPr>
              <w:t>）</w:t>
            </w:r>
          </w:p>
        </w:tc>
        <w:tc>
          <w:tcPr>
            <w:tcW w:w="1075" w:type="pct"/>
            <w:tcBorders>
              <w:top w:val="single" w:color="auto" w:sz="12" w:space="0"/>
            </w:tcBorders>
            <w:noWrap w:val="0"/>
            <w:vAlign w:val="center"/>
          </w:tcPr>
          <w:p w14:paraId="4DC351BC">
            <w:pPr>
              <w:spacing w:line="240" w:lineRule="auto"/>
              <w:ind w:firstLine="0" w:firstLineChars="0"/>
              <w:jc w:val="center"/>
              <w:textAlignment w:val="center"/>
              <w:rPr>
                <w:rFonts w:hint="default" w:eastAsia="等线"/>
                <w:sz w:val="21"/>
                <w:szCs w:val="21"/>
                <w:lang w:val="en-US" w:eastAsia="zh-CN" w:bidi="ar"/>
              </w:rPr>
            </w:pPr>
            <w:r>
              <w:rPr>
                <w:rFonts w:eastAsia="等线"/>
                <w:sz w:val="21"/>
                <w:szCs w:val="21"/>
              </w:rPr>
              <w:t>0.0</w:t>
            </w:r>
            <w:r>
              <w:rPr>
                <w:rFonts w:hint="eastAsia" w:eastAsia="等线"/>
                <w:sz w:val="21"/>
                <w:szCs w:val="21"/>
                <w:lang w:val="en-US" w:eastAsia="zh-CN"/>
              </w:rPr>
              <w:t>11</w:t>
            </w:r>
          </w:p>
        </w:tc>
        <w:tc>
          <w:tcPr>
            <w:tcW w:w="972" w:type="pct"/>
            <w:tcBorders>
              <w:top w:val="single" w:color="auto" w:sz="12" w:space="0"/>
            </w:tcBorders>
            <w:noWrap w:val="0"/>
            <w:vAlign w:val="center"/>
          </w:tcPr>
          <w:p w14:paraId="0EE081B2">
            <w:pPr>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200</w:t>
            </w:r>
          </w:p>
        </w:tc>
        <w:tc>
          <w:tcPr>
            <w:tcW w:w="465" w:type="pct"/>
            <w:tcBorders>
              <w:top w:val="single" w:color="auto" w:sz="12" w:space="0"/>
            </w:tcBorders>
            <w:noWrap w:val="0"/>
            <w:vAlign w:val="center"/>
          </w:tcPr>
          <w:p w14:paraId="1BB906D8">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0.024</w:t>
            </w:r>
          </w:p>
        </w:tc>
        <w:tc>
          <w:tcPr>
            <w:tcW w:w="604" w:type="pct"/>
            <w:tcBorders>
              <w:top w:val="single" w:color="auto" w:sz="12" w:space="0"/>
            </w:tcBorders>
            <w:noWrap w:val="0"/>
            <w:vAlign w:val="center"/>
          </w:tcPr>
          <w:p w14:paraId="5B7DD0AB">
            <w:pPr>
              <w:spacing w:line="240" w:lineRule="auto"/>
              <w:ind w:firstLine="0" w:firstLineChars="0"/>
              <w:jc w:val="center"/>
              <w:rPr>
                <w:sz w:val="21"/>
                <w:szCs w:val="21"/>
              </w:rPr>
            </w:pPr>
            <w:r>
              <w:rPr>
                <w:sz w:val="21"/>
                <w:szCs w:val="21"/>
              </w:rPr>
              <w:t>＜50</w:t>
            </w:r>
          </w:p>
        </w:tc>
        <w:tc>
          <w:tcPr>
            <w:tcW w:w="774" w:type="pct"/>
            <w:tcBorders>
              <w:top w:val="single" w:color="auto" w:sz="12" w:space="0"/>
            </w:tcBorders>
            <w:noWrap w:val="0"/>
            <w:vAlign w:val="center"/>
          </w:tcPr>
          <w:p w14:paraId="5D37ABCF">
            <w:pPr>
              <w:spacing w:line="240" w:lineRule="auto"/>
              <w:ind w:firstLine="0" w:firstLineChars="0"/>
              <w:jc w:val="center"/>
              <w:rPr>
                <w:sz w:val="21"/>
                <w:szCs w:val="21"/>
              </w:rPr>
            </w:pPr>
            <w:r>
              <w:rPr>
                <w:sz w:val="21"/>
                <w:szCs w:val="21"/>
              </w:rPr>
              <w:t>50</w:t>
            </w:r>
          </w:p>
        </w:tc>
      </w:tr>
      <w:tr w14:paraId="2746C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14:paraId="4D850CA5">
            <w:pPr>
              <w:spacing w:line="240" w:lineRule="auto"/>
              <w:ind w:firstLine="0" w:firstLineChars="0"/>
              <w:jc w:val="center"/>
              <w:textAlignment w:val="center"/>
              <w:rPr>
                <w:sz w:val="21"/>
                <w:szCs w:val="21"/>
              </w:rPr>
            </w:pPr>
          </w:p>
        </w:tc>
        <w:tc>
          <w:tcPr>
            <w:tcW w:w="571" w:type="pct"/>
            <w:noWrap w:val="0"/>
            <w:vAlign w:val="center"/>
          </w:tcPr>
          <w:p w14:paraId="7101ED2F">
            <w:pPr>
              <w:spacing w:line="240" w:lineRule="auto"/>
              <w:ind w:firstLine="0" w:firstLineChars="0"/>
              <w:jc w:val="center"/>
              <w:textAlignment w:val="center"/>
              <w:rPr>
                <w:rFonts w:hint="eastAsia" w:eastAsia="宋体"/>
                <w:sz w:val="21"/>
                <w:szCs w:val="21"/>
                <w:lang w:val="en-US" w:eastAsia="zh-CN"/>
              </w:rPr>
            </w:pPr>
            <w:r>
              <w:rPr>
                <w:rFonts w:hint="eastAsia"/>
                <w:sz w:val="21"/>
                <w:szCs w:val="21"/>
                <w:lang w:val="en-US" w:eastAsia="zh-CN"/>
              </w:rPr>
              <w:t>颗粒物（定型区域）</w:t>
            </w:r>
          </w:p>
        </w:tc>
        <w:tc>
          <w:tcPr>
            <w:tcW w:w="1075" w:type="pct"/>
            <w:noWrap w:val="0"/>
            <w:vAlign w:val="center"/>
          </w:tcPr>
          <w:p w14:paraId="64A8061E">
            <w:pPr>
              <w:spacing w:line="240" w:lineRule="auto"/>
              <w:ind w:firstLine="0" w:firstLineChars="0"/>
              <w:jc w:val="center"/>
              <w:textAlignment w:val="center"/>
              <w:rPr>
                <w:rFonts w:hint="default" w:eastAsia="等线"/>
                <w:sz w:val="21"/>
                <w:szCs w:val="21"/>
                <w:lang w:val="en-US" w:eastAsia="zh-CN"/>
              </w:rPr>
            </w:pPr>
            <w:r>
              <w:rPr>
                <w:rFonts w:hint="eastAsia" w:eastAsia="等线"/>
                <w:sz w:val="21"/>
                <w:szCs w:val="21"/>
                <w:lang w:val="en-US" w:eastAsia="zh-CN"/>
              </w:rPr>
              <w:t>0.0003</w:t>
            </w:r>
          </w:p>
        </w:tc>
        <w:tc>
          <w:tcPr>
            <w:tcW w:w="972" w:type="pct"/>
            <w:noWrap w:val="0"/>
            <w:vAlign w:val="center"/>
          </w:tcPr>
          <w:p w14:paraId="462E985E">
            <w:pPr>
              <w:spacing w:line="240" w:lineRule="auto"/>
              <w:ind w:firstLine="0" w:firstLineChars="0"/>
              <w:jc w:val="center"/>
              <w:textAlignment w:val="center"/>
              <w:rPr>
                <w:sz w:val="21"/>
                <w:szCs w:val="21"/>
              </w:rPr>
            </w:pPr>
            <w:r>
              <w:rPr>
                <w:sz w:val="21"/>
                <w:szCs w:val="21"/>
              </w:rPr>
              <w:t>1200</w:t>
            </w:r>
          </w:p>
        </w:tc>
        <w:tc>
          <w:tcPr>
            <w:tcW w:w="465" w:type="pct"/>
            <w:noWrap w:val="0"/>
            <w:vAlign w:val="center"/>
          </w:tcPr>
          <w:p w14:paraId="63FEFB8A">
            <w:pPr>
              <w:spacing w:line="240" w:lineRule="auto"/>
              <w:ind w:firstLine="0" w:firstLineChars="0"/>
              <w:jc w:val="center"/>
              <w:rPr>
                <w:rFonts w:hint="default"/>
                <w:sz w:val="21"/>
                <w:szCs w:val="21"/>
                <w:lang w:val="en-US" w:eastAsia="zh-CN"/>
              </w:rPr>
            </w:pPr>
            <w:r>
              <w:rPr>
                <w:rFonts w:hint="eastAsia"/>
                <w:sz w:val="21"/>
                <w:szCs w:val="21"/>
                <w:lang w:val="en-US" w:eastAsia="zh-CN"/>
              </w:rPr>
              <w:t>/</w:t>
            </w:r>
          </w:p>
        </w:tc>
        <w:tc>
          <w:tcPr>
            <w:tcW w:w="604" w:type="pct"/>
            <w:noWrap w:val="0"/>
            <w:vAlign w:val="center"/>
          </w:tcPr>
          <w:p w14:paraId="51733F28">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774" w:type="pct"/>
            <w:noWrap w:val="0"/>
            <w:vAlign w:val="center"/>
          </w:tcPr>
          <w:p w14:paraId="6CD700C3">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r>
      <w:tr w14:paraId="2E645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14:paraId="10738FB4">
            <w:pPr>
              <w:spacing w:line="240" w:lineRule="auto"/>
              <w:ind w:firstLine="0" w:firstLineChars="0"/>
              <w:jc w:val="center"/>
              <w:textAlignment w:val="center"/>
              <w:rPr>
                <w:sz w:val="21"/>
                <w:szCs w:val="21"/>
              </w:rPr>
            </w:pPr>
          </w:p>
        </w:tc>
        <w:tc>
          <w:tcPr>
            <w:tcW w:w="571" w:type="pct"/>
            <w:noWrap w:val="0"/>
            <w:vAlign w:val="center"/>
          </w:tcPr>
          <w:p w14:paraId="75664A72">
            <w:pPr>
              <w:spacing w:line="240" w:lineRule="auto"/>
              <w:ind w:firstLine="0" w:firstLineChars="0"/>
              <w:jc w:val="center"/>
              <w:textAlignment w:val="center"/>
              <w:rPr>
                <w:rFonts w:hint="eastAsia" w:eastAsia="宋体"/>
                <w:sz w:val="21"/>
                <w:szCs w:val="21"/>
                <w:lang w:val="en-US" w:eastAsia="zh-CN"/>
              </w:rPr>
            </w:pPr>
            <w:r>
              <w:rPr>
                <w:rFonts w:hint="eastAsia"/>
                <w:sz w:val="21"/>
                <w:szCs w:val="21"/>
                <w:lang w:val="en-US" w:eastAsia="zh-CN"/>
              </w:rPr>
              <w:t>非甲烷总烃</w:t>
            </w:r>
          </w:p>
        </w:tc>
        <w:tc>
          <w:tcPr>
            <w:tcW w:w="1075" w:type="pct"/>
            <w:noWrap w:val="0"/>
            <w:vAlign w:val="center"/>
          </w:tcPr>
          <w:p w14:paraId="725D0189">
            <w:pPr>
              <w:spacing w:line="240" w:lineRule="auto"/>
              <w:ind w:firstLine="0" w:firstLineChars="0"/>
              <w:jc w:val="center"/>
              <w:textAlignment w:val="center"/>
              <w:rPr>
                <w:rFonts w:hint="default" w:eastAsia="等线"/>
                <w:sz w:val="21"/>
                <w:szCs w:val="21"/>
                <w:lang w:val="en-US" w:eastAsia="zh-CN"/>
              </w:rPr>
            </w:pPr>
            <w:r>
              <w:rPr>
                <w:rFonts w:hint="eastAsia" w:eastAsia="等线"/>
                <w:sz w:val="21"/>
                <w:szCs w:val="21"/>
                <w:lang w:val="en-US" w:eastAsia="zh-CN"/>
              </w:rPr>
              <w:t>0.011</w:t>
            </w:r>
          </w:p>
        </w:tc>
        <w:tc>
          <w:tcPr>
            <w:tcW w:w="972" w:type="pct"/>
            <w:noWrap w:val="0"/>
            <w:vAlign w:val="center"/>
          </w:tcPr>
          <w:p w14:paraId="5F66F9BF">
            <w:pPr>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1200</w:t>
            </w:r>
          </w:p>
        </w:tc>
        <w:tc>
          <w:tcPr>
            <w:tcW w:w="465" w:type="pct"/>
            <w:noWrap w:val="0"/>
            <w:vAlign w:val="center"/>
          </w:tcPr>
          <w:p w14:paraId="602F9EA0">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0.148</w:t>
            </w:r>
          </w:p>
        </w:tc>
        <w:tc>
          <w:tcPr>
            <w:tcW w:w="604" w:type="pct"/>
            <w:shd w:val="clear" w:color="auto" w:fill="auto"/>
            <w:noWrap w:val="0"/>
            <w:vAlign w:val="center"/>
          </w:tcPr>
          <w:p w14:paraId="47034C4F">
            <w:pPr>
              <w:spacing w:line="240" w:lineRule="auto"/>
              <w:ind w:firstLine="0" w:firstLineChars="0"/>
              <w:jc w:val="center"/>
              <w:rPr>
                <w:rFonts w:ascii="Times New Roman" w:hAnsi="Times New Roman" w:eastAsia="宋体" w:cs="Times New Roman"/>
                <w:kern w:val="2"/>
                <w:sz w:val="21"/>
                <w:szCs w:val="21"/>
                <w:lang w:val="en-US" w:eastAsia="zh-CN" w:bidi="ar-SA"/>
              </w:rPr>
            </w:pPr>
            <w:r>
              <w:rPr>
                <w:sz w:val="21"/>
                <w:szCs w:val="21"/>
              </w:rPr>
              <w:t>＜50</w:t>
            </w:r>
          </w:p>
        </w:tc>
        <w:tc>
          <w:tcPr>
            <w:tcW w:w="774" w:type="pct"/>
            <w:shd w:val="clear" w:color="auto" w:fill="auto"/>
            <w:noWrap w:val="0"/>
            <w:vAlign w:val="center"/>
          </w:tcPr>
          <w:p w14:paraId="3539EAC3">
            <w:pPr>
              <w:spacing w:line="240" w:lineRule="auto"/>
              <w:ind w:firstLine="0" w:firstLineChars="0"/>
              <w:jc w:val="center"/>
              <w:rPr>
                <w:rFonts w:ascii="Times New Roman" w:hAnsi="Times New Roman" w:eastAsia="宋体" w:cs="Times New Roman"/>
                <w:kern w:val="2"/>
                <w:sz w:val="21"/>
                <w:szCs w:val="21"/>
                <w:lang w:val="en-US" w:eastAsia="zh-CN" w:bidi="ar-SA"/>
              </w:rPr>
            </w:pPr>
            <w:r>
              <w:rPr>
                <w:sz w:val="21"/>
                <w:szCs w:val="21"/>
              </w:rPr>
              <w:t>50</w:t>
            </w:r>
          </w:p>
        </w:tc>
      </w:tr>
    </w:tbl>
    <w:p w14:paraId="557D855A">
      <w:pPr>
        <w:adjustRightInd w:val="0"/>
        <w:snapToGrid w:val="0"/>
        <w:spacing w:line="360" w:lineRule="auto"/>
        <w:ind w:firstLine="480" w:firstLineChars="200"/>
        <w:rPr>
          <w:color w:val="auto"/>
          <w:sz w:val="24"/>
          <w:szCs w:val="24"/>
        </w:rPr>
      </w:pPr>
      <w:r>
        <w:rPr>
          <w:color w:val="auto"/>
          <w:sz w:val="24"/>
          <w:szCs w:val="24"/>
        </w:rPr>
        <w:t>根据《大气有害物质无组织排放卫生防护距离推导技术导则》（GB/T 39499-2020）：当企业生产单元无组织排放存在多种特征大气有害物质时，如果分别推导出的卫生防护距离初值在同一级别，则该企业的卫生防护距离终值应提高一级</w:t>
      </w:r>
      <w:r>
        <w:rPr>
          <w:rFonts w:hint="eastAsia"/>
          <w:color w:val="auto"/>
          <w:sz w:val="24"/>
          <w:szCs w:val="24"/>
          <w:lang w:eastAsia="zh-CN"/>
        </w:rPr>
        <w:t>，</w:t>
      </w:r>
      <w:r>
        <w:rPr>
          <w:color w:val="auto"/>
          <w:sz w:val="24"/>
          <w:szCs w:val="24"/>
        </w:rPr>
        <w:t>因此</w:t>
      </w:r>
      <w:r>
        <w:rPr>
          <w:rFonts w:hint="eastAsia"/>
          <w:color w:val="auto"/>
          <w:sz w:val="24"/>
          <w:szCs w:val="24"/>
          <w:lang w:val="en-US" w:eastAsia="zh-CN"/>
        </w:rPr>
        <w:t>本项目</w:t>
      </w:r>
      <w:r>
        <w:rPr>
          <w:color w:val="auto"/>
          <w:sz w:val="24"/>
          <w:szCs w:val="24"/>
        </w:rPr>
        <w:t>需提高一级。</w:t>
      </w:r>
    </w:p>
    <w:p w14:paraId="41BBAA5C">
      <w:pPr>
        <w:adjustRightInd w:val="0"/>
        <w:snapToGrid w:val="0"/>
        <w:spacing w:line="360" w:lineRule="auto"/>
        <w:ind w:firstLine="480" w:firstLineChars="200"/>
        <w:rPr>
          <w:color w:val="auto"/>
          <w:sz w:val="24"/>
          <w:szCs w:val="24"/>
        </w:rPr>
      </w:pPr>
      <w:r>
        <w:rPr>
          <w:color w:val="auto"/>
          <w:sz w:val="24"/>
          <w:szCs w:val="24"/>
        </w:rPr>
        <w:t>根据卫生防护距离估算结果，本项目以生产车间边界为起点设置</w:t>
      </w:r>
      <w:r>
        <w:rPr>
          <w:rFonts w:hint="eastAsia"/>
          <w:color w:val="auto"/>
          <w:sz w:val="24"/>
          <w:szCs w:val="24"/>
          <w:lang w:val="en-US" w:eastAsia="zh-CN"/>
        </w:rPr>
        <w:t>100</w:t>
      </w:r>
      <w:r>
        <w:rPr>
          <w:color w:val="auto"/>
          <w:sz w:val="24"/>
          <w:szCs w:val="24"/>
        </w:rPr>
        <w:t>m卫生防护距离。</w:t>
      </w:r>
    </w:p>
    <w:p w14:paraId="11208A6B">
      <w:pPr>
        <w:adjustRightInd w:val="0"/>
        <w:snapToGrid w:val="0"/>
        <w:spacing w:line="360" w:lineRule="auto"/>
        <w:ind w:firstLine="480" w:firstLineChars="200"/>
        <w:rPr>
          <w:rFonts w:hint="eastAsia" w:eastAsia="宋体"/>
          <w:color w:val="auto"/>
          <w:kern w:val="0"/>
          <w:szCs w:val="28"/>
        </w:rPr>
      </w:pPr>
      <w:r>
        <w:rPr>
          <w:color w:val="auto"/>
          <w:sz w:val="24"/>
          <w:szCs w:val="24"/>
        </w:rPr>
        <w:t>根据现场踏勘及卫生防护距离包络线图可知，本项目生产车间卫生防护距离范围内无居民区、医院、学校等环境敏感点</w:t>
      </w:r>
      <w:r>
        <w:rPr>
          <w:rFonts w:hint="eastAsia"/>
          <w:color w:val="auto"/>
          <w:sz w:val="24"/>
          <w:szCs w:val="24"/>
          <w:lang w:eastAsia="zh-CN"/>
        </w:rPr>
        <w:t>（</w:t>
      </w:r>
      <w:r>
        <w:rPr>
          <w:rFonts w:hint="eastAsia"/>
          <w:color w:val="auto"/>
          <w:sz w:val="24"/>
          <w:szCs w:val="24"/>
          <w:lang w:val="en-US" w:eastAsia="zh-CN"/>
        </w:rPr>
        <w:t>车间距离最近的敏感点九华镇卫生院112m）</w:t>
      </w:r>
      <w:r>
        <w:rPr>
          <w:color w:val="auto"/>
          <w:sz w:val="24"/>
          <w:szCs w:val="24"/>
        </w:rPr>
        <w:t>，本项目无组织废气排放对环境保护目标影响较小，今后也不得在卫生防护距离内建设居民区、医院、学校等敏感目标。</w:t>
      </w:r>
    </w:p>
    <w:p w14:paraId="014A6CB7">
      <w:pPr>
        <w:pStyle w:val="3"/>
        <w:spacing w:before="0" w:after="0" w:line="360" w:lineRule="auto"/>
        <w:rPr>
          <w:rFonts w:eastAsia="宋体"/>
          <w:color w:val="auto"/>
          <w:kern w:val="0"/>
          <w:szCs w:val="28"/>
        </w:rPr>
      </w:pPr>
      <w:bookmarkStart w:id="85" w:name="_Toc14516"/>
      <w:r>
        <w:rPr>
          <w:rFonts w:hint="eastAsia" w:eastAsia="宋体"/>
          <w:color w:val="auto"/>
          <w:kern w:val="0"/>
          <w:szCs w:val="28"/>
        </w:rPr>
        <w:t>4.</w:t>
      </w:r>
      <w:r>
        <w:rPr>
          <w:rFonts w:hint="eastAsia" w:eastAsia="宋体"/>
          <w:color w:val="auto"/>
          <w:kern w:val="0"/>
          <w:szCs w:val="28"/>
          <w:lang w:val="en-US" w:eastAsia="zh-CN"/>
        </w:rPr>
        <w:t>10</w:t>
      </w:r>
      <w:r>
        <w:rPr>
          <w:rFonts w:eastAsia="宋体"/>
          <w:color w:val="auto"/>
          <w:kern w:val="0"/>
          <w:szCs w:val="28"/>
        </w:rPr>
        <w:t>大气环境影响评价结论</w:t>
      </w:r>
      <w:bookmarkEnd w:id="82"/>
      <w:bookmarkEnd w:id="85"/>
    </w:p>
    <w:p w14:paraId="61A2618C">
      <w:pPr>
        <w:adjustRightInd w:val="0"/>
        <w:snapToGrid w:val="0"/>
        <w:spacing w:line="360" w:lineRule="auto"/>
        <w:ind w:firstLine="480" w:firstLineChars="200"/>
        <w:rPr>
          <w:color w:val="auto"/>
          <w:sz w:val="24"/>
          <w:szCs w:val="24"/>
        </w:rPr>
      </w:pPr>
      <w:r>
        <w:rPr>
          <w:color w:val="auto"/>
          <w:sz w:val="24"/>
          <w:szCs w:val="24"/>
        </w:rPr>
        <w:t>（1）正常工况下，排放的大气污染物贡献值较小，经估算模型AERSCREEN初步预测，本项目正常情况排放污染物P</w:t>
      </w:r>
      <w:r>
        <w:rPr>
          <w:color w:val="auto"/>
          <w:sz w:val="24"/>
          <w:szCs w:val="24"/>
          <w:vertAlign w:val="subscript"/>
        </w:rPr>
        <w:t>max</w:t>
      </w:r>
      <w:r>
        <w:rPr>
          <w:color w:val="auto"/>
          <w:sz w:val="24"/>
          <w:szCs w:val="24"/>
        </w:rPr>
        <w:t>＜1%，对周围</w:t>
      </w:r>
      <w:r>
        <w:rPr>
          <w:rFonts w:hint="eastAsia"/>
          <w:color w:val="auto"/>
          <w:sz w:val="24"/>
          <w:szCs w:val="24"/>
        </w:rPr>
        <w:t>大气</w:t>
      </w:r>
      <w:r>
        <w:rPr>
          <w:color w:val="auto"/>
          <w:sz w:val="24"/>
          <w:szCs w:val="24"/>
        </w:rPr>
        <w:t>环境影响较小，排放的大气污染物对大气环境影响可接受。</w:t>
      </w:r>
    </w:p>
    <w:p w14:paraId="67162AAB">
      <w:pPr>
        <w:adjustRightInd w:val="0"/>
        <w:snapToGrid w:val="0"/>
        <w:spacing w:line="360" w:lineRule="auto"/>
        <w:ind w:firstLine="480" w:firstLineChars="200"/>
        <w:rPr>
          <w:color w:val="auto"/>
          <w:sz w:val="24"/>
          <w:szCs w:val="24"/>
        </w:rPr>
      </w:pPr>
      <w:r>
        <w:rPr>
          <w:color w:val="auto"/>
          <w:sz w:val="24"/>
          <w:szCs w:val="24"/>
        </w:rPr>
        <w:t>（2）</w:t>
      </w:r>
      <w:r>
        <w:rPr>
          <w:rFonts w:hint="eastAsia"/>
          <w:color w:val="auto"/>
          <w:sz w:val="24"/>
          <w:szCs w:val="24"/>
        </w:rPr>
        <w:t>当废气处理设施非正常运行时，将加大对周边大气环境短时影响。通过</w:t>
      </w:r>
      <w:r>
        <w:rPr>
          <w:color w:val="auto"/>
          <w:sz w:val="24"/>
          <w:szCs w:val="24"/>
        </w:rPr>
        <w:t>加强</w:t>
      </w:r>
      <w:r>
        <w:rPr>
          <w:rFonts w:hint="eastAsia"/>
          <w:color w:val="auto"/>
          <w:sz w:val="24"/>
          <w:szCs w:val="24"/>
        </w:rPr>
        <w:t>大气</w:t>
      </w:r>
      <w:r>
        <w:rPr>
          <w:color w:val="auto"/>
          <w:sz w:val="24"/>
          <w:szCs w:val="24"/>
        </w:rPr>
        <w:t>污染</w:t>
      </w:r>
      <w:r>
        <w:rPr>
          <w:rFonts w:hint="eastAsia"/>
          <w:color w:val="auto"/>
          <w:sz w:val="24"/>
          <w:szCs w:val="24"/>
        </w:rPr>
        <w:t>设施运行</w:t>
      </w:r>
      <w:r>
        <w:rPr>
          <w:color w:val="auto"/>
          <w:sz w:val="24"/>
          <w:szCs w:val="24"/>
        </w:rPr>
        <w:t>管理，减少</w:t>
      </w:r>
      <w:r>
        <w:rPr>
          <w:rFonts w:hint="eastAsia"/>
          <w:color w:val="auto"/>
          <w:sz w:val="24"/>
          <w:szCs w:val="24"/>
        </w:rPr>
        <w:t>非</w:t>
      </w:r>
      <w:r>
        <w:rPr>
          <w:color w:val="auto"/>
          <w:sz w:val="24"/>
          <w:szCs w:val="24"/>
        </w:rPr>
        <w:t>正常排放发生。</w:t>
      </w:r>
    </w:p>
    <w:p w14:paraId="7097ACC3">
      <w:pPr>
        <w:adjustRightInd w:val="0"/>
        <w:snapToGrid w:val="0"/>
        <w:spacing w:line="360" w:lineRule="auto"/>
        <w:ind w:firstLine="480" w:firstLineChars="200"/>
        <w:rPr>
          <w:color w:val="auto"/>
          <w:sz w:val="24"/>
          <w:szCs w:val="24"/>
        </w:rPr>
      </w:pPr>
      <w:r>
        <w:rPr>
          <w:color w:val="auto"/>
          <w:sz w:val="24"/>
          <w:szCs w:val="24"/>
        </w:rPr>
        <w:t>（</w:t>
      </w:r>
      <w:r>
        <w:rPr>
          <w:rFonts w:hint="eastAsia"/>
          <w:color w:val="auto"/>
          <w:sz w:val="24"/>
          <w:szCs w:val="24"/>
        </w:rPr>
        <w:t>3</w:t>
      </w:r>
      <w:r>
        <w:rPr>
          <w:color w:val="auto"/>
          <w:sz w:val="24"/>
          <w:szCs w:val="24"/>
        </w:rPr>
        <w:t>）无组织排放大气污染物到达厂界浓度限值均满足相关标准，</w:t>
      </w:r>
      <w:r>
        <w:rPr>
          <w:rFonts w:hint="eastAsia"/>
          <w:color w:val="auto"/>
          <w:sz w:val="24"/>
          <w:szCs w:val="24"/>
        </w:rPr>
        <w:t>本</w:t>
      </w:r>
      <w:r>
        <w:rPr>
          <w:color w:val="auto"/>
          <w:sz w:val="24"/>
          <w:szCs w:val="24"/>
        </w:rPr>
        <w:t>项目不设置大气环境防护区域。</w:t>
      </w:r>
    </w:p>
    <w:p w14:paraId="21008E5E">
      <w:pPr>
        <w:spacing w:line="360" w:lineRule="auto"/>
        <w:ind w:firstLine="480" w:firstLineChars="200"/>
        <w:rPr>
          <w:color w:val="auto"/>
          <w:sz w:val="24"/>
          <w:szCs w:val="24"/>
        </w:rPr>
      </w:pPr>
      <w:r>
        <w:rPr>
          <w:color w:val="auto"/>
          <w:sz w:val="24"/>
          <w:szCs w:val="24"/>
        </w:rPr>
        <w:t>评价结果表明，建设项目建成投产后，废气处理装置正常运行，排放大气污染物对空气质量影响不</w:t>
      </w:r>
      <w:r>
        <w:rPr>
          <w:rFonts w:hint="eastAsia"/>
          <w:color w:val="auto"/>
          <w:sz w:val="24"/>
          <w:szCs w:val="24"/>
        </w:rPr>
        <w:t>大</w:t>
      </w:r>
      <w:r>
        <w:rPr>
          <w:color w:val="auto"/>
          <w:sz w:val="24"/>
          <w:szCs w:val="24"/>
        </w:rPr>
        <w:t>。非正常工况下排放的大气污染物</w:t>
      </w:r>
      <w:r>
        <w:rPr>
          <w:rFonts w:hint="eastAsia"/>
          <w:color w:val="auto"/>
          <w:sz w:val="24"/>
          <w:szCs w:val="24"/>
        </w:rPr>
        <w:t>将加大对周边大气环境短时影响</w:t>
      </w:r>
      <w:r>
        <w:rPr>
          <w:color w:val="auto"/>
          <w:sz w:val="24"/>
          <w:szCs w:val="24"/>
        </w:rPr>
        <w:t>，建设方应定期检查环保设备的运行状况，</w:t>
      </w:r>
      <w:r>
        <w:rPr>
          <w:rFonts w:hint="eastAsia"/>
          <w:color w:val="auto"/>
          <w:sz w:val="24"/>
          <w:szCs w:val="24"/>
        </w:rPr>
        <w:t>提高</w:t>
      </w:r>
      <w:r>
        <w:rPr>
          <w:color w:val="auto"/>
          <w:sz w:val="24"/>
          <w:szCs w:val="24"/>
        </w:rPr>
        <w:t>员工环保意识，避免非正常工况的发生</w:t>
      </w:r>
      <w:r>
        <w:rPr>
          <w:rFonts w:hint="eastAsia"/>
          <w:color w:val="auto"/>
          <w:sz w:val="24"/>
          <w:szCs w:val="24"/>
        </w:rPr>
        <w:t>。</w:t>
      </w:r>
    </w:p>
    <w:p w14:paraId="7F78EA7B">
      <w:pPr>
        <w:adjustRightInd w:val="0"/>
        <w:snapToGrid w:val="0"/>
        <w:ind w:firstLine="482"/>
        <w:jc w:val="center"/>
        <w:rPr>
          <w:b/>
          <w:color w:val="auto"/>
          <w:sz w:val="24"/>
          <w:szCs w:val="24"/>
        </w:rPr>
      </w:pPr>
      <w:r>
        <w:rPr>
          <w:rFonts w:hint="eastAsia"/>
          <w:b/>
          <w:color w:val="auto"/>
          <w:sz w:val="24"/>
          <w:szCs w:val="24"/>
        </w:rPr>
        <w:t>表4-1</w:t>
      </w:r>
      <w:r>
        <w:rPr>
          <w:rFonts w:hint="eastAsia"/>
          <w:b/>
          <w:color w:val="auto"/>
          <w:sz w:val="24"/>
          <w:szCs w:val="24"/>
          <w:lang w:val="en-US" w:eastAsia="zh-CN"/>
        </w:rPr>
        <w:t>8</w:t>
      </w:r>
      <w:bookmarkStart w:id="146" w:name="_GoBack"/>
      <w:bookmarkEnd w:id="146"/>
      <w:r>
        <w:rPr>
          <w:b/>
          <w:color w:val="auto"/>
          <w:sz w:val="24"/>
          <w:szCs w:val="24"/>
        </w:rPr>
        <w:t xml:space="preserve"> </w:t>
      </w:r>
      <w:r>
        <w:rPr>
          <w:rFonts w:hint="eastAsia"/>
          <w:b/>
          <w:color w:val="auto"/>
          <w:sz w:val="24"/>
          <w:szCs w:val="24"/>
        </w:rPr>
        <w:t>建设项目大气环境影响评价自查表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8"/>
        <w:gridCol w:w="1183"/>
        <w:gridCol w:w="961"/>
        <w:gridCol w:w="378"/>
        <w:gridCol w:w="12"/>
        <w:gridCol w:w="352"/>
        <w:gridCol w:w="105"/>
        <w:gridCol w:w="210"/>
        <w:gridCol w:w="743"/>
        <w:gridCol w:w="880"/>
        <w:gridCol w:w="291"/>
        <w:gridCol w:w="245"/>
        <w:gridCol w:w="224"/>
        <w:gridCol w:w="163"/>
        <w:gridCol w:w="374"/>
        <w:gridCol w:w="292"/>
        <w:gridCol w:w="203"/>
        <w:gridCol w:w="389"/>
        <w:gridCol w:w="642"/>
      </w:tblGrid>
      <w:tr w14:paraId="677A0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864" w:type="dxa"/>
            <w:gridSpan w:val="2"/>
            <w:tcBorders>
              <w:top w:val="single" w:color="auto" w:sz="12" w:space="0"/>
              <w:left w:val="nil"/>
              <w:bottom w:val="single" w:color="auto" w:sz="4" w:space="0"/>
              <w:right w:val="single" w:color="auto" w:sz="4" w:space="0"/>
            </w:tcBorders>
            <w:vAlign w:val="center"/>
          </w:tcPr>
          <w:p w14:paraId="2D904364">
            <w:pPr>
              <w:pStyle w:val="107"/>
              <w:spacing w:line="320" w:lineRule="exact"/>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工作内容</w:t>
            </w:r>
          </w:p>
        </w:tc>
        <w:tc>
          <w:tcPr>
            <w:tcW w:w="6505" w:type="dxa"/>
            <w:gridSpan w:val="17"/>
            <w:tcBorders>
              <w:top w:val="single" w:color="auto" w:sz="12" w:space="0"/>
              <w:left w:val="single" w:color="auto" w:sz="4" w:space="0"/>
              <w:bottom w:val="single" w:color="auto" w:sz="4" w:space="0"/>
              <w:right w:val="nil"/>
            </w:tcBorders>
            <w:vAlign w:val="center"/>
          </w:tcPr>
          <w:p w14:paraId="4E901099">
            <w:pPr>
              <w:pStyle w:val="107"/>
              <w:spacing w:line="320" w:lineRule="exact"/>
              <w:rPr>
                <w:rFonts w:ascii="Times New Roman" w:hAnsi="Times New Roman" w:eastAsia="宋体"/>
                <w:b/>
                <w:bCs/>
                <w:color w:val="auto"/>
                <w:kern w:val="2"/>
                <w:sz w:val="21"/>
                <w:szCs w:val="21"/>
              </w:rPr>
            </w:pPr>
            <w:r>
              <w:rPr>
                <w:rFonts w:hint="eastAsia" w:ascii="Times New Roman" w:hAnsi="Times New Roman" w:eastAsia="宋体"/>
                <w:b/>
                <w:bCs/>
                <w:color w:val="auto"/>
                <w:kern w:val="2"/>
                <w:sz w:val="21"/>
                <w:szCs w:val="21"/>
                <w:lang w:val="en-US" w:eastAsia="zh-CN"/>
              </w:rPr>
              <w:t>年加工1000万米文体用布（桌球布）项目</w:t>
            </w:r>
          </w:p>
        </w:tc>
      </w:tr>
      <w:tr w14:paraId="46140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restart"/>
            <w:tcBorders>
              <w:top w:val="single" w:color="auto" w:sz="4" w:space="0"/>
              <w:left w:val="nil"/>
              <w:bottom w:val="single" w:color="auto" w:sz="4" w:space="0"/>
              <w:right w:val="single" w:color="auto" w:sz="4" w:space="0"/>
            </w:tcBorders>
            <w:vAlign w:val="center"/>
          </w:tcPr>
          <w:p w14:paraId="35182D4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评价等级与范围</w:t>
            </w:r>
          </w:p>
        </w:tc>
        <w:tc>
          <w:tcPr>
            <w:tcW w:w="1191" w:type="dxa"/>
            <w:tcBorders>
              <w:top w:val="single" w:color="auto" w:sz="4" w:space="0"/>
              <w:left w:val="single" w:color="auto" w:sz="4" w:space="0"/>
              <w:bottom w:val="single" w:color="auto" w:sz="4" w:space="0"/>
              <w:right w:val="single" w:color="auto" w:sz="4" w:space="0"/>
            </w:tcBorders>
            <w:vAlign w:val="center"/>
          </w:tcPr>
          <w:p w14:paraId="555E75B6">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评价等级</w:t>
            </w:r>
          </w:p>
        </w:tc>
        <w:tc>
          <w:tcPr>
            <w:tcW w:w="2030" w:type="dxa"/>
            <w:gridSpan w:val="6"/>
            <w:tcBorders>
              <w:top w:val="single" w:color="auto" w:sz="4" w:space="0"/>
              <w:left w:val="single" w:color="auto" w:sz="4" w:space="0"/>
              <w:bottom w:val="single" w:color="auto" w:sz="4" w:space="0"/>
              <w:right w:val="single" w:color="auto" w:sz="4" w:space="0"/>
            </w:tcBorders>
            <w:vAlign w:val="center"/>
          </w:tcPr>
          <w:p w14:paraId="160F1C2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一级</w:t>
            </w:r>
            <w:r>
              <w:rPr>
                <w:rFonts w:ascii="Times New Roman" w:hAnsi="Times New Roman" w:eastAsia="宋体"/>
                <w:color w:val="auto"/>
                <w:kern w:val="2"/>
                <w:sz w:val="21"/>
                <w:szCs w:val="21"/>
              </w:rPr>
              <w:sym w:font="Wingdings 2" w:char="00A3"/>
            </w:r>
          </w:p>
        </w:tc>
        <w:tc>
          <w:tcPr>
            <w:tcW w:w="3233" w:type="dxa"/>
            <w:gridSpan w:val="8"/>
            <w:tcBorders>
              <w:top w:val="single" w:color="auto" w:sz="4" w:space="0"/>
              <w:left w:val="single" w:color="auto" w:sz="4" w:space="0"/>
              <w:bottom w:val="single" w:color="auto" w:sz="4" w:space="0"/>
              <w:right w:val="single" w:color="auto" w:sz="4" w:space="0"/>
            </w:tcBorders>
            <w:vAlign w:val="center"/>
          </w:tcPr>
          <w:p w14:paraId="32112CF6">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二级</w:t>
            </w:r>
            <w:r>
              <w:rPr>
                <w:rFonts w:hint="eastAsia" w:ascii="Times New Roman" w:hAnsi="MS Mincho" w:eastAsia="宋体"/>
                <w:color w:val="auto"/>
                <w:kern w:val="2"/>
                <w:sz w:val="21"/>
                <w:szCs w:val="21"/>
              </w:rPr>
              <w:sym w:font="Wingdings 2" w:char="00A3"/>
            </w:r>
          </w:p>
        </w:tc>
        <w:tc>
          <w:tcPr>
            <w:tcW w:w="1242" w:type="dxa"/>
            <w:gridSpan w:val="3"/>
            <w:tcBorders>
              <w:top w:val="single" w:color="auto" w:sz="4" w:space="0"/>
              <w:left w:val="single" w:color="auto" w:sz="4" w:space="0"/>
              <w:bottom w:val="single" w:color="auto" w:sz="4" w:space="0"/>
              <w:right w:val="nil"/>
            </w:tcBorders>
            <w:vAlign w:val="center"/>
          </w:tcPr>
          <w:p w14:paraId="5E81E64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三级</w:t>
            </w:r>
            <w:r>
              <w:rPr>
                <w:rFonts w:ascii="Times New Roman" w:hAnsi="Times New Roman" w:eastAsia="宋体"/>
                <w:color w:val="auto"/>
                <w:kern w:val="2"/>
                <w:sz w:val="21"/>
                <w:szCs w:val="21"/>
              </w:rPr>
              <w:sym w:font="Wingdings 2" w:char="0052"/>
            </w:r>
          </w:p>
        </w:tc>
      </w:tr>
      <w:tr w14:paraId="0F436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66C1D1EF">
            <w:pPr>
              <w:widowControl/>
              <w:spacing w:line="320" w:lineRule="exact"/>
              <w:jc w:val="center"/>
              <w:rPr>
                <w:color w:val="auto"/>
                <w:sz w:val="21"/>
                <w:szCs w:val="21"/>
                <w:lang w:eastAsia="en-US"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093F12E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评价范围</w:t>
            </w:r>
          </w:p>
        </w:tc>
        <w:tc>
          <w:tcPr>
            <w:tcW w:w="2030" w:type="dxa"/>
            <w:gridSpan w:val="6"/>
            <w:tcBorders>
              <w:top w:val="single" w:color="auto" w:sz="4" w:space="0"/>
              <w:left w:val="single" w:color="auto" w:sz="4" w:space="0"/>
              <w:bottom w:val="single" w:color="auto" w:sz="4" w:space="0"/>
              <w:right w:val="single" w:color="auto" w:sz="4" w:space="0"/>
            </w:tcBorders>
            <w:vAlign w:val="center"/>
          </w:tcPr>
          <w:p w14:paraId="3B44B6B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边长=50km□</w:t>
            </w:r>
          </w:p>
        </w:tc>
        <w:tc>
          <w:tcPr>
            <w:tcW w:w="3233" w:type="dxa"/>
            <w:gridSpan w:val="8"/>
            <w:tcBorders>
              <w:top w:val="single" w:color="auto" w:sz="4" w:space="0"/>
              <w:left w:val="single" w:color="auto" w:sz="4" w:space="0"/>
              <w:bottom w:val="single" w:color="auto" w:sz="4" w:space="0"/>
              <w:right w:val="single" w:color="auto" w:sz="4" w:space="0"/>
            </w:tcBorders>
            <w:vAlign w:val="center"/>
          </w:tcPr>
          <w:p w14:paraId="10FB513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边长5～50km</w:t>
            </w:r>
            <w:r>
              <w:rPr>
                <w:rFonts w:ascii="Times New Roman" w:hAnsi="Times New Roman" w:eastAsia="宋体"/>
                <w:color w:val="auto"/>
                <w:kern w:val="2"/>
                <w:sz w:val="21"/>
                <w:szCs w:val="21"/>
              </w:rPr>
              <w:sym w:font="Wingdings 2" w:char="00A3"/>
            </w:r>
          </w:p>
        </w:tc>
        <w:tc>
          <w:tcPr>
            <w:tcW w:w="1242" w:type="dxa"/>
            <w:gridSpan w:val="3"/>
            <w:tcBorders>
              <w:top w:val="single" w:color="auto" w:sz="4" w:space="0"/>
              <w:left w:val="single" w:color="auto" w:sz="4" w:space="0"/>
              <w:bottom w:val="single" w:color="auto" w:sz="4" w:space="0"/>
              <w:right w:val="nil"/>
            </w:tcBorders>
            <w:vAlign w:val="center"/>
          </w:tcPr>
          <w:p w14:paraId="7BC5C2A9">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边长=5 km</w:t>
            </w:r>
            <w:r>
              <w:rPr>
                <w:rFonts w:ascii="Times New Roman" w:hAnsi="Times New Roman" w:eastAsia="宋体"/>
                <w:color w:val="auto"/>
                <w:kern w:val="2"/>
                <w:sz w:val="21"/>
                <w:szCs w:val="21"/>
              </w:rPr>
              <w:sym w:font="Wingdings 2" w:char="00A3"/>
            </w:r>
          </w:p>
        </w:tc>
      </w:tr>
      <w:tr w14:paraId="6EC51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restart"/>
            <w:tcBorders>
              <w:top w:val="single" w:color="auto" w:sz="4" w:space="0"/>
              <w:left w:val="nil"/>
              <w:bottom w:val="single" w:color="auto" w:sz="4" w:space="0"/>
              <w:right w:val="single" w:color="auto" w:sz="4" w:space="0"/>
            </w:tcBorders>
            <w:vAlign w:val="center"/>
          </w:tcPr>
          <w:p w14:paraId="478EEE18">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评价因子</w:t>
            </w:r>
          </w:p>
        </w:tc>
        <w:tc>
          <w:tcPr>
            <w:tcW w:w="1191" w:type="dxa"/>
            <w:tcBorders>
              <w:top w:val="single" w:color="auto" w:sz="4" w:space="0"/>
              <w:left w:val="single" w:color="auto" w:sz="4" w:space="0"/>
              <w:bottom w:val="single" w:color="auto" w:sz="4" w:space="0"/>
              <w:right w:val="single" w:color="auto" w:sz="4" w:space="0"/>
            </w:tcBorders>
            <w:vAlign w:val="center"/>
          </w:tcPr>
          <w:p w14:paraId="5421AE9D">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SO</w:t>
            </w:r>
            <w:r>
              <w:rPr>
                <w:rFonts w:ascii="Times New Roman" w:hAnsi="Times New Roman" w:eastAsia="宋体"/>
                <w:color w:val="auto"/>
                <w:kern w:val="2"/>
                <w:sz w:val="21"/>
                <w:szCs w:val="21"/>
                <w:vertAlign w:val="subscript"/>
              </w:rPr>
              <w:t>2</w:t>
            </w:r>
            <w:r>
              <w:rPr>
                <w:rFonts w:ascii="Times New Roman" w:hAnsi="Times New Roman" w:eastAsia="宋体"/>
                <w:color w:val="auto"/>
                <w:kern w:val="2"/>
                <w:sz w:val="21"/>
                <w:szCs w:val="21"/>
              </w:rPr>
              <w:t xml:space="preserve"> +NOx排放量</w:t>
            </w:r>
          </w:p>
        </w:tc>
        <w:tc>
          <w:tcPr>
            <w:tcW w:w="1401" w:type="dxa"/>
            <w:gridSpan w:val="3"/>
            <w:tcBorders>
              <w:top w:val="single" w:color="auto" w:sz="4" w:space="0"/>
              <w:left w:val="single" w:color="auto" w:sz="4" w:space="0"/>
              <w:bottom w:val="single" w:color="auto" w:sz="4" w:space="0"/>
              <w:right w:val="single" w:color="auto" w:sz="4" w:space="0"/>
            </w:tcBorders>
            <w:vAlign w:val="center"/>
          </w:tcPr>
          <w:p w14:paraId="762E0B0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 2000t/a□</w:t>
            </w:r>
          </w:p>
        </w:tc>
        <w:tc>
          <w:tcPr>
            <w:tcW w:w="3862" w:type="dxa"/>
            <w:gridSpan w:val="11"/>
            <w:tcBorders>
              <w:top w:val="single" w:color="auto" w:sz="4" w:space="0"/>
              <w:left w:val="single" w:color="auto" w:sz="4" w:space="0"/>
              <w:bottom w:val="single" w:color="auto" w:sz="4" w:space="0"/>
              <w:right w:val="single" w:color="auto" w:sz="4" w:space="0"/>
            </w:tcBorders>
            <w:vAlign w:val="center"/>
          </w:tcPr>
          <w:p w14:paraId="1FDF980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500 ~ 2000t/a□</w:t>
            </w:r>
          </w:p>
        </w:tc>
        <w:tc>
          <w:tcPr>
            <w:tcW w:w="1242" w:type="dxa"/>
            <w:gridSpan w:val="3"/>
            <w:tcBorders>
              <w:top w:val="single" w:color="auto" w:sz="4" w:space="0"/>
              <w:left w:val="single" w:color="auto" w:sz="4" w:space="0"/>
              <w:bottom w:val="single" w:color="auto" w:sz="4" w:space="0"/>
              <w:right w:val="nil"/>
            </w:tcBorders>
            <w:vAlign w:val="center"/>
          </w:tcPr>
          <w:p w14:paraId="0769E3AE">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＜500 t/a</w:t>
            </w:r>
            <w:r>
              <w:rPr>
                <w:rFonts w:ascii="Times New Roman" w:hAnsi="MS Mincho" w:eastAsia="MS Mincho"/>
                <w:color w:val="auto"/>
                <w:kern w:val="2"/>
                <w:sz w:val="21"/>
                <w:szCs w:val="21"/>
              </w:rPr>
              <w:t>☑</w:t>
            </w:r>
          </w:p>
        </w:tc>
      </w:tr>
      <w:tr w14:paraId="600CC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0F1B2133">
            <w:pPr>
              <w:widowControl/>
              <w:spacing w:line="320" w:lineRule="exact"/>
              <w:jc w:val="center"/>
              <w:rPr>
                <w:color w:val="auto"/>
                <w:sz w:val="21"/>
                <w:szCs w:val="21"/>
                <w:lang w:eastAsia="en-US"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14244A4D">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评价因子</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798D16BC">
            <w:pPr>
              <w:pStyle w:val="107"/>
              <w:spacing w:line="320" w:lineRule="exact"/>
              <w:rPr>
                <w:rFonts w:ascii="Times New Roman" w:hAnsi="Times New Roman" w:eastAsia="宋体"/>
                <w:color w:val="auto"/>
                <w:kern w:val="2"/>
                <w:sz w:val="21"/>
                <w:szCs w:val="21"/>
                <w:vertAlign w:val="subscript"/>
              </w:rPr>
            </w:pPr>
            <w:r>
              <w:rPr>
                <w:rFonts w:ascii="Times New Roman" w:hAnsi="Times New Roman" w:eastAsia="宋体"/>
                <w:color w:val="auto"/>
                <w:kern w:val="2"/>
                <w:sz w:val="21"/>
                <w:szCs w:val="21"/>
              </w:rPr>
              <w:t>基本污染物 (</w:t>
            </w:r>
            <w:r>
              <w:rPr>
                <w:rFonts w:hint="eastAsia" w:ascii="Times New Roman" w:hAnsi="Times New Roman" w:eastAsia="宋体"/>
                <w:color w:val="auto"/>
                <w:sz w:val="21"/>
                <w:szCs w:val="21"/>
                <w:lang w:val="en-US" w:eastAsia="zh-CN"/>
              </w:rPr>
              <w:t>TSP、SO</w:t>
            </w:r>
            <w:r>
              <w:rPr>
                <w:rFonts w:hint="eastAsia" w:ascii="Times New Roman" w:hAnsi="Times New Roman" w:eastAsia="宋体"/>
                <w:color w:val="auto"/>
                <w:sz w:val="21"/>
                <w:szCs w:val="21"/>
                <w:vertAlign w:val="subscript"/>
                <w:lang w:val="en-US" w:eastAsia="zh-CN"/>
              </w:rPr>
              <w:t>2</w:t>
            </w:r>
            <w:r>
              <w:rPr>
                <w:rFonts w:hint="eastAsia" w:ascii="Times New Roman" w:hAnsi="Times New Roman" w:eastAsia="宋体"/>
                <w:color w:val="auto"/>
                <w:sz w:val="21"/>
                <w:szCs w:val="21"/>
                <w:lang w:val="en-US" w:eastAsia="zh-CN"/>
              </w:rPr>
              <w:t>、NOx</w:t>
            </w:r>
            <w:r>
              <w:rPr>
                <w:rFonts w:ascii="Times New Roman" w:hAnsi="Times New Roman" w:eastAsia="宋体"/>
                <w:color w:val="auto"/>
                <w:kern w:val="2"/>
                <w:sz w:val="21"/>
                <w:szCs w:val="21"/>
                <w:vertAlign w:val="subscript"/>
              </w:rPr>
              <w:t>)</w:t>
            </w:r>
          </w:p>
          <w:p w14:paraId="357C8F10">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vertAlign w:val="baseline"/>
              </w:rPr>
              <w:t>其他污染物 (</w:t>
            </w:r>
            <w:r>
              <w:rPr>
                <w:rFonts w:hint="eastAsia" w:ascii="Times New Roman" w:hAnsi="Times New Roman" w:eastAsia="宋体"/>
                <w:color w:val="auto"/>
                <w:kern w:val="2"/>
                <w:sz w:val="21"/>
                <w:szCs w:val="21"/>
                <w:vertAlign w:val="baseline"/>
              </w:rPr>
              <w:t>非甲烷总烃、</w:t>
            </w:r>
            <w:r>
              <w:rPr>
                <w:rFonts w:hint="eastAsia" w:ascii="Times New Roman" w:hAnsi="Times New Roman" w:eastAsia="宋体"/>
                <w:color w:val="auto"/>
                <w:kern w:val="2"/>
                <w:sz w:val="21"/>
                <w:szCs w:val="21"/>
                <w:vertAlign w:val="baseline"/>
                <w:lang w:val="en-US" w:eastAsia="zh-CN"/>
              </w:rPr>
              <w:t>汞</w:t>
            </w:r>
            <w:r>
              <w:rPr>
                <w:rFonts w:hint="eastAsia" w:ascii="Times New Roman" w:hAnsi="Times New Roman" w:eastAsia="宋体"/>
                <w:color w:val="auto"/>
                <w:kern w:val="2"/>
                <w:sz w:val="21"/>
                <w:szCs w:val="21"/>
                <w:lang w:val="en-US" w:eastAsia="zh-CN"/>
              </w:rPr>
              <w:t>、</w:t>
            </w:r>
            <w:r>
              <w:rPr>
                <w:rFonts w:ascii="Times New Roman" w:hAnsi="Times New Roman" w:eastAsia="宋体"/>
                <w:color w:val="auto"/>
                <w:kern w:val="2"/>
                <w:sz w:val="21"/>
                <w:szCs w:val="21"/>
              </w:rPr>
              <w:t>)</w:t>
            </w:r>
          </w:p>
        </w:tc>
        <w:tc>
          <w:tcPr>
            <w:tcW w:w="2841" w:type="dxa"/>
            <w:gridSpan w:val="9"/>
            <w:tcBorders>
              <w:top w:val="single" w:color="auto" w:sz="4" w:space="0"/>
              <w:left w:val="single" w:color="auto" w:sz="4" w:space="0"/>
              <w:bottom w:val="single" w:color="auto" w:sz="4" w:space="0"/>
              <w:right w:val="nil"/>
            </w:tcBorders>
            <w:vAlign w:val="center"/>
          </w:tcPr>
          <w:p w14:paraId="3B7C2F77">
            <w:pPr>
              <w:pStyle w:val="107"/>
              <w:spacing w:line="320" w:lineRule="exact"/>
              <w:ind w:right="412" w:rightChars="196"/>
              <w:rPr>
                <w:rFonts w:ascii="Times New Roman" w:hAnsi="Times New Roman" w:eastAsia="宋体"/>
                <w:color w:val="auto"/>
                <w:kern w:val="2"/>
                <w:sz w:val="21"/>
                <w:szCs w:val="21"/>
              </w:rPr>
            </w:pPr>
            <w:r>
              <w:rPr>
                <w:rFonts w:ascii="Times New Roman" w:hAnsi="Times New Roman" w:eastAsia="宋体"/>
                <w:color w:val="auto"/>
                <w:kern w:val="2"/>
                <w:sz w:val="21"/>
                <w:szCs w:val="21"/>
              </w:rPr>
              <w:t>包括二次PM</w:t>
            </w:r>
            <w:r>
              <w:rPr>
                <w:rFonts w:ascii="Times New Roman" w:hAnsi="Times New Roman" w:eastAsia="宋体"/>
                <w:color w:val="auto"/>
                <w:kern w:val="2"/>
                <w:sz w:val="21"/>
                <w:szCs w:val="21"/>
                <w:vertAlign w:val="subscript"/>
              </w:rPr>
              <w:t>2.5</w:t>
            </w:r>
            <w:r>
              <w:rPr>
                <w:rFonts w:ascii="Times New Roman" w:hAnsi="Times New Roman" w:eastAsia="宋体"/>
                <w:color w:val="auto"/>
                <w:kern w:val="2"/>
                <w:sz w:val="21"/>
                <w:szCs w:val="21"/>
              </w:rPr>
              <w:t>□</w:t>
            </w:r>
          </w:p>
          <w:p w14:paraId="6E05338F">
            <w:pPr>
              <w:pStyle w:val="107"/>
              <w:spacing w:line="320" w:lineRule="exact"/>
              <w:ind w:right="412" w:rightChars="196"/>
              <w:rPr>
                <w:rFonts w:ascii="Times New Roman" w:hAnsi="Times New Roman" w:eastAsia="宋体"/>
                <w:color w:val="auto"/>
                <w:kern w:val="2"/>
                <w:sz w:val="21"/>
                <w:szCs w:val="21"/>
              </w:rPr>
            </w:pPr>
            <w:r>
              <w:rPr>
                <w:rFonts w:ascii="Times New Roman" w:hAnsi="Times New Roman" w:eastAsia="宋体"/>
                <w:color w:val="auto"/>
                <w:kern w:val="2"/>
                <w:sz w:val="21"/>
                <w:szCs w:val="21"/>
              </w:rPr>
              <w:t>不包括二次PM</w:t>
            </w:r>
            <w:r>
              <w:rPr>
                <w:rFonts w:ascii="Times New Roman" w:hAnsi="Times New Roman" w:eastAsia="宋体"/>
                <w:color w:val="auto"/>
                <w:kern w:val="2"/>
                <w:sz w:val="21"/>
                <w:szCs w:val="21"/>
                <w:vertAlign w:val="subscript"/>
              </w:rPr>
              <w:t>2.5</w:t>
            </w:r>
            <w:r>
              <w:rPr>
                <w:rFonts w:ascii="Times New Roman" w:hAnsi="MS Mincho" w:eastAsia="MS Mincho"/>
                <w:color w:val="auto"/>
                <w:kern w:val="2"/>
                <w:sz w:val="21"/>
                <w:szCs w:val="21"/>
              </w:rPr>
              <w:t>☑</w:t>
            </w:r>
          </w:p>
        </w:tc>
      </w:tr>
      <w:tr w14:paraId="6D8C2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tcBorders>
              <w:top w:val="single" w:color="auto" w:sz="4" w:space="0"/>
              <w:left w:val="nil"/>
              <w:bottom w:val="single" w:color="auto" w:sz="4" w:space="0"/>
              <w:right w:val="single" w:color="auto" w:sz="4" w:space="0"/>
            </w:tcBorders>
            <w:vAlign w:val="center"/>
          </w:tcPr>
          <w:p w14:paraId="605BCD7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评价标准</w:t>
            </w:r>
          </w:p>
        </w:tc>
        <w:tc>
          <w:tcPr>
            <w:tcW w:w="1191" w:type="dxa"/>
            <w:tcBorders>
              <w:top w:val="single" w:color="auto" w:sz="4" w:space="0"/>
              <w:left w:val="single" w:color="auto" w:sz="4" w:space="0"/>
              <w:bottom w:val="single" w:color="auto" w:sz="4" w:space="0"/>
              <w:right w:val="single" w:color="auto" w:sz="4" w:space="0"/>
            </w:tcBorders>
            <w:vAlign w:val="center"/>
          </w:tcPr>
          <w:p w14:paraId="5301254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评价标准</w:t>
            </w:r>
          </w:p>
        </w:tc>
        <w:tc>
          <w:tcPr>
            <w:tcW w:w="1819" w:type="dxa"/>
            <w:gridSpan w:val="5"/>
            <w:tcBorders>
              <w:top w:val="single" w:color="auto" w:sz="4" w:space="0"/>
              <w:left w:val="single" w:color="auto" w:sz="4" w:space="0"/>
              <w:bottom w:val="single" w:color="auto" w:sz="4" w:space="0"/>
              <w:right w:val="single" w:color="auto" w:sz="4" w:space="0"/>
            </w:tcBorders>
            <w:vAlign w:val="center"/>
          </w:tcPr>
          <w:p w14:paraId="7776EA23">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国家标准</w:t>
            </w:r>
            <w:r>
              <w:rPr>
                <w:rFonts w:ascii="Times New Roman" w:hAnsi="MS Mincho" w:eastAsia="MS Mincho"/>
                <w:color w:val="auto"/>
                <w:kern w:val="2"/>
                <w:sz w:val="21"/>
                <w:szCs w:val="21"/>
              </w:rPr>
              <w:t>☑</w:t>
            </w:r>
          </w:p>
        </w:tc>
        <w:tc>
          <w:tcPr>
            <w:tcW w:w="1845" w:type="dxa"/>
            <w:gridSpan w:val="3"/>
            <w:tcBorders>
              <w:top w:val="single" w:color="auto" w:sz="4" w:space="0"/>
              <w:left w:val="single" w:color="auto" w:sz="4" w:space="0"/>
              <w:bottom w:val="single" w:color="auto" w:sz="4" w:space="0"/>
              <w:right w:val="single" w:color="auto" w:sz="4" w:space="0"/>
            </w:tcBorders>
            <w:vAlign w:val="center"/>
          </w:tcPr>
          <w:p w14:paraId="4FB765B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地方标准□</w:t>
            </w:r>
          </w:p>
        </w:tc>
        <w:tc>
          <w:tcPr>
            <w:tcW w:w="1803" w:type="dxa"/>
            <w:gridSpan w:val="7"/>
            <w:tcBorders>
              <w:top w:val="single" w:color="auto" w:sz="4" w:space="0"/>
              <w:left w:val="single" w:color="auto" w:sz="4" w:space="0"/>
              <w:bottom w:val="single" w:color="auto" w:sz="4" w:space="0"/>
              <w:right w:val="single" w:color="auto" w:sz="4" w:space="0"/>
            </w:tcBorders>
            <w:vAlign w:val="center"/>
          </w:tcPr>
          <w:p w14:paraId="7ED23DD9">
            <w:pPr>
              <w:pStyle w:val="107"/>
              <w:spacing w:line="320" w:lineRule="exact"/>
              <w:rPr>
                <w:rFonts w:hint="eastAsia" w:ascii="Times New Roman" w:hAnsi="Times New Roman" w:eastAsia="宋体"/>
                <w:color w:val="auto"/>
                <w:kern w:val="2"/>
                <w:sz w:val="21"/>
                <w:szCs w:val="21"/>
                <w:lang w:eastAsia="zh-CN"/>
              </w:rPr>
            </w:pPr>
            <w:r>
              <w:rPr>
                <w:rFonts w:ascii="Times New Roman" w:hAnsi="Times New Roman" w:eastAsia="宋体"/>
                <w:color w:val="auto"/>
                <w:kern w:val="2"/>
                <w:sz w:val="21"/>
                <w:szCs w:val="21"/>
              </w:rPr>
              <w:t xml:space="preserve">附录D </w:t>
            </w:r>
            <w:r>
              <w:rPr>
                <w:rFonts w:hint="eastAsia" w:ascii="Times New Roman" w:hAnsi="Times New Roman" w:eastAsia="宋体"/>
                <w:color w:val="auto"/>
                <w:kern w:val="2"/>
                <w:sz w:val="21"/>
                <w:szCs w:val="21"/>
                <w:lang w:eastAsia="zh-CN"/>
              </w:rPr>
              <w:t>☑</w:t>
            </w:r>
          </w:p>
        </w:tc>
        <w:tc>
          <w:tcPr>
            <w:tcW w:w="1038" w:type="dxa"/>
            <w:gridSpan w:val="2"/>
            <w:tcBorders>
              <w:top w:val="single" w:color="auto" w:sz="4" w:space="0"/>
              <w:left w:val="single" w:color="auto" w:sz="4" w:space="0"/>
              <w:bottom w:val="single" w:color="auto" w:sz="4" w:space="0"/>
              <w:right w:val="nil"/>
            </w:tcBorders>
            <w:vAlign w:val="center"/>
          </w:tcPr>
          <w:p w14:paraId="655CCE69">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其他标准</w:t>
            </w:r>
            <w:r>
              <w:rPr>
                <w:rFonts w:ascii="Times New Roman" w:hAnsi="Times New Roman" w:eastAsia="宋体"/>
                <w:color w:val="auto"/>
                <w:kern w:val="2"/>
                <w:sz w:val="21"/>
                <w:szCs w:val="21"/>
              </w:rPr>
              <w:sym w:font="Wingdings 2" w:char="0052"/>
            </w:r>
          </w:p>
        </w:tc>
      </w:tr>
      <w:tr w14:paraId="3A45B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restart"/>
            <w:tcBorders>
              <w:top w:val="single" w:color="auto" w:sz="4" w:space="0"/>
              <w:left w:val="nil"/>
              <w:bottom w:val="single" w:color="auto" w:sz="4" w:space="0"/>
              <w:right w:val="single" w:color="auto" w:sz="4" w:space="0"/>
            </w:tcBorders>
            <w:vAlign w:val="center"/>
          </w:tcPr>
          <w:p w14:paraId="1B62CAC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现状评价</w:t>
            </w:r>
          </w:p>
        </w:tc>
        <w:tc>
          <w:tcPr>
            <w:tcW w:w="1191" w:type="dxa"/>
            <w:tcBorders>
              <w:top w:val="single" w:color="auto" w:sz="4" w:space="0"/>
              <w:left w:val="single" w:color="auto" w:sz="4" w:space="0"/>
              <w:bottom w:val="single" w:color="auto" w:sz="4" w:space="0"/>
              <w:right w:val="single" w:color="auto" w:sz="4" w:space="0"/>
            </w:tcBorders>
            <w:vAlign w:val="center"/>
          </w:tcPr>
          <w:p w14:paraId="4BA8BB0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环境功能区</w:t>
            </w:r>
          </w:p>
        </w:tc>
        <w:tc>
          <w:tcPr>
            <w:tcW w:w="2030" w:type="dxa"/>
            <w:gridSpan w:val="6"/>
            <w:tcBorders>
              <w:top w:val="single" w:color="auto" w:sz="4" w:space="0"/>
              <w:left w:val="single" w:color="auto" w:sz="4" w:space="0"/>
              <w:bottom w:val="single" w:color="auto" w:sz="4" w:space="0"/>
              <w:right w:val="single" w:color="auto" w:sz="4" w:space="0"/>
            </w:tcBorders>
            <w:vAlign w:val="center"/>
          </w:tcPr>
          <w:p w14:paraId="1F10489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一类区□</w:t>
            </w:r>
          </w:p>
        </w:tc>
        <w:tc>
          <w:tcPr>
            <w:tcW w:w="2648" w:type="dxa"/>
            <w:gridSpan w:val="6"/>
            <w:tcBorders>
              <w:top w:val="single" w:color="auto" w:sz="4" w:space="0"/>
              <w:left w:val="single" w:color="auto" w:sz="4" w:space="0"/>
              <w:bottom w:val="single" w:color="auto" w:sz="4" w:space="0"/>
              <w:right w:val="single" w:color="auto" w:sz="4" w:space="0"/>
            </w:tcBorders>
            <w:vAlign w:val="center"/>
          </w:tcPr>
          <w:p w14:paraId="224DCE20">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二类区</w:t>
            </w:r>
            <w:r>
              <w:rPr>
                <w:rFonts w:ascii="Times New Roman" w:hAnsi="MS Mincho" w:eastAsia="MS Mincho"/>
                <w:color w:val="auto"/>
                <w:kern w:val="2"/>
                <w:sz w:val="21"/>
                <w:szCs w:val="21"/>
              </w:rPr>
              <w:t>☑</w:t>
            </w:r>
          </w:p>
        </w:tc>
        <w:tc>
          <w:tcPr>
            <w:tcW w:w="1827" w:type="dxa"/>
            <w:gridSpan w:val="5"/>
            <w:tcBorders>
              <w:top w:val="single" w:color="auto" w:sz="4" w:space="0"/>
              <w:left w:val="single" w:color="auto" w:sz="4" w:space="0"/>
              <w:bottom w:val="single" w:color="auto" w:sz="4" w:space="0"/>
              <w:right w:val="nil"/>
            </w:tcBorders>
            <w:vAlign w:val="center"/>
          </w:tcPr>
          <w:p w14:paraId="3811E48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一类区和二类区□</w:t>
            </w:r>
          </w:p>
        </w:tc>
      </w:tr>
      <w:tr w14:paraId="3D740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0B9938F0">
            <w:pPr>
              <w:widowControl/>
              <w:spacing w:line="320" w:lineRule="exact"/>
              <w:jc w:val="center"/>
              <w:rPr>
                <w:color w:val="auto"/>
                <w:sz w:val="21"/>
                <w:szCs w:val="21"/>
                <w:lang w:eastAsia="en-US"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003277D8">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评价基准年</w:t>
            </w:r>
          </w:p>
        </w:tc>
        <w:tc>
          <w:tcPr>
            <w:tcW w:w="6505" w:type="dxa"/>
            <w:gridSpan w:val="17"/>
            <w:tcBorders>
              <w:top w:val="single" w:color="auto" w:sz="4" w:space="0"/>
              <w:left w:val="single" w:color="auto" w:sz="4" w:space="0"/>
              <w:bottom w:val="single" w:color="auto" w:sz="4" w:space="0"/>
              <w:right w:val="nil"/>
            </w:tcBorders>
            <w:vAlign w:val="center"/>
          </w:tcPr>
          <w:p w14:paraId="5004EC2E">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（20</w:t>
            </w:r>
            <w:r>
              <w:rPr>
                <w:rFonts w:hint="eastAsia" w:ascii="Times New Roman" w:hAnsi="Times New Roman" w:eastAsia="宋体"/>
                <w:color w:val="auto"/>
                <w:kern w:val="2"/>
                <w:sz w:val="21"/>
                <w:szCs w:val="21"/>
              </w:rPr>
              <w:t>2</w:t>
            </w:r>
            <w:r>
              <w:rPr>
                <w:rFonts w:hint="eastAsia" w:ascii="Times New Roman" w:hAnsi="Times New Roman" w:eastAsia="宋体"/>
                <w:color w:val="auto"/>
                <w:kern w:val="2"/>
                <w:sz w:val="21"/>
                <w:szCs w:val="21"/>
                <w:lang w:val="en-US" w:eastAsia="zh-CN"/>
              </w:rPr>
              <w:t>4</w:t>
            </w:r>
            <w:r>
              <w:rPr>
                <w:rFonts w:ascii="Times New Roman" w:hAnsi="Times New Roman" w:eastAsia="宋体"/>
                <w:color w:val="auto"/>
                <w:kern w:val="2"/>
                <w:sz w:val="21"/>
                <w:szCs w:val="21"/>
              </w:rPr>
              <w:t>）年</w:t>
            </w:r>
          </w:p>
        </w:tc>
      </w:tr>
      <w:tr w14:paraId="2C20A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1EC87086">
            <w:pPr>
              <w:widowControl/>
              <w:spacing w:line="320" w:lineRule="exact"/>
              <w:jc w:val="center"/>
              <w:rPr>
                <w:color w:val="auto"/>
                <w:sz w:val="21"/>
                <w:szCs w:val="21"/>
                <w:lang w:eastAsia="en-US"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417C8424">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环境空气质量</w:t>
            </w:r>
          </w:p>
          <w:p w14:paraId="07DF9888">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现状调查数据来源</w:t>
            </w:r>
          </w:p>
        </w:tc>
        <w:tc>
          <w:tcPr>
            <w:tcW w:w="2030" w:type="dxa"/>
            <w:gridSpan w:val="6"/>
            <w:tcBorders>
              <w:top w:val="single" w:color="auto" w:sz="4" w:space="0"/>
              <w:left w:val="single" w:color="auto" w:sz="4" w:space="0"/>
              <w:bottom w:val="single" w:color="auto" w:sz="4" w:space="0"/>
              <w:right w:val="single" w:color="auto" w:sz="4" w:space="0"/>
            </w:tcBorders>
            <w:vAlign w:val="center"/>
          </w:tcPr>
          <w:p w14:paraId="69055464">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长期例行监测数据□</w:t>
            </w:r>
          </w:p>
        </w:tc>
        <w:tc>
          <w:tcPr>
            <w:tcW w:w="3233" w:type="dxa"/>
            <w:gridSpan w:val="8"/>
            <w:tcBorders>
              <w:top w:val="single" w:color="auto" w:sz="4" w:space="0"/>
              <w:left w:val="single" w:color="auto" w:sz="4" w:space="0"/>
              <w:bottom w:val="single" w:color="auto" w:sz="4" w:space="0"/>
              <w:right w:val="single" w:color="auto" w:sz="4" w:space="0"/>
            </w:tcBorders>
            <w:vAlign w:val="center"/>
          </w:tcPr>
          <w:p w14:paraId="4AB3DD3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主管部门发布的数据</w:t>
            </w:r>
            <w:r>
              <w:rPr>
                <w:rFonts w:ascii="Times New Roman" w:hAnsi="MS Mincho" w:eastAsia="MS Mincho"/>
                <w:color w:val="auto"/>
                <w:kern w:val="2"/>
                <w:sz w:val="21"/>
                <w:szCs w:val="21"/>
              </w:rPr>
              <w:t>☑</w:t>
            </w:r>
          </w:p>
        </w:tc>
        <w:tc>
          <w:tcPr>
            <w:tcW w:w="1242" w:type="dxa"/>
            <w:gridSpan w:val="3"/>
            <w:tcBorders>
              <w:top w:val="single" w:color="auto" w:sz="4" w:space="0"/>
              <w:left w:val="single" w:color="auto" w:sz="4" w:space="0"/>
              <w:bottom w:val="single" w:color="auto" w:sz="4" w:space="0"/>
              <w:right w:val="nil"/>
            </w:tcBorders>
            <w:vAlign w:val="center"/>
          </w:tcPr>
          <w:p w14:paraId="7FB1BD3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现状补充监测</w:t>
            </w:r>
            <w:r>
              <w:rPr>
                <w:rFonts w:ascii="Times New Roman" w:hAnsi="Times New Roman" w:eastAsia="宋体"/>
                <w:color w:val="auto"/>
                <w:kern w:val="2"/>
                <w:sz w:val="21"/>
                <w:szCs w:val="21"/>
              </w:rPr>
              <w:sym w:font="Wingdings 2" w:char="00A3"/>
            </w:r>
          </w:p>
        </w:tc>
      </w:tr>
      <w:tr w14:paraId="5000B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1C3D49A4">
            <w:pPr>
              <w:widowControl/>
              <w:spacing w:line="320" w:lineRule="exact"/>
              <w:jc w:val="center"/>
              <w:rPr>
                <w:color w:val="auto"/>
                <w:sz w:val="21"/>
                <w:szCs w:val="21"/>
                <w:lang w:eastAsia="en-US"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3C12D4B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现状评价</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060B4BA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达标区</w:t>
            </w:r>
            <w:r>
              <w:rPr>
                <w:rFonts w:ascii="Times New Roman" w:hAnsi="Times New Roman" w:eastAsia="宋体"/>
                <w:color w:val="auto"/>
                <w:kern w:val="2"/>
                <w:sz w:val="21"/>
                <w:szCs w:val="21"/>
              </w:rPr>
              <w:sym w:font="Wingdings 2" w:char="00A3"/>
            </w:r>
          </w:p>
        </w:tc>
        <w:tc>
          <w:tcPr>
            <w:tcW w:w="2841" w:type="dxa"/>
            <w:gridSpan w:val="9"/>
            <w:tcBorders>
              <w:top w:val="single" w:color="auto" w:sz="4" w:space="0"/>
              <w:left w:val="single" w:color="auto" w:sz="4" w:space="0"/>
              <w:bottom w:val="single" w:color="auto" w:sz="4" w:space="0"/>
              <w:right w:val="nil"/>
            </w:tcBorders>
            <w:vAlign w:val="center"/>
          </w:tcPr>
          <w:p w14:paraId="00C09AA9">
            <w:pPr>
              <w:pStyle w:val="107"/>
              <w:spacing w:line="320" w:lineRule="exact"/>
              <w:rPr>
                <w:rFonts w:hint="eastAsia" w:ascii="Times New Roman" w:hAnsi="Times New Roman" w:eastAsia="宋体"/>
                <w:color w:val="auto"/>
                <w:kern w:val="2"/>
                <w:sz w:val="21"/>
                <w:szCs w:val="21"/>
                <w:lang w:eastAsia="zh-CN"/>
              </w:rPr>
            </w:pPr>
            <w:r>
              <w:rPr>
                <w:rFonts w:ascii="Times New Roman" w:hAnsi="Times New Roman" w:eastAsia="宋体"/>
                <w:color w:val="auto"/>
                <w:kern w:val="2"/>
                <w:sz w:val="21"/>
                <w:szCs w:val="21"/>
              </w:rPr>
              <w:t>不达标区</w:t>
            </w:r>
            <w:r>
              <w:rPr>
                <w:rFonts w:hint="eastAsia" w:ascii="Times New Roman" w:hAnsi="MS Mincho" w:eastAsia="宋体"/>
                <w:color w:val="auto"/>
                <w:kern w:val="2"/>
                <w:sz w:val="21"/>
                <w:szCs w:val="21"/>
                <w:lang w:eastAsia="zh-CN"/>
              </w:rPr>
              <w:t>☑</w:t>
            </w:r>
          </w:p>
        </w:tc>
      </w:tr>
      <w:tr w14:paraId="03E94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tcBorders>
              <w:top w:val="single" w:color="auto" w:sz="4" w:space="0"/>
              <w:left w:val="nil"/>
              <w:bottom w:val="single" w:color="auto" w:sz="4" w:space="0"/>
              <w:right w:val="single" w:color="auto" w:sz="4" w:space="0"/>
            </w:tcBorders>
            <w:vAlign w:val="center"/>
          </w:tcPr>
          <w:p w14:paraId="5F02CA7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污染源</w:t>
            </w:r>
          </w:p>
          <w:p w14:paraId="0503C447">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调查</w:t>
            </w:r>
          </w:p>
        </w:tc>
        <w:tc>
          <w:tcPr>
            <w:tcW w:w="1191" w:type="dxa"/>
            <w:tcBorders>
              <w:top w:val="single" w:color="auto" w:sz="4" w:space="0"/>
              <w:left w:val="single" w:color="auto" w:sz="4" w:space="0"/>
              <w:bottom w:val="single" w:color="auto" w:sz="4" w:space="0"/>
              <w:right w:val="single" w:color="auto" w:sz="4" w:space="0"/>
            </w:tcBorders>
            <w:vAlign w:val="center"/>
          </w:tcPr>
          <w:p w14:paraId="6A1A5CB0">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调查内容</w:t>
            </w:r>
          </w:p>
        </w:tc>
        <w:tc>
          <w:tcPr>
            <w:tcW w:w="1819" w:type="dxa"/>
            <w:gridSpan w:val="5"/>
            <w:tcBorders>
              <w:top w:val="single" w:color="auto" w:sz="4" w:space="0"/>
              <w:left w:val="single" w:color="auto" w:sz="4" w:space="0"/>
              <w:bottom w:val="single" w:color="auto" w:sz="4" w:space="0"/>
              <w:right w:val="single" w:color="auto" w:sz="4" w:space="0"/>
            </w:tcBorders>
            <w:vAlign w:val="center"/>
          </w:tcPr>
          <w:p w14:paraId="4E30D636">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本项目正常排放源</w:t>
            </w:r>
            <w:r>
              <w:rPr>
                <w:rFonts w:ascii="Times New Roman" w:hAnsi="MS Mincho" w:eastAsia="MS Mincho"/>
                <w:color w:val="auto"/>
                <w:kern w:val="2"/>
                <w:sz w:val="21"/>
                <w:szCs w:val="21"/>
              </w:rPr>
              <w:t>☑</w:t>
            </w:r>
          </w:p>
          <w:p w14:paraId="3144D75D">
            <w:pPr>
              <w:pStyle w:val="107"/>
              <w:spacing w:line="320" w:lineRule="exact"/>
              <w:rPr>
                <w:rFonts w:hint="eastAsia" w:ascii="Times New Roman" w:hAnsi="Times New Roman" w:eastAsia="宋体"/>
                <w:color w:val="auto"/>
                <w:kern w:val="2"/>
                <w:sz w:val="21"/>
                <w:szCs w:val="21"/>
                <w:lang w:eastAsia="zh-CN"/>
              </w:rPr>
            </w:pPr>
            <w:r>
              <w:rPr>
                <w:rFonts w:ascii="Times New Roman" w:hAnsi="Times New Roman" w:eastAsia="宋体"/>
                <w:color w:val="auto"/>
                <w:kern w:val="2"/>
                <w:sz w:val="21"/>
                <w:szCs w:val="21"/>
              </w:rPr>
              <w:t>本项目非正常排放源</w:t>
            </w:r>
            <w:r>
              <w:rPr>
                <w:rFonts w:hint="eastAsia" w:ascii="Times New Roman" w:hAnsi="Times New Roman" w:eastAsia="宋体"/>
                <w:color w:val="auto"/>
                <w:kern w:val="2"/>
                <w:sz w:val="21"/>
                <w:szCs w:val="21"/>
                <w:lang w:eastAsia="zh-CN"/>
              </w:rPr>
              <w:t>☑</w:t>
            </w:r>
          </w:p>
          <w:p w14:paraId="5752827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现有污染源□</w:t>
            </w:r>
          </w:p>
        </w:tc>
        <w:tc>
          <w:tcPr>
            <w:tcW w:w="1845" w:type="dxa"/>
            <w:gridSpan w:val="3"/>
            <w:tcBorders>
              <w:top w:val="single" w:color="auto" w:sz="4" w:space="0"/>
              <w:left w:val="single" w:color="auto" w:sz="4" w:space="0"/>
              <w:bottom w:val="single" w:color="auto" w:sz="4" w:space="0"/>
              <w:right w:val="single" w:color="auto" w:sz="4" w:space="0"/>
            </w:tcBorders>
            <w:vAlign w:val="center"/>
          </w:tcPr>
          <w:p w14:paraId="5ADE523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拟替代的污染源□</w:t>
            </w:r>
          </w:p>
        </w:tc>
        <w:tc>
          <w:tcPr>
            <w:tcW w:w="1803" w:type="dxa"/>
            <w:gridSpan w:val="7"/>
            <w:tcBorders>
              <w:top w:val="single" w:color="auto" w:sz="4" w:space="0"/>
              <w:left w:val="single" w:color="auto" w:sz="4" w:space="0"/>
              <w:bottom w:val="single" w:color="auto" w:sz="4" w:space="0"/>
              <w:right w:val="single" w:color="auto" w:sz="4" w:space="0"/>
            </w:tcBorders>
            <w:vAlign w:val="center"/>
          </w:tcPr>
          <w:p w14:paraId="28A3738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其他在建、拟建项目污染源□</w:t>
            </w:r>
          </w:p>
        </w:tc>
        <w:tc>
          <w:tcPr>
            <w:tcW w:w="1038" w:type="dxa"/>
            <w:gridSpan w:val="2"/>
            <w:tcBorders>
              <w:top w:val="single" w:color="auto" w:sz="4" w:space="0"/>
              <w:left w:val="single" w:color="auto" w:sz="4" w:space="0"/>
              <w:bottom w:val="single" w:color="auto" w:sz="4" w:space="0"/>
              <w:right w:val="nil"/>
            </w:tcBorders>
            <w:vAlign w:val="center"/>
          </w:tcPr>
          <w:p w14:paraId="09313A6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区域污染源□</w:t>
            </w:r>
          </w:p>
        </w:tc>
      </w:tr>
      <w:tr w14:paraId="1DE15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restart"/>
            <w:tcBorders>
              <w:top w:val="single" w:color="auto" w:sz="4" w:space="0"/>
              <w:left w:val="nil"/>
              <w:bottom w:val="single" w:color="auto" w:sz="4" w:space="0"/>
              <w:right w:val="single" w:color="auto" w:sz="4" w:space="0"/>
            </w:tcBorders>
            <w:vAlign w:val="center"/>
          </w:tcPr>
          <w:p w14:paraId="5E3F862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大气环境影响预测与评价</w:t>
            </w:r>
          </w:p>
        </w:tc>
        <w:tc>
          <w:tcPr>
            <w:tcW w:w="1191" w:type="dxa"/>
            <w:tcBorders>
              <w:top w:val="single" w:color="auto" w:sz="4" w:space="0"/>
              <w:left w:val="single" w:color="auto" w:sz="4" w:space="0"/>
              <w:bottom w:val="single" w:color="auto" w:sz="4" w:space="0"/>
              <w:right w:val="single" w:color="auto" w:sz="4" w:space="0"/>
            </w:tcBorders>
            <w:vAlign w:val="center"/>
          </w:tcPr>
          <w:p w14:paraId="21FD9DE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预测模型</w:t>
            </w:r>
          </w:p>
        </w:tc>
        <w:tc>
          <w:tcPr>
            <w:tcW w:w="967" w:type="dxa"/>
            <w:tcBorders>
              <w:top w:val="single" w:color="auto" w:sz="4" w:space="0"/>
              <w:left w:val="single" w:color="auto" w:sz="4" w:space="0"/>
              <w:bottom w:val="single" w:color="auto" w:sz="4" w:space="0"/>
              <w:right w:val="single" w:color="auto" w:sz="4" w:space="0"/>
            </w:tcBorders>
            <w:vAlign w:val="center"/>
          </w:tcPr>
          <w:p w14:paraId="32FA87B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AERMOD</w:t>
            </w:r>
          </w:p>
          <w:p w14:paraId="13C9D7C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sym w:font="Wingdings 2" w:char="0052"/>
            </w:r>
          </w:p>
        </w:tc>
        <w:tc>
          <w:tcPr>
            <w:tcW w:w="746" w:type="dxa"/>
            <w:gridSpan w:val="3"/>
            <w:tcBorders>
              <w:top w:val="single" w:color="auto" w:sz="4" w:space="0"/>
              <w:left w:val="single" w:color="auto" w:sz="4" w:space="0"/>
              <w:bottom w:val="single" w:color="auto" w:sz="4" w:space="0"/>
              <w:right w:val="single" w:color="auto" w:sz="4" w:space="0"/>
            </w:tcBorders>
            <w:vAlign w:val="center"/>
          </w:tcPr>
          <w:p w14:paraId="35AF7C10">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ADMS</w:t>
            </w:r>
          </w:p>
          <w:p w14:paraId="0EEF7105">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w:t>
            </w:r>
          </w:p>
        </w:tc>
        <w:tc>
          <w:tcPr>
            <w:tcW w:w="1125" w:type="dxa"/>
            <w:gridSpan w:val="3"/>
            <w:tcBorders>
              <w:top w:val="single" w:color="auto" w:sz="4" w:space="0"/>
              <w:left w:val="single" w:color="auto" w:sz="4" w:space="0"/>
              <w:bottom w:val="single" w:color="auto" w:sz="4" w:space="0"/>
              <w:right w:val="single" w:color="auto" w:sz="4" w:space="0"/>
            </w:tcBorders>
            <w:vAlign w:val="center"/>
          </w:tcPr>
          <w:p w14:paraId="57EE30C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AUSTAL2000</w:t>
            </w:r>
          </w:p>
          <w:p w14:paraId="50C70AF7">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w:t>
            </w:r>
          </w:p>
        </w:tc>
        <w:tc>
          <w:tcPr>
            <w:tcW w:w="1446" w:type="dxa"/>
            <w:gridSpan w:val="3"/>
            <w:tcBorders>
              <w:top w:val="single" w:color="auto" w:sz="4" w:space="0"/>
              <w:left w:val="single" w:color="auto" w:sz="4" w:space="0"/>
              <w:bottom w:val="single" w:color="auto" w:sz="4" w:space="0"/>
              <w:right w:val="single" w:color="auto" w:sz="4" w:space="0"/>
            </w:tcBorders>
            <w:vAlign w:val="center"/>
          </w:tcPr>
          <w:p w14:paraId="6A3103C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EDMS/AEDT</w:t>
            </w:r>
          </w:p>
          <w:p w14:paraId="2120639E">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w:t>
            </w:r>
          </w:p>
        </w:tc>
        <w:tc>
          <w:tcPr>
            <w:tcW w:w="979" w:type="dxa"/>
            <w:gridSpan w:val="4"/>
            <w:tcBorders>
              <w:top w:val="single" w:color="auto" w:sz="4" w:space="0"/>
              <w:left w:val="single" w:color="auto" w:sz="4" w:space="0"/>
              <w:bottom w:val="single" w:color="auto" w:sz="4" w:space="0"/>
              <w:right w:val="single" w:color="auto" w:sz="4" w:space="0"/>
            </w:tcBorders>
            <w:vAlign w:val="center"/>
          </w:tcPr>
          <w:p w14:paraId="129F63ED">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CALPUFF</w:t>
            </w:r>
          </w:p>
          <w:p w14:paraId="501BE883">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w:t>
            </w:r>
          </w:p>
        </w:tc>
        <w:tc>
          <w:tcPr>
            <w:tcW w:w="697" w:type="dxa"/>
            <w:gridSpan w:val="2"/>
            <w:tcBorders>
              <w:top w:val="single" w:color="auto" w:sz="4" w:space="0"/>
              <w:left w:val="single" w:color="auto" w:sz="4" w:space="0"/>
              <w:bottom w:val="single" w:color="auto" w:sz="4" w:space="0"/>
              <w:right w:val="single" w:color="auto" w:sz="4" w:space="0"/>
            </w:tcBorders>
            <w:vAlign w:val="center"/>
          </w:tcPr>
          <w:p w14:paraId="057ED04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网格模型</w:t>
            </w:r>
          </w:p>
          <w:p w14:paraId="0B27A686">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w:t>
            </w:r>
          </w:p>
        </w:tc>
        <w:tc>
          <w:tcPr>
            <w:tcW w:w="545" w:type="dxa"/>
            <w:tcBorders>
              <w:top w:val="single" w:color="auto" w:sz="4" w:space="0"/>
              <w:left w:val="single" w:color="auto" w:sz="4" w:space="0"/>
              <w:bottom w:val="single" w:color="auto" w:sz="4" w:space="0"/>
              <w:right w:val="nil"/>
            </w:tcBorders>
            <w:vAlign w:val="center"/>
          </w:tcPr>
          <w:p w14:paraId="2C3E7A5E">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其他</w:t>
            </w:r>
          </w:p>
          <w:p w14:paraId="2E6C4EAB">
            <w:pPr>
              <w:pStyle w:val="107"/>
              <w:spacing w:line="320" w:lineRule="exact"/>
              <w:rPr>
                <w:rFonts w:ascii="Times New Roman" w:hAnsi="Times New Roman" w:eastAsia="宋体"/>
                <w:color w:val="auto"/>
                <w:kern w:val="2"/>
                <w:sz w:val="21"/>
                <w:szCs w:val="21"/>
              </w:rPr>
            </w:pPr>
            <w:r>
              <w:rPr>
                <w:rFonts w:hint="eastAsia" w:ascii="Times New Roman" w:hAnsi="MS Mincho" w:eastAsia="宋体"/>
                <w:color w:val="auto"/>
                <w:kern w:val="2"/>
                <w:sz w:val="21"/>
                <w:szCs w:val="21"/>
              </w:rPr>
              <w:t>□</w:t>
            </w:r>
          </w:p>
        </w:tc>
      </w:tr>
      <w:tr w14:paraId="3BFCC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13D9F72E">
            <w:pPr>
              <w:widowControl/>
              <w:spacing w:line="320" w:lineRule="exact"/>
              <w:jc w:val="center"/>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29F6113E">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预测范围</w:t>
            </w:r>
          </w:p>
        </w:tc>
        <w:tc>
          <w:tcPr>
            <w:tcW w:w="1713" w:type="dxa"/>
            <w:gridSpan w:val="4"/>
            <w:tcBorders>
              <w:top w:val="single" w:color="auto" w:sz="4" w:space="0"/>
              <w:left w:val="single" w:color="auto" w:sz="4" w:space="0"/>
              <w:bottom w:val="single" w:color="auto" w:sz="4" w:space="0"/>
              <w:right w:val="single" w:color="auto" w:sz="4" w:space="0"/>
            </w:tcBorders>
            <w:vAlign w:val="center"/>
          </w:tcPr>
          <w:p w14:paraId="2EC78D6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边长≥ 50km□</w:t>
            </w:r>
          </w:p>
        </w:tc>
        <w:tc>
          <w:tcPr>
            <w:tcW w:w="3550" w:type="dxa"/>
            <w:gridSpan w:val="10"/>
            <w:tcBorders>
              <w:top w:val="single" w:color="auto" w:sz="4" w:space="0"/>
              <w:left w:val="single" w:color="auto" w:sz="4" w:space="0"/>
              <w:bottom w:val="single" w:color="auto" w:sz="4" w:space="0"/>
              <w:right w:val="single" w:color="auto" w:sz="4" w:space="0"/>
            </w:tcBorders>
            <w:vAlign w:val="center"/>
          </w:tcPr>
          <w:p w14:paraId="1ADEDE2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边长5～50km□</w:t>
            </w:r>
          </w:p>
        </w:tc>
        <w:tc>
          <w:tcPr>
            <w:tcW w:w="1242" w:type="dxa"/>
            <w:gridSpan w:val="3"/>
            <w:tcBorders>
              <w:top w:val="single" w:color="auto" w:sz="4" w:space="0"/>
              <w:left w:val="single" w:color="auto" w:sz="4" w:space="0"/>
              <w:bottom w:val="single" w:color="auto" w:sz="4" w:space="0"/>
              <w:right w:val="nil"/>
            </w:tcBorders>
            <w:vAlign w:val="center"/>
          </w:tcPr>
          <w:p w14:paraId="769C460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 xml:space="preserve">边长 = 5 km </w:t>
            </w:r>
            <w:r>
              <w:rPr>
                <w:rFonts w:hint="eastAsia" w:ascii="Times New Roman" w:hAnsi="MS Mincho" w:eastAsia="宋体"/>
                <w:color w:val="auto"/>
                <w:kern w:val="2"/>
                <w:sz w:val="21"/>
                <w:szCs w:val="21"/>
              </w:rPr>
              <w:t>□</w:t>
            </w:r>
          </w:p>
        </w:tc>
      </w:tr>
      <w:tr w14:paraId="5F629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00A2D022">
            <w:pPr>
              <w:widowControl/>
              <w:spacing w:line="320" w:lineRule="exact"/>
              <w:jc w:val="center"/>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5E39ACB3">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预测因子</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21BD2008">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 xml:space="preserve">预测因子( </w:t>
            </w:r>
            <w:r>
              <w:rPr>
                <w:rFonts w:hint="eastAsia" w:ascii="Times New Roman" w:hAnsi="Times New Roman" w:eastAsia="宋体"/>
                <w:color w:val="auto"/>
                <w:kern w:val="2"/>
                <w:sz w:val="21"/>
                <w:szCs w:val="21"/>
              </w:rPr>
              <w:t>非甲烷总烃、颗粒物、</w:t>
            </w:r>
            <w:r>
              <w:rPr>
                <w:rFonts w:hint="eastAsia" w:ascii="Times New Roman" w:hAnsi="Times New Roman" w:eastAsia="宋体"/>
                <w:color w:val="auto"/>
                <w:kern w:val="2"/>
                <w:sz w:val="21"/>
                <w:szCs w:val="21"/>
                <w:lang w:val="en-US" w:eastAsia="zh-CN"/>
              </w:rPr>
              <w:t>SO</w:t>
            </w:r>
            <w:r>
              <w:rPr>
                <w:rFonts w:hint="eastAsia" w:ascii="Times New Roman" w:hAnsi="Times New Roman" w:eastAsia="宋体"/>
                <w:color w:val="auto"/>
                <w:kern w:val="2"/>
                <w:sz w:val="21"/>
                <w:szCs w:val="21"/>
                <w:vertAlign w:val="subscript"/>
                <w:lang w:val="en-US" w:eastAsia="zh-CN"/>
              </w:rPr>
              <w:t>2</w:t>
            </w:r>
            <w:r>
              <w:rPr>
                <w:rFonts w:hint="eastAsia" w:ascii="Times New Roman" w:hAnsi="Times New Roman" w:eastAsia="宋体"/>
                <w:color w:val="auto"/>
                <w:kern w:val="2"/>
                <w:sz w:val="21"/>
                <w:szCs w:val="21"/>
                <w:lang w:val="en-US" w:eastAsia="zh-CN"/>
              </w:rPr>
              <w:t>、NO</w:t>
            </w:r>
            <w:r>
              <w:rPr>
                <w:rFonts w:hint="eastAsia" w:ascii="Times New Roman" w:hAnsi="Times New Roman" w:eastAsia="宋体"/>
                <w:color w:val="auto"/>
                <w:kern w:val="2"/>
                <w:sz w:val="21"/>
                <w:szCs w:val="21"/>
                <w:vertAlign w:val="subscript"/>
                <w:lang w:val="en-US" w:eastAsia="zh-CN"/>
              </w:rPr>
              <w:t>x</w:t>
            </w:r>
            <w:r>
              <w:rPr>
                <w:rFonts w:hint="eastAsia" w:ascii="Times New Roman" w:hAnsi="Times New Roman" w:eastAsia="宋体"/>
                <w:color w:val="auto"/>
                <w:kern w:val="2"/>
                <w:sz w:val="21"/>
                <w:szCs w:val="21"/>
                <w:lang w:val="en-US" w:eastAsia="zh-CN"/>
              </w:rPr>
              <w:t>、汞</w:t>
            </w:r>
            <w:r>
              <w:rPr>
                <w:rFonts w:ascii="Times New Roman" w:hAnsi="Times New Roman" w:eastAsia="宋体"/>
                <w:color w:val="auto"/>
                <w:kern w:val="2"/>
                <w:sz w:val="21"/>
                <w:szCs w:val="21"/>
              </w:rPr>
              <w:t>)</w:t>
            </w:r>
          </w:p>
        </w:tc>
        <w:tc>
          <w:tcPr>
            <w:tcW w:w="2841" w:type="dxa"/>
            <w:gridSpan w:val="9"/>
            <w:tcBorders>
              <w:top w:val="single" w:color="auto" w:sz="4" w:space="0"/>
              <w:left w:val="single" w:color="auto" w:sz="4" w:space="0"/>
              <w:bottom w:val="single" w:color="auto" w:sz="4" w:space="0"/>
              <w:right w:val="nil"/>
            </w:tcBorders>
            <w:vAlign w:val="center"/>
          </w:tcPr>
          <w:p w14:paraId="19E3424A">
            <w:pPr>
              <w:pStyle w:val="107"/>
              <w:spacing w:line="320" w:lineRule="exact"/>
              <w:ind w:right="552" w:rightChars="263"/>
              <w:rPr>
                <w:rFonts w:ascii="Times New Roman" w:hAnsi="Times New Roman" w:eastAsia="宋体"/>
                <w:color w:val="auto"/>
                <w:kern w:val="2"/>
                <w:sz w:val="21"/>
                <w:szCs w:val="21"/>
              </w:rPr>
            </w:pPr>
            <w:r>
              <w:rPr>
                <w:rFonts w:ascii="Times New Roman" w:hAnsi="Times New Roman" w:eastAsia="宋体"/>
                <w:color w:val="auto"/>
                <w:kern w:val="2"/>
                <w:sz w:val="21"/>
                <w:szCs w:val="21"/>
              </w:rPr>
              <w:t>包括二次PM</w:t>
            </w:r>
            <w:r>
              <w:rPr>
                <w:rFonts w:ascii="Times New Roman" w:hAnsi="Times New Roman" w:eastAsia="宋体"/>
                <w:color w:val="auto"/>
                <w:kern w:val="2"/>
                <w:sz w:val="21"/>
                <w:szCs w:val="21"/>
                <w:vertAlign w:val="subscript"/>
              </w:rPr>
              <w:t>2.5</w:t>
            </w:r>
            <w:r>
              <w:rPr>
                <w:rFonts w:ascii="Times New Roman" w:hAnsi="Times New Roman" w:eastAsia="宋体"/>
                <w:color w:val="auto"/>
                <w:kern w:val="2"/>
                <w:sz w:val="21"/>
                <w:szCs w:val="21"/>
              </w:rPr>
              <w:t>□</w:t>
            </w:r>
          </w:p>
          <w:p w14:paraId="17F979C9">
            <w:pPr>
              <w:pStyle w:val="107"/>
              <w:spacing w:line="320" w:lineRule="exact"/>
              <w:ind w:right="552" w:rightChars="263"/>
              <w:rPr>
                <w:rFonts w:ascii="Times New Roman" w:hAnsi="Times New Roman" w:eastAsia="宋体"/>
                <w:color w:val="auto"/>
                <w:kern w:val="2"/>
                <w:sz w:val="21"/>
                <w:szCs w:val="21"/>
              </w:rPr>
            </w:pPr>
            <w:r>
              <w:rPr>
                <w:rFonts w:ascii="Times New Roman" w:hAnsi="Times New Roman" w:eastAsia="宋体"/>
                <w:color w:val="auto"/>
                <w:kern w:val="2"/>
                <w:sz w:val="21"/>
                <w:szCs w:val="21"/>
              </w:rPr>
              <w:t>不包括二次PM</w:t>
            </w:r>
            <w:r>
              <w:rPr>
                <w:rFonts w:ascii="Times New Roman" w:hAnsi="Times New Roman" w:eastAsia="宋体"/>
                <w:color w:val="auto"/>
                <w:kern w:val="2"/>
                <w:sz w:val="21"/>
                <w:szCs w:val="21"/>
                <w:vertAlign w:val="subscript"/>
              </w:rPr>
              <w:t>2.5</w:t>
            </w:r>
            <w:r>
              <w:rPr>
                <w:rFonts w:ascii="Times New Roman" w:hAnsi="MS Mincho" w:eastAsia="MS Mincho"/>
                <w:color w:val="auto"/>
                <w:kern w:val="2"/>
                <w:sz w:val="21"/>
                <w:szCs w:val="21"/>
              </w:rPr>
              <w:t>☑</w:t>
            </w:r>
          </w:p>
        </w:tc>
      </w:tr>
      <w:tr w14:paraId="661B1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653D07B8">
            <w:pPr>
              <w:widowControl/>
              <w:spacing w:line="320" w:lineRule="exact"/>
              <w:jc w:val="center"/>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25AC184D">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正常排放短期浓度贡献值</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36617165">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本项目</w:t>
            </w:r>
            <w:r>
              <w:rPr>
                <w:rFonts w:ascii="Times New Roman" w:hAnsi="Times New Roman" w:eastAsia="宋体"/>
                <w:color w:val="auto"/>
                <w:kern w:val="2"/>
                <w:sz w:val="21"/>
                <w:szCs w:val="21"/>
              </w:rPr>
              <w:t>最大占标率≤100%</w:t>
            </w:r>
            <w:r>
              <w:rPr>
                <w:rFonts w:ascii="Times New Roman" w:hAnsi="MS Mincho" w:eastAsia="MS Mincho"/>
                <w:color w:val="auto"/>
                <w:kern w:val="2"/>
                <w:sz w:val="21"/>
                <w:szCs w:val="21"/>
              </w:rPr>
              <w:t>☑</w:t>
            </w:r>
          </w:p>
        </w:tc>
        <w:tc>
          <w:tcPr>
            <w:tcW w:w="2841" w:type="dxa"/>
            <w:gridSpan w:val="9"/>
            <w:tcBorders>
              <w:top w:val="single" w:color="auto" w:sz="4" w:space="0"/>
              <w:left w:val="single" w:color="auto" w:sz="4" w:space="0"/>
              <w:bottom w:val="single" w:color="auto" w:sz="4" w:space="0"/>
              <w:right w:val="nil"/>
            </w:tcBorders>
            <w:vAlign w:val="center"/>
          </w:tcPr>
          <w:p w14:paraId="342007A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本项目</w:t>
            </w:r>
            <w:r>
              <w:rPr>
                <w:rFonts w:ascii="Times New Roman" w:hAnsi="Times New Roman" w:eastAsia="宋体"/>
                <w:color w:val="auto"/>
                <w:kern w:val="2"/>
                <w:sz w:val="21"/>
                <w:szCs w:val="21"/>
              </w:rPr>
              <w:t>最大占标率＞100% □</w:t>
            </w:r>
          </w:p>
        </w:tc>
      </w:tr>
      <w:tr w14:paraId="7F4AB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1A8F68EB">
            <w:pPr>
              <w:widowControl/>
              <w:spacing w:line="320" w:lineRule="exact"/>
              <w:jc w:val="center"/>
              <w:rPr>
                <w:color w:val="auto"/>
                <w:sz w:val="21"/>
                <w:szCs w:val="21"/>
                <w:lang w:bidi="en-US"/>
              </w:rPr>
            </w:pPr>
          </w:p>
        </w:tc>
        <w:tc>
          <w:tcPr>
            <w:tcW w:w="1191" w:type="dxa"/>
            <w:vMerge w:val="restart"/>
            <w:tcBorders>
              <w:top w:val="single" w:color="auto" w:sz="4" w:space="0"/>
              <w:left w:val="single" w:color="auto" w:sz="4" w:space="0"/>
              <w:bottom w:val="single" w:color="auto" w:sz="4" w:space="0"/>
              <w:right w:val="single" w:color="auto" w:sz="4" w:space="0"/>
            </w:tcBorders>
            <w:vAlign w:val="center"/>
          </w:tcPr>
          <w:p w14:paraId="57A3623B">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正常排放年均浓度贡献值</w:t>
            </w:r>
          </w:p>
        </w:tc>
        <w:tc>
          <w:tcPr>
            <w:tcW w:w="967" w:type="dxa"/>
            <w:tcBorders>
              <w:top w:val="single" w:color="auto" w:sz="4" w:space="0"/>
              <w:left w:val="single" w:color="auto" w:sz="4" w:space="0"/>
              <w:bottom w:val="single" w:color="auto" w:sz="4" w:space="0"/>
              <w:right w:val="single" w:color="auto" w:sz="4" w:space="0"/>
            </w:tcBorders>
            <w:vAlign w:val="center"/>
          </w:tcPr>
          <w:p w14:paraId="7F408954">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一类区</w:t>
            </w:r>
          </w:p>
        </w:tc>
        <w:tc>
          <w:tcPr>
            <w:tcW w:w="2697" w:type="dxa"/>
            <w:gridSpan w:val="7"/>
            <w:tcBorders>
              <w:top w:val="single" w:color="auto" w:sz="4" w:space="0"/>
              <w:left w:val="single" w:color="auto" w:sz="4" w:space="0"/>
              <w:bottom w:val="single" w:color="auto" w:sz="4" w:space="0"/>
              <w:right w:val="single" w:color="auto" w:sz="4" w:space="0"/>
            </w:tcBorders>
            <w:vAlign w:val="center"/>
          </w:tcPr>
          <w:p w14:paraId="375EE856">
            <w:pPr>
              <w:pStyle w:val="107"/>
              <w:spacing w:before="31" w:after="31"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本项目</w:t>
            </w:r>
            <w:r>
              <w:rPr>
                <w:rFonts w:ascii="Times New Roman" w:hAnsi="Times New Roman" w:eastAsia="宋体"/>
                <w:color w:val="auto"/>
                <w:kern w:val="2"/>
                <w:sz w:val="21"/>
                <w:szCs w:val="21"/>
              </w:rPr>
              <w:t>最大占标率≤10%□</w:t>
            </w:r>
          </w:p>
        </w:tc>
        <w:tc>
          <w:tcPr>
            <w:tcW w:w="2841" w:type="dxa"/>
            <w:gridSpan w:val="9"/>
            <w:tcBorders>
              <w:top w:val="single" w:color="auto" w:sz="4" w:space="0"/>
              <w:left w:val="single" w:color="auto" w:sz="4" w:space="0"/>
              <w:bottom w:val="single" w:color="auto" w:sz="4" w:space="0"/>
              <w:right w:val="nil"/>
            </w:tcBorders>
            <w:vAlign w:val="center"/>
          </w:tcPr>
          <w:p w14:paraId="1135AE6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本项目</w:t>
            </w:r>
            <w:r>
              <w:rPr>
                <w:rFonts w:ascii="Times New Roman" w:hAnsi="Times New Roman" w:eastAsia="宋体"/>
                <w:color w:val="auto"/>
                <w:kern w:val="2"/>
                <w:sz w:val="21"/>
                <w:szCs w:val="21"/>
              </w:rPr>
              <w:t>最大标率＞10% □</w:t>
            </w:r>
          </w:p>
        </w:tc>
      </w:tr>
      <w:tr w14:paraId="7B48C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01943BF8">
            <w:pPr>
              <w:widowControl/>
              <w:spacing w:line="320" w:lineRule="exact"/>
              <w:jc w:val="center"/>
              <w:rPr>
                <w:color w:val="auto"/>
                <w:sz w:val="21"/>
                <w:szCs w:val="21"/>
                <w:lang w:bidi="en-US"/>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14:paraId="54CBA846">
            <w:pPr>
              <w:widowControl/>
              <w:spacing w:line="320" w:lineRule="exact"/>
              <w:jc w:val="center"/>
              <w:rPr>
                <w:color w:val="auto"/>
                <w:sz w:val="21"/>
                <w:szCs w:val="21"/>
                <w:lang w:bidi="en-US"/>
              </w:rPr>
            </w:pPr>
          </w:p>
        </w:tc>
        <w:tc>
          <w:tcPr>
            <w:tcW w:w="967" w:type="dxa"/>
            <w:tcBorders>
              <w:top w:val="single" w:color="auto" w:sz="4" w:space="0"/>
              <w:left w:val="single" w:color="auto" w:sz="4" w:space="0"/>
              <w:bottom w:val="single" w:color="auto" w:sz="4" w:space="0"/>
              <w:right w:val="single" w:color="auto" w:sz="4" w:space="0"/>
            </w:tcBorders>
            <w:vAlign w:val="center"/>
          </w:tcPr>
          <w:p w14:paraId="2D64A82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二类区</w:t>
            </w:r>
          </w:p>
        </w:tc>
        <w:tc>
          <w:tcPr>
            <w:tcW w:w="2697" w:type="dxa"/>
            <w:gridSpan w:val="7"/>
            <w:tcBorders>
              <w:top w:val="single" w:color="auto" w:sz="4" w:space="0"/>
              <w:left w:val="single" w:color="auto" w:sz="4" w:space="0"/>
              <w:bottom w:val="single" w:color="auto" w:sz="4" w:space="0"/>
              <w:right w:val="single" w:color="auto" w:sz="4" w:space="0"/>
            </w:tcBorders>
            <w:vAlign w:val="center"/>
          </w:tcPr>
          <w:p w14:paraId="4708B67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本项目</w:t>
            </w:r>
            <w:r>
              <w:rPr>
                <w:rFonts w:ascii="Times New Roman" w:hAnsi="Times New Roman" w:eastAsia="宋体"/>
                <w:color w:val="auto"/>
                <w:kern w:val="2"/>
                <w:sz w:val="21"/>
                <w:szCs w:val="21"/>
              </w:rPr>
              <w:t>最大占标率≤30%□</w:t>
            </w:r>
          </w:p>
        </w:tc>
        <w:tc>
          <w:tcPr>
            <w:tcW w:w="2841" w:type="dxa"/>
            <w:gridSpan w:val="9"/>
            <w:tcBorders>
              <w:top w:val="single" w:color="auto" w:sz="4" w:space="0"/>
              <w:left w:val="single" w:color="auto" w:sz="4" w:space="0"/>
              <w:bottom w:val="single" w:color="auto" w:sz="4" w:space="0"/>
              <w:right w:val="nil"/>
            </w:tcBorders>
            <w:vAlign w:val="center"/>
          </w:tcPr>
          <w:p w14:paraId="4639269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本项目</w:t>
            </w:r>
            <w:r>
              <w:rPr>
                <w:rFonts w:ascii="Times New Roman" w:hAnsi="Times New Roman" w:eastAsia="宋体"/>
                <w:color w:val="auto"/>
                <w:kern w:val="2"/>
                <w:sz w:val="21"/>
                <w:szCs w:val="21"/>
              </w:rPr>
              <w:t>最大标率＞30% □</w:t>
            </w:r>
          </w:p>
        </w:tc>
      </w:tr>
      <w:tr w14:paraId="58060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0CCE8C94">
            <w:pPr>
              <w:widowControl/>
              <w:spacing w:line="320" w:lineRule="exact"/>
              <w:jc w:val="center"/>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291492F5">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非正常排放1h浓度贡献值</w:t>
            </w:r>
          </w:p>
        </w:tc>
        <w:tc>
          <w:tcPr>
            <w:tcW w:w="1389" w:type="dxa"/>
            <w:gridSpan w:val="2"/>
            <w:tcBorders>
              <w:top w:val="single" w:color="auto" w:sz="4" w:space="0"/>
              <w:left w:val="single" w:color="auto" w:sz="4" w:space="0"/>
              <w:bottom w:val="single" w:color="auto" w:sz="4" w:space="0"/>
              <w:right w:val="single" w:color="auto" w:sz="4" w:space="0"/>
            </w:tcBorders>
            <w:vAlign w:val="center"/>
          </w:tcPr>
          <w:p w14:paraId="1062498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非正常持续时长（）h</w:t>
            </w:r>
          </w:p>
        </w:tc>
        <w:tc>
          <w:tcPr>
            <w:tcW w:w="3123" w:type="dxa"/>
            <w:gridSpan w:val="9"/>
            <w:tcBorders>
              <w:top w:val="single" w:color="auto" w:sz="4" w:space="0"/>
              <w:left w:val="single" w:color="auto" w:sz="4" w:space="0"/>
              <w:bottom w:val="single" w:color="auto" w:sz="4" w:space="0"/>
              <w:right w:val="single" w:color="auto" w:sz="4" w:space="0"/>
            </w:tcBorders>
            <w:vAlign w:val="center"/>
          </w:tcPr>
          <w:p w14:paraId="1061B972">
            <w:pPr>
              <w:pStyle w:val="107"/>
              <w:spacing w:before="31" w:after="31"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非正常</w:t>
            </w:r>
            <w:r>
              <w:rPr>
                <w:rFonts w:ascii="Times New Roman" w:hAnsi="Times New Roman" w:eastAsia="宋体"/>
                <w:color w:val="auto"/>
                <w:kern w:val="2"/>
                <w:sz w:val="21"/>
                <w:szCs w:val="21"/>
              </w:rPr>
              <w:t>占标率≤100% □</w:t>
            </w:r>
          </w:p>
        </w:tc>
        <w:tc>
          <w:tcPr>
            <w:tcW w:w="1993" w:type="dxa"/>
            <w:gridSpan w:val="6"/>
            <w:tcBorders>
              <w:top w:val="single" w:color="auto" w:sz="4" w:space="0"/>
              <w:left w:val="single" w:color="auto" w:sz="4" w:space="0"/>
              <w:bottom w:val="single" w:color="auto" w:sz="4" w:space="0"/>
              <w:right w:val="nil"/>
            </w:tcBorders>
            <w:vAlign w:val="center"/>
          </w:tcPr>
          <w:p w14:paraId="2EAB7BD4">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非正常</w:t>
            </w:r>
            <w:r>
              <w:rPr>
                <w:rFonts w:ascii="Times New Roman" w:hAnsi="Times New Roman" w:eastAsia="宋体"/>
                <w:color w:val="auto"/>
                <w:kern w:val="2"/>
                <w:sz w:val="21"/>
                <w:szCs w:val="21"/>
              </w:rPr>
              <w:t>占标率＞100%□</w:t>
            </w:r>
          </w:p>
        </w:tc>
      </w:tr>
      <w:tr w14:paraId="25FF8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5E99E4A2">
            <w:pPr>
              <w:widowControl/>
              <w:spacing w:line="320" w:lineRule="exact"/>
              <w:jc w:val="center"/>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02FA1937">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保证率日平均浓度和年平均浓度叠加值</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1C057977">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叠加</w:t>
            </w:r>
            <w:r>
              <w:rPr>
                <w:rFonts w:ascii="Times New Roman" w:hAnsi="Times New Roman" w:eastAsia="宋体"/>
                <w:color w:val="auto"/>
                <w:kern w:val="2"/>
                <w:sz w:val="21"/>
                <w:szCs w:val="21"/>
              </w:rPr>
              <w:t>达标□</w:t>
            </w:r>
          </w:p>
        </w:tc>
        <w:tc>
          <w:tcPr>
            <w:tcW w:w="2841" w:type="dxa"/>
            <w:gridSpan w:val="9"/>
            <w:tcBorders>
              <w:top w:val="single" w:color="auto" w:sz="4" w:space="0"/>
              <w:left w:val="single" w:color="auto" w:sz="4" w:space="0"/>
              <w:bottom w:val="single" w:color="auto" w:sz="4" w:space="0"/>
              <w:right w:val="nil"/>
            </w:tcBorders>
            <w:vAlign w:val="center"/>
          </w:tcPr>
          <w:p w14:paraId="64300F2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C</w:t>
            </w:r>
            <w:r>
              <w:rPr>
                <w:rFonts w:ascii="Times New Roman" w:hAnsi="Times New Roman" w:eastAsia="宋体"/>
                <w:color w:val="auto"/>
                <w:kern w:val="2"/>
                <w:sz w:val="21"/>
                <w:szCs w:val="21"/>
                <w:vertAlign w:val="subscript"/>
              </w:rPr>
              <w:t>叠加</w:t>
            </w:r>
            <w:r>
              <w:rPr>
                <w:rFonts w:ascii="Times New Roman" w:hAnsi="Times New Roman" w:eastAsia="宋体"/>
                <w:color w:val="auto"/>
                <w:kern w:val="2"/>
                <w:sz w:val="21"/>
                <w:szCs w:val="21"/>
              </w:rPr>
              <w:t>不达标□</w:t>
            </w:r>
          </w:p>
        </w:tc>
      </w:tr>
      <w:tr w14:paraId="7A12E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3E026A7B">
            <w:pPr>
              <w:widowControl/>
              <w:spacing w:line="320" w:lineRule="exact"/>
              <w:jc w:val="left"/>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3048A686">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区域环境质量的整体变化情况</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560AF85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k ≤-20% □</w:t>
            </w:r>
          </w:p>
        </w:tc>
        <w:tc>
          <w:tcPr>
            <w:tcW w:w="2841" w:type="dxa"/>
            <w:gridSpan w:val="9"/>
            <w:tcBorders>
              <w:top w:val="single" w:color="auto" w:sz="4" w:space="0"/>
              <w:left w:val="single" w:color="auto" w:sz="4" w:space="0"/>
              <w:bottom w:val="single" w:color="auto" w:sz="4" w:space="0"/>
              <w:right w:val="nil"/>
            </w:tcBorders>
            <w:vAlign w:val="center"/>
          </w:tcPr>
          <w:p w14:paraId="5746FDE7">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k ＞-20% □</w:t>
            </w:r>
          </w:p>
        </w:tc>
      </w:tr>
      <w:tr w14:paraId="6A64B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restart"/>
            <w:tcBorders>
              <w:top w:val="single" w:color="auto" w:sz="4" w:space="0"/>
              <w:left w:val="nil"/>
              <w:bottom w:val="single" w:color="auto" w:sz="4" w:space="0"/>
              <w:right w:val="single" w:color="auto" w:sz="4" w:space="0"/>
            </w:tcBorders>
            <w:vAlign w:val="center"/>
          </w:tcPr>
          <w:p w14:paraId="00AB582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环境监测</w:t>
            </w:r>
          </w:p>
          <w:p w14:paraId="09CA3CE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计划</w:t>
            </w:r>
          </w:p>
        </w:tc>
        <w:tc>
          <w:tcPr>
            <w:tcW w:w="1191" w:type="dxa"/>
            <w:tcBorders>
              <w:top w:val="single" w:color="auto" w:sz="4" w:space="0"/>
              <w:left w:val="single" w:color="auto" w:sz="4" w:space="0"/>
              <w:bottom w:val="single" w:color="auto" w:sz="4" w:space="0"/>
              <w:right w:val="single" w:color="auto" w:sz="4" w:space="0"/>
            </w:tcBorders>
            <w:vAlign w:val="center"/>
          </w:tcPr>
          <w:p w14:paraId="1326AAD0">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污染源监测</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2353ED1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监测因子：（</w:t>
            </w:r>
            <w:r>
              <w:rPr>
                <w:rFonts w:hint="eastAsia" w:ascii="Times New Roman" w:hAnsi="Times New Roman" w:eastAsia="宋体"/>
                <w:color w:val="auto"/>
                <w:kern w:val="2"/>
                <w:sz w:val="21"/>
                <w:szCs w:val="21"/>
              </w:rPr>
              <w:t>非甲烷总烃、颗粒物、</w:t>
            </w:r>
            <w:r>
              <w:rPr>
                <w:rFonts w:hint="eastAsia" w:ascii="Times New Roman" w:hAnsi="Times New Roman" w:eastAsia="宋体"/>
                <w:color w:val="auto"/>
                <w:kern w:val="2"/>
                <w:sz w:val="21"/>
                <w:szCs w:val="21"/>
                <w:lang w:val="en-US" w:eastAsia="zh-CN"/>
              </w:rPr>
              <w:t>SO</w:t>
            </w:r>
            <w:r>
              <w:rPr>
                <w:rFonts w:hint="eastAsia" w:ascii="Times New Roman" w:hAnsi="Times New Roman" w:eastAsia="宋体"/>
                <w:color w:val="auto"/>
                <w:kern w:val="2"/>
                <w:sz w:val="21"/>
                <w:szCs w:val="21"/>
                <w:vertAlign w:val="subscript"/>
                <w:lang w:val="en-US" w:eastAsia="zh-CN"/>
              </w:rPr>
              <w:t>2</w:t>
            </w:r>
            <w:r>
              <w:rPr>
                <w:rFonts w:hint="eastAsia" w:ascii="Times New Roman" w:hAnsi="Times New Roman" w:eastAsia="宋体"/>
                <w:color w:val="auto"/>
                <w:kern w:val="2"/>
                <w:sz w:val="21"/>
                <w:szCs w:val="21"/>
                <w:lang w:val="en-US" w:eastAsia="zh-CN"/>
              </w:rPr>
              <w:t>、NO</w:t>
            </w:r>
            <w:r>
              <w:rPr>
                <w:rFonts w:hint="eastAsia" w:ascii="Times New Roman" w:hAnsi="Times New Roman" w:eastAsia="宋体"/>
                <w:color w:val="auto"/>
                <w:kern w:val="2"/>
                <w:sz w:val="21"/>
                <w:szCs w:val="21"/>
                <w:vertAlign w:val="subscript"/>
                <w:lang w:val="en-US" w:eastAsia="zh-CN"/>
              </w:rPr>
              <w:t>x</w:t>
            </w:r>
            <w:r>
              <w:rPr>
                <w:rFonts w:hint="eastAsia" w:ascii="Times New Roman" w:hAnsi="Times New Roman" w:eastAsia="宋体"/>
                <w:color w:val="auto"/>
                <w:kern w:val="2"/>
                <w:sz w:val="21"/>
                <w:szCs w:val="21"/>
                <w:lang w:val="en-US" w:eastAsia="zh-CN"/>
              </w:rPr>
              <w:t>、汞</w:t>
            </w:r>
            <w:r>
              <w:rPr>
                <w:rFonts w:ascii="Times New Roman" w:hAnsi="Times New Roman" w:eastAsia="宋体"/>
                <w:color w:val="auto"/>
                <w:kern w:val="2"/>
                <w:sz w:val="21"/>
                <w:szCs w:val="21"/>
              </w:rPr>
              <w:t>）</w:t>
            </w:r>
          </w:p>
        </w:tc>
        <w:tc>
          <w:tcPr>
            <w:tcW w:w="1803" w:type="dxa"/>
            <w:gridSpan w:val="7"/>
            <w:tcBorders>
              <w:top w:val="single" w:color="auto" w:sz="4" w:space="0"/>
              <w:left w:val="single" w:color="auto" w:sz="4" w:space="0"/>
              <w:bottom w:val="single" w:color="auto" w:sz="4" w:space="0"/>
              <w:right w:val="single" w:color="auto" w:sz="4" w:space="0"/>
            </w:tcBorders>
            <w:vAlign w:val="center"/>
          </w:tcPr>
          <w:p w14:paraId="157339C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有组织废气监测</w:t>
            </w:r>
            <w:r>
              <w:rPr>
                <w:rFonts w:ascii="Times New Roman" w:hAnsi="Times New Roman" w:eastAsia="宋体"/>
                <w:color w:val="auto"/>
                <w:kern w:val="2"/>
                <w:sz w:val="21"/>
                <w:szCs w:val="21"/>
              </w:rPr>
              <w:sym w:font="Wingdings 2" w:char="0052"/>
            </w:r>
          </w:p>
          <w:p w14:paraId="146E91E3">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无组织废气监测</w:t>
            </w:r>
            <w:r>
              <w:rPr>
                <w:rFonts w:ascii="Times New Roman" w:hAnsi="MS Mincho" w:eastAsia="MS Mincho"/>
                <w:color w:val="auto"/>
                <w:kern w:val="2"/>
                <w:sz w:val="21"/>
                <w:szCs w:val="21"/>
              </w:rPr>
              <w:t>☑</w:t>
            </w:r>
          </w:p>
        </w:tc>
        <w:tc>
          <w:tcPr>
            <w:tcW w:w="1038" w:type="dxa"/>
            <w:gridSpan w:val="2"/>
            <w:tcBorders>
              <w:top w:val="single" w:color="auto" w:sz="4" w:space="0"/>
              <w:left w:val="single" w:color="auto" w:sz="4" w:space="0"/>
              <w:bottom w:val="single" w:color="auto" w:sz="4" w:space="0"/>
              <w:right w:val="nil"/>
            </w:tcBorders>
            <w:vAlign w:val="center"/>
          </w:tcPr>
          <w:p w14:paraId="425B3B80">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无监测□</w:t>
            </w:r>
          </w:p>
        </w:tc>
      </w:tr>
      <w:tr w14:paraId="1CDAA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460C7CAF">
            <w:pPr>
              <w:widowControl/>
              <w:spacing w:line="320" w:lineRule="exact"/>
              <w:jc w:val="center"/>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64B34E01">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环境质量监测</w:t>
            </w:r>
          </w:p>
        </w:tc>
        <w:tc>
          <w:tcPr>
            <w:tcW w:w="3664" w:type="dxa"/>
            <w:gridSpan w:val="8"/>
            <w:tcBorders>
              <w:top w:val="single" w:color="auto" w:sz="4" w:space="0"/>
              <w:left w:val="single" w:color="auto" w:sz="4" w:space="0"/>
              <w:bottom w:val="single" w:color="auto" w:sz="4" w:space="0"/>
              <w:right w:val="single" w:color="auto" w:sz="4" w:space="0"/>
            </w:tcBorders>
            <w:vAlign w:val="center"/>
          </w:tcPr>
          <w:p w14:paraId="07F40BA9">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监测因子：（）</w:t>
            </w:r>
          </w:p>
        </w:tc>
        <w:tc>
          <w:tcPr>
            <w:tcW w:w="1803" w:type="dxa"/>
            <w:gridSpan w:val="7"/>
            <w:tcBorders>
              <w:top w:val="single" w:color="auto" w:sz="4" w:space="0"/>
              <w:left w:val="single" w:color="auto" w:sz="4" w:space="0"/>
              <w:bottom w:val="single" w:color="auto" w:sz="4" w:space="0"/>
              <w:right w:val="single" w:color="auto" w:sz="4" w:space="0"/>
            </w:tcBorders>
            <w:vAlign w:val="center"/>
          </w:tcPr>
          <w:p w14:paraId="0E09DAB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监测点位数（）</w:t>
            </w:r>
          </w:p>
        </w:tc>
        <w:tc>
          <w:tcPr>
            <w:tcW w:w="1038" w:type="dxa"/>
            <w:gridSpan w:val="2"/>
            <w:tcBorders>
              <w:top w:val="single" w:color="auto" w:sz="4" w:space="0"/>
              <w:left w:val="single" w:color="auto" w:sz="4" w:space="0"/>
              <w:bottom w:val="single" w:color="auto" w:sz="4" w:space="0"/>
              <w:right w:val="nil"/>
            </w:tcBorders>
            <w:vAlign w:val="center"/>
          </w:tcPr>
          <w:p w14:paraId="15099C02">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无监测</w:t>
            </w:r>
            <w:r>
              <w:rPr>
                <w:rFonts w:ascii="Times New Roman" w:hAnsi="MS Mincho" w:eastAsia="MS Mincho"/>
                <w:color w:val="auto"/>
                <w:kern w:val="2"/>
                <w:sz w:val="21"/>
                <w:szCs w:val="21"/>
              </w:rPr>
              <w:t>☑</w:t>
            </w:r>
          </w:p>
        </w:tc>
      </w:tr>
      <w:tr w14:paraId="1F63F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restart"/>
            <w:tcBorders>
              <w:top w:val="single" w:color="auto" w:sz="4" w:space="0"/>
              <w:left w:val="nil"/>
              <w:bottom w:val="single" w:color="auto" w:sz="4" w:space="0"/>
              <w:right w:val="single" w:color="auto" w:sz="4" w:space="0"/>
            </w:tcBorders>
            <w:vAlign w:val="center"/>
          </w:tcPr>
          <w:p w14:paraId="112A3EDD">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评价结论</w:t>
            </w:r>
          </w:p>
        </w:tc>
        <w:tc>
          <w:tcPr>
            <w:tcW w:w="1191" w:type="dxa"/>
            <w:tcBorders>
              <w:top w:val="single" w:color="auto" w:sz="4" w:space="0"/>
              <w:left w:val="single" w:color="auto" w:sz="4" w:space="0"/>
              <w:bottom w:val="single" w:color="auto" w:sz="4" w:space="0"/>
              <w:right w:val="single" w:color="auto" w:sz="4" w:space="0"/>
            </w:tcBorders>
            <w:vAlign w:val="center"/>
          </w:tcPr>
          <w:p w14:paraId="1513BC7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环境影响</w:t>
            </w:r>
          </w:p>
        </w:tc>
        <w:tc>
          <w:tcPr>
            <w:tcW w:w="6505" w:type="dxa"/>
            <w:gridSpan w:val="17"/>
            <w:tcBorders>
              <w:top w:val="single" w:color="auto" w:sz="4" w:space="0"/>
              <w:left w:val="single" w:color="auto" w:sz="4" w:space="0"/>
              <w:bottom w:val="single" w:color="auto" w:sz="4" w:space="0"/>
              <w:right w:val="nil"/>
            </w:tcBorders>
            <w:vAlign w:val="center"/>
          </w:tcPr>
          <w:p w14:paraId="0F82F91F">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可以接受</w:t>
            </w:r>
            <w:r>
              <w:rPr>
                <w:rFonts w:ascii="Times New Roman" w:hAnsi="MS Mincho" w:eastAsia="MS Mincho"/>
                <w:color w:val="auto"/>
                <w:kern w:val="2"/>
                <w:sz w:val="21"/>
                <w:szCs w:val="21"/>
              </w:rPr>
              <w:t>☑</w:t>
            </w:r>
            <w:r>
              <w:rPr>
                <w:rFonts w:ascii="Times New Roman" w:hAnsi="Times New Roman" w:eastAsia="宋体"/>
                <w:color w:val="auto"/>
                <w:kern w:val="2"/>
                <w:sz w:val="21"/>
                <w:szCs w:val="21"/>
              </w:rPr>
              <w:t>不可以接受□</w:t>
            </w:r>
          </w:p>
        </w:tc>
      </w:tr>
      <w:tr w14:paraId="71367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15916EB6">
            <w:pPr>
              <w:widowControl/>
              <w:spacing w:line="320" w:lineRule="exact"/>
              <w:jc w:val="left"/>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418B0254">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大气环境防护距离</w:t>
            </w:r>
          </w:p>
        </w:tc>
        <w:tc>
          <w:tcPr>
            <w:tcW w:w="6505" w:type="dxa"/>
            <w:gridSpan w:val="17"/>
            <w:tcBorders>
              <w:top w:val="single" w:color="auto" w:sz="4" w:space="0"/>
              <w:left w:val="single" w:color="auto" w:sz="4" w:space="0"/>
              <w:bottom w:val="single" w:color="auto" w:sz="4" w:space="0"/>
              <w:right w:val="nil"/>
            </w:tcBorders>
            <w:vAlign w:val="center"/>
          </w:tcPr>
          <w:p w14:paraId="14293A5C">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距（   /  ）厂界最远（   /  ）m</w:t>
            </w:r>
          </w:p>
        </w:tc>
      </w:tr>
      <w:tr w14:paraId="64C4C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673" w:type="dxa"/>
            <w:vMerge w:val="continue"/>
            <w:tcBorders>
              <w:top w:val="single" w:color="auto" w:sz="4" w:space="0"/>
              <w:left w:val="nil"/>
              <w:bottom w:val="single" w:color="auto" w:sz="4" w:space="0"/>
              <w:right w:val="single" w:color="auto" w:sz="4" w:space="0"/>
            </w:tcBorders>
            <w:vAlign w:val="center"/>
          </w:tcPr>
          <w:p w14:paraId="2C1BC584">
            <w:pPr>
              <w:widowControl/>
              <w:spacing w:line="320" w:lineRule="exact"/>
              <w:jc w:val="left"/>
              <w:rPr>
                <w:color w:val="auto"/>
                <w:sz w:val="21"/>
                <w:szCs w:val="21"/>
                <w:lang w:bidi="en-US"/>
              </w:rPr>
            </w:pPr>
          </w:p>
        </w:tc>
        <w:tc>
          <w:tcPr>
            <w:tcW w:w="1191" w:type="dxa"/>
            <w:tcBorders>
              <w:top w:val="single" w:color="auto" w:sz="4" w:space="0"/>
              <w:left w:val="single" w:color="auto" w:sz="4" w:space="0"/>
              <w:bottom w:val="single" w:color="auto" w:sz="4" w:space="0"/>
              <w:right w:val="single" w:color="auto" w:sz="4" w:space="0"/>
            </w:tcBorders>
            <w:vAlign w:val="center"/>
          </w:tcPr>
          <w:p w14:paraId="775CC797">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污染源年排放量</w:t>
            </w:r>
          </w:p>
        </w:tc>
        <w:tc>
          <w:tcPr>
            <w:tcW w:w="1401" w:type="dxa"/>
            <w:gridSpan w:val="3"/>
            <w:tcBorders>
              <w:top w:val="single" w:color="auto" w:sz="4" w:space="0"/>
              <w:left w:val="single" w:color="auto" w:sz="4" w:space="0"/>
              <w:bottom w:val="single" w:color="auto" w:sz="4" w:space="0"/>
              <w:right w:val="single" w:color="auto" w:sz="4" w:space="0"/>
            </w:tcBorders>
            <w:vAlign w:val="center"/>
          </w:tcPr>
          <w:p w14:paraId="338ED61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SO</w:t>
            </w:r>
            <w:r>
              <w:rPr>
                <w:rFonts w:ascii="Times New Roman" w:hAnsi="Times New Roman" w:eastAsia="宋体"/>
                <w:color w:val="auto"/>
                <w:kern w:val="2"/>
                <w:sz w:val="21"/>
                <w:szCs w:val="21"/>
                <w:vertAlign w:val="subscript"/>
              </w:rPr>
              <w:t>2</w:t>
            </w:r>
            <w:r>
              <w:rPr>
                <w:rFonts w:ascii="Times New Roman" w:hAnsi="Times New Roman" w:eastAsia="宋体"/>
                <w:color w:val="auto"/>
                <w:kern w:val="2"/>
                <w:sz w:val="21"/>
                <w:szCs w:val="21"/>
              </w:rPr>
              <w:t>:（</w:t>
            </w:r>
            <w:r>
              <w:rPr>
                <w:rFonts w:hint="eastAsia" w:ascii="Times New Roman" w:hAnsi="Times New Roman" w:eastAsia="宋体"/>
                <w:color w:val="auto"/>
                <w:kern w:val="2"/>
                <w:sz w:val="21"/>
                <w:szCs w:val="21"/>
                <w:lang w:val="en-US" w:eastAsia="zh-CN"/>
              </w:rPr>
              <w:t>1.428</w:t>
            </w:r>
            <w:r>
              <w:rPr>
                <w:rFonts w:ascii="Times New Roman" w:hAnsi="Times New Roman" w:eastAsia="宋体"/>
                <w:color w:val="auto"/>
                <w:kern w:val="2"/>
                <w:sz w:val="21"/>
                <w:szCs w:val="21"/>
              </w:rPr>
              <w:t>）t/a</w:t>
            </w:r>
          </w:p>
        </w:tc>
        <w:tc>
          <w:tcPr>
            <w:tcW w:w="1437" w:type="dxa"/>
            <w:gridSpan w:val="4"/>
            <w:tcBorders>
              <w:top w:val="single" w:color="auto" w:sz="4" w:space="0"/>
              <w:left w:val="single" w:color="auto" w:sz="4" w:space="0"/>
              <w:bottom w:val="single" w:color="auto" w:sz="4" w:space="0"/>
              <w:right w:val="single" w:color="auto" w:sz="4" w:space="0"/>
            </w:tcBorders>
            <w:vAlign w:val="center"/>
          </w:tcPr>
          <w:p w14:paraId="56EE8EBA">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NOx:（</w:t>
            </w:r>
            <w:r>
              <w:rPr>
                <w:rFonts w:hint="eastAsia" w:ascii="Times New Roman" w:hAnsi="Times New Roman" w:eastAsia="宋体"/>
                <w:color w:val="auto"/>
                <w:kern w:val="2"/>
                <w:sz w:val="21"/>
                <w:szCs w:val="21"/>
                <w:lang w:val="en-US" w:eastAsia="zh-CN"/>
              </w:rPr>
              <w:t>1.988</w:t>
            </w:r>
            <w:r>
              <w:rPr>
                <w:rFonts w:ascii="Times New Roman" w:hAnsi="Times New Roman" w:eastAsia="宋体"/>
                <w:color w:val="auto"/>
                <w:kern w:val="2"/>
                <w:sz w:val="21"/>
                <w:szCs w:val="21"/>
              </w:rPr>
              <w:t>）t/a</w:t>
            </w:r>
          </w:p>
        </w:tc>
        <w:tc>
          <w:tcPr>
            <w:tcW w:w="1195" w:type="dxa"/>
            <w:gridSpan w:val="2"/>
            <w:tcBorders>
              <w:top w:val="single" w:color="auto" w:sz="4" w:space="0"/>
              <w:left w:val="single" w:color="auto" w:sz="4" w:space="0"/>
              <w:bottom w:val="single" w:color="auto" w:sz="4" w:space="0"/>
              <w:right w:val="single" w:color="auto" w:sz="4" w:space="0"/>
            </w:tcBorders>
            <w:vAlign w:val="center"/>
          </w:tcPr>
          <w:p w14:paraId="26069649">
            <w:pPr>
              <w:pStyle w:val="107"/>
              <w:spacing w:line="320" w:lineRule="exact"/>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汞（1.612）kg/a</w:t>
            </w:r>
          </w:p>
        </w:tc>
        <w:tc>
          <w:tcPr>
            <w:tcW w:w="1026" w:type="dxa"/>
            <w:gridSpan w:val="4"/>
            <w:tcBorders>
              <w:top w:val="single" w:color="auto" w:sz="4" w:space="0"/>
              <w:left w:val="single" w:color="auto" w:sz="4" w:space="0"/>
              <w:bottom w:val="single" w:color="auto" w:sz="4" w:space="0"/>
              <w:right w:val="single" w:color="auto" w:sz="4" w:space="0"/>
            </w:tcBorders>
            <w:vAlign w:val="center"/>
          </w:tcPr>
          <w:p w14:paraId="36E4300D">
            <w:pPr>
              <w:pStyle w:val="107"/>
              <w:spacing w:line="320" w:lineRule="exact"/>
              <w:rPr>
                <w:rFonts w:ascii="Times New Roman" w:hAnsi="Times New Roman" w:eastAsia="宋体"/>
                <w:color w:val="auto"/>
                <w:kern w:val="2"/>
                <w:sz w:val="21"/>
                <w:szCs w:val="21"/>
              </w:rPr>
            </w:pPr>
            <w:r>
              <w:rPr>
                <w:rFonts w:ascii="Times New Roman" w:hAnsi="Times New Roman" w:eastAsia="宋体"/>
                <w:color w:val="auto"/>
                <w:kern w:val="2"/>
                <w:sz w:val="21"/>
                <w:szCs w:val="21"/>
              </w:rPr>
              <w:t>颗粒物:（</w:t>
            </w:r>
            <w:r>
              <w:rPr>
                <w:rFonts w:hint="eastAsia" w:ascii="Times New Roman" w:hAnsi="Times New Roman" w:eastAsia="宋体"/>
                <w:color w:val="auto"/>
                <w:kern w:val="2"/>
                <w:sz w:val="21"/>
                <w:szCs w:val="21"/>
                <w:lang w:val="en-US" w:eastAsia="zh-CN"/>
              </w:rPr>
              <w:t>0.2165</w:t>
            </w:r>
            <w:r>
              <w:rPr>
                <w:rFonts w:ascii="Times New Roman" w:hAnsi="Times New Roman" w:eastAsia="宋体"/>
                <w:color w:val="auto"/>
                <w:kern w:val="2"/>
                <w:sz w:val="21"/>
                <w:szCs w:val="21"/>
              </w:rPr>
              <w:t>）t/a</w:t>
            </w:r>
          </w:p>
        </w:tc>
        <w:tc>
          <w:tcPr>
            <w:tcW w:w="1446" w:type="dxa"/>
            <w:gridSpan w:val="4"/>
            <w:tcBorders>
              <w:top w:val="single" w:color="auto" w:sz="4" w:space="0"/>
              <w:left w:val="single" w:color="auto" w:sz="4" w:space="0"/>
              <w:bottom w:val="single" w:color="auto" w:sz="4" w:space="0"/>
              <w:right w:val="nil"/>
            </w:tcBorders>
            <w:vAlign w:val="center"/>
          </w:tcPr>
          <w:p w14:paraId="37A92230">
            <w:pPr>
              <w:pStyle w:val="107"/>
              <w:spacing w:line="32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VOCs:（</w:t>
            </w:r>
            <w:r>
              <w:rPr>
                <w:rFonts w:hint="eastAsia" w:ascii="Times New Roman" w:hAnsi="Times New Roman" w:eastAsia="宋体"/>
                <w:color w:val="auto"/>
                <w:kern w:val="2"/>
                <w:sz w:val="21"/>
                <w:szCs w:val="21"/>
                <w:lang w:val="en-US" w:eastAsia="zh-CN"/>
              </w:rPr>
              <w:t>0.389</w:t>
            </w:r>
            <w:r>
              <w:rPr>
                <w:rFonts w:ascii="Times New Roman" w:hAnsi="Times New Roman" w:eastAsia="宋体"/>
                <w:color w:val="auto"/>
                <w:kern w:val="2"/>
                <w:sz w:val="21"/>
                <w:szCs w:val="21"/>
              </w:rPr>
              <w:t>）t/a</w:t>
            </w:r>
          </w:p>
        </w:tc>
      </w:tr>
      <w:tr w14:paraId="31D46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8369" w:type="dxa"/>
            <w:gridSpan w:val="19"/>
            <w:tcBorders>
              <w:top w:val="single" w:color="auto" w:sz="4" w:space="0"/>
              <w:left w:val="nil"/>
              <w:bottom w:val="single" w:color="auto" w:sz="12" w:space="0"/>
              <w:right w:val="nil"/>
            </w:tcBorders>
            <w:vAlign w:val="center"/>
          </w:tcPr>
          <w:p w14:paraId="58A5F4F9">
            <w:pPr>
              <w:pStyle w:val="107"/>
              <w:spacing w:line="320" w:lineRule="exact"/>
              <w:jc w:val="left"/>
              <w:rPr>
                <w:rFonts w:ascii="Times New Roman" w:hAnsi="Times New Roman" w:eastAsia="宋体"/>
                <w:color w:val="auto"/>
                <w:kern w:val="2"/>
                <w:sz w:val="21"/>
                <w:szCs w:val="21"/>
              </w:rPr>
            </w:pPr>
            <w:r>
              <w:rPr>
                <w:rFonts w:ascii="Times New Roman" w:hAnsi="Times New Roman" w:eastAsia="宋体"/>
                <w:color w:val="auto"/>
                <w:kern w:val="2"/>
                <w:sz w:val="21"/>
                <w:szCs w:val="21"/>
              </w:rPr>
              <w:t>注：“□”为勾选项，填“√”；“（）”为内容填写项</w:t>
            </w:r>
          </w:p>
        </w:tc>
      </w:tr>
    </w:tbl>
    <w:p w14:paraId="7E1BC31E">
      <w:pPr>
        <w:pStyle w:val="2"/>
        <w:adjustRightInd w:val="0"/>
        <w:snapToGrid w:val="0"/>
        <w:spacing w:line="460" w:lineRule="exact"/>
        <w:rPr>
          <w:rFonts w:eastAsia="宋体"/>
          <w:color w:val="auto"/>
          <w:sz w:val="30"/>
          <w:szCs w:val="30"/>
        </w:rPr>
      </w:pPr>
      <w:bookmarkStart w:id="86" w:name="_Toc3890"/>
      <w:bookmarkStart w:id="87" w:name="_Toc32557"/>
      <w:r>
        <w:rPr>
          <w:rFonts w:hint="eastAsia" w:eastAsia="宋体"/>
          <w:color w:val="auto"/>
          <w:sz w:val="30"/>
          <w:szCs w:val="30"/>
        </w:rPr>
        <w:t>5大气污染防治措施</w:t>
      </w:r>
      <w:bookmarkEnd w:id="86"/>
      <w:bookmarkEnd w:id="87"/>
    </w:p>
    <w:p w14:paraId="536B2BE9">
      <w:pPr>
        <w:pStyle w:val="3"/>
        <w:spacing w:before="0" w:after="0" w:line="460" w:lineRule="exact"/>
        <w:rPr>
          <w:rFonts w:eastAsia="宋体"/>
          <w:color w:val="auto"/>
          <w:kern w:val="0"/>
          <w:szCs w:val="28"/>
        </w:rPr>
      </w:pPr>
      <w:bookmarkStart w:id="88" w:name="_Toc1612"/>
      <w:bookmarkStart w:id="89" w:name="_Toc31113"/>
      <w:r>
        <w:rPr>
          <w:rFonts w:hint="eastAsia" w:eastAsia="宋体"/>
          <w:color w:val="auto"/>
          <w:kern w:val="0"/>
          <w:szCs w:val="28"/>
        </w:rPr>
        <w:t>5.1废气收集处理</w:t>
      </w:r>
      <w:bookmarkEnd w:id="88"/>
      <w:r>
        <w:rPr>
          <w:rFonts w:hint="eastAsia" w:eastAsia="宋体"/>
          <w:color w:val="auto"/>
          <w:kern w:val="0"/>
          <w:szCs w:val="28"/>
        </w:rPr>
        <w:t>工艺</w:t>
      </w:r>
      <w:bookmarkEnd w:id="89"/>
    </w:p>
    <w:p w14:paraId="5F8439E3">
      <w:pPr>
        <w:spacing w:line="460" w:lineRule="exact"/>
        <w:ind w:firstLine="480" w:firstLineChars="200"/>
        <w:rPr>
          <w:bCs/>
          <w:color w:val="auto"/>
          <w:sz w:val="24"/>
          <w:szCs w:val="24"/>
        </w:rPr>
      </w:pPr>
      <w:r>
        <w:rPr>
          <w:bCs/>
          <w:color w:val="auto"/>
          <w:sz w:val="24"/>
          <w:szCs w:val="24"/>
        </w:rPr>
        <w:t>项目废气</w:t>
      </w:r>
      <w:r>
        <w:rPr>
          <w:rFonts w:hint="eastAsia"/>
          <w:bCs/>
          <w:color w:val="auto"/>
          <w:sz w:val="24"/>
          <w:szCs w:val="24"/>
        </w:rPr>
        <w:t>收集</w:t>
      </w:r>
      <w:r>
        <w:rPr>
          <w:bCs/>
          <w:color w:val="auto"/>
          <w:sz w:val="24"/>
          <w:szCs w:val="24"/>
        </w:rPr>
        <w:t>示意图见图</w:t>
      </w:r>
      <w:r>
        <w:rPr>
          <w:rFonts w:hint="eastAsia"/>
          <w:bCs/>
          <w:color w:val="auto"/>
          <w:sz w:val="24"/>
          <w:szCs w:val="24"/>
        </w:rPr>
        <w:t>5</w:t>
      </w:r>
      <w:r>
        <w:rPr>
          <w:bCs/>
          <w:color w:val="auto"/>
          <w:sz w:val="24"/>
          <w:szCs w:val="24"/>
        </w:rPr>
        <w:t>-1。</w:t>
      </w:r>
    </w:p>
    <w:p w14:paraId="763A7E06">
      <w:pPr>
        <w:pStyle w:val="29"/>
        <w:rPr>
          <w:color w:val="auto"/>
        </w:rPr>
      </w:pPr>
      <w:r>
        <w:rPr>
          <w:rFonts w:hint="eastAsia"/>
          <w:color w:val="auto"/>
          <w:kern w:val="0"/>
          <w:szCs w:val="21"/>
          <w:lang w:eastAsia="zh-CN"/>
        </w:rPr>
        <w:pict>
          <v:shape id="_x0000_s1030" o:spid="_x0000_s1030" o:spt="75" type="#_x0000_t75" style="position:absolute;left:0pt;margin-left:10.85pt;margin-top:6.95pt;height:154.8pt;width:421.05pt;z-index:251660288;mso-width-relative:page;mso-height-relative:page;" o:ole="t" filled="f" o:preferrelative="t" stroked="f" coordsize="21600,21600">
            <v:path/>
            <v:fill on="f" focussize="0,0"/>
            <v:stroke on="f"/>
            <v:imagedata r:id="rId12" o:title=""/>
            <o:lock v:ext="edit" aspectratio="f"/>
          </v:shape>
          <o:OLEObject Type="Embed" ProgID="Visio.Drawing.15" ShapeID="_x0000_s1030" DrawAspect="Content" ObjectID="_1468075725" r:id="rId11">
            <o:LockedField>false</o:LockedField>
          </o:OLEObject>
        </w:pict>
      </w:r>
    </w:p>
    <w:p w14:paraId="10F51EB8">
      <w:pPr>
        <w:ind w:firstLine="413" w:firstLineChars="196"/>
        <w:rPr>
          <w:b/>
          <w:bCs/>
          <w:color w:val="auto"/>
          <w:szCs w:val="22"/>
        </w:rPr>
      </w:pPr>
    </w:p>
    <w:p w14:paraId="0A0C2FC2">
      <w:pPr>
        <w:widowControl/>
        <w:spacing w:line="460" w:lineRule="exact"/>
        <w:jc w:val="center"/>
        <w:rPr>
          <w:b/>
          <w:bCs/>
          <w:color w:val="auto"/>
          <w:kern w:val="0"/>
          <w:sz w:val="24"/>
          <w:szCs w:val="24"/>
        </w:rPr>
      </w:pPr>
      <w:bookmarkStart w:id="90" w:name="_Toc29421"/>
    </w:p>
    <w:p w14:paraId="284517B5">
      <w:pPr>
        <w:widowControl/>
        <w:spacing w:line="460" w:lineRule="exact"/>
        <w:jc w:val="center"/>
        <w:rPr>
          <w:b/>
          <w:bCs/>
          <w:color w:val="auto"/>
          <w:kern w:val="0"/>
          <w:sz w:val="24"/>
          <w:szCs w:val="24"/>
        </w:rPr>
      </w:pPr>
    </w:p>
    <w:p w14:paraId="4061B466">
      <w:pPr>
        <w:widowControl/>
        <w:spacing w:line="460" w:lineRule="exact"/>
        <w:jc w:val="center"/>
        <w:rPr>
          <w:b/>
          <w:bCs/>
          <w:color w:val="auto"/>
          <w:kern w:val="0"/>
          <w:sz w:val="24"/>
          <w:szCs w:val="24"/>
        </w:rPr>
      </w:pPr>
    </w:p>
    <w:p w14:paraId="12E07924">
      <w:pPr>
        <w:widowControl/>
        <w:spacing w:line="460" w:lineRule="exact"/>
        <w:jc w:val="center"/>
        <w:rPr>
          <w:b/>
          <w:bCs/>
          <w:color w:val="auto"/>
          <w:kern w:val="0"/>
          <w:sz w:val="24"/>
          <w:szCs w:val="24"/>
        </w:rPr>
      </w:pPr>
    </w:p>
    <w:p w14:paraId="6C7D3E73">
      <w:pPr>
        <w:widowControl/>
        <w:spacing w:line="460" w:lineRule="exact"/>
        <w:jc w:val="center"/>
        <w:rPr>
          <w:b/>
          <w:bCs/>
          <w:color w:val="auto"/>
          <w:kern w:val="0"/>
          <w:sz w:val="24"/>
          <w:szCs w:val="24"/>
        </w:rPr>
      </w:pPr>
    </w:p>
    <w:p w14:paraId="53D456EA">
      <w:pPr>
        <w:widowControl/>
        <w:spacing w:line="460" w:lineRule="exact"/>
        <w:jc w:val="center"/>
        <w:rPr>
          <w:b/>
          <w:bCs/>
          <w:color w:val="auto"/>
          <w:kern w:val="0"/>
          <w:sz w:val="24"/>
          <w:szCs w:val="24"/>
        </w:rPr>
      </w:pPr>
    </w:p>
    <w:p w14:paraId="4B41E7E6">
      <w:pPr>
        <w:widowControl/>
        <w:spacing w:line="460" w:lineRule="exact"/>
        <w:jc w:val="center"/>
        <w:rPr>
          <w:b/>
          <w:bCs/>
          <w:color w:val="auto"/>
          <w:kern w:val="0"/>
          <w:sz w:val="24"/>
          <w:szCs w:val="24"/>
        </w:rPr>
      </w:pPr>
    </w:p>
    <w:p w14:paraId="365274CE">
      <w:pPr>
        <w:keepNext w:val="0"/>
        <w:keepLines w:val="0"/>
        <w:pageBreakBefore w:val="0"/>
        <w:widowControl/>
        <w:kinsoku/>
        <w:wordWrap/>
        <w:overflowPunct/>
        <w:topLinePunct w:val="0"/>
        <w:autoSpaceDE/>
        <w:autoSpaceDN/>
        <w:bidi w:val="0"/>
        <w:adjustRightInd/>
        <w:snapToGrid/>
        <w:spacing w:line="360" w:lineRule="auto"/>
        <w:jc w:val="center"/>
        <w:textAlignment w:val="auto"/>
        <w:rPr>
          <w:b/>
          <w:bCs/>
          <w:color w:val="auto"/>
          <w:kern w:val="0"/>
          <w:sz w:val="24"/>
          <w:szCs w:val="24"/>
        </w:rPr>
      </w:pPr>
      <w:r>
        <w:rPr>
          <w:b/>
          <w:bCs/>
          <w:color w:val="auto"/>
          <w:kern w:val="0"/>
          <w:sz w:val="24"/>
          <w:szCs w:val="24"/>
        </w:rPr>
        <w:t>图</w:t>
      </w:r>
      <w:r>
        <w:rPr>
          <w:rFonts w:hint="eastAsia"/>
          <w:b/>
          <w:bCs/>
          <w:color w:val="auto"/>
          <w:kern w:val="0"/>
          <w:sz w:val="24"/>
          <w:szCs w:val="24"/>
        </w:rPr>
        <w:t>5-1</w:t>
      </w:r>
      <w:r>
        <w:rPr>
          <w:b/>
          <w:bCs/>
          <w:color w:val="auto"/>
          <w:kern w:val="0"/>
          <w:sz w:val="24"/>
          <w:szCs w:val="24"/>
        </w:rPr>
        <w:t xml:space="preserve">  </w:t>
      </w:r>
      <w:r>
        <w:rPr>
          <w:rFonts w:hint="eastAsia"/>
          <w:b/>
          <w:bCs/>
          <w:color w:val="auto"/>
          <w:kern w:val="0"/>
          <w:sz w:val="24"/>
          <w:szCs w:val="24"/>
        </w:rPr>
        <w:t>废气收集处理流程</w:t>
      </w:r>
      <w:r>
        <w:rPr>
          <w:b/>
          <w:bCs/>
          <w:color w:val="auto"/>
          <w:kern w:val="0"/>
          <w:sz w:val="24"/>
          <w:szCs w:val="24"/>
        </w:rPr>
        <w:t>图</w:t>
      </w:r>
    </w:p>
    <w:p w14:paraId="433064F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本项目所采用的废气污染防治措施为《排污许可证申请与核发技术规范 纺织印染工业》（HJ 861-2017）和《排污许可证申请与核发技术规范 锅炉》（HJ953-2018）中可行技术，同行业同类型项目也采用相同工艺，处理设备运行稳定可靠，污染物排放浓度及排放速率均能满足相关标准要求；本项目废气处理方案合理可行。</w:t>
      </w:r>
    </w:p>
    <w:p w14:paraId="22DB66C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对照《国家污染防治技术指导目录》，本项目废气污染治理设施不属于淘汰、限制、低效类技术，本项目废气处理方案合理可行。</w:t>
      </w:r>
    </w:p>
    <w:p w14:paraId="3E7D6EA1">
      <w:pPr>
        <w:pStyle w:val="3"/>
        <w:spacing w:before="0" w:after="0" w:line="360" w:lineRule="auto"/>
        <w:rPr>
          <w:rFonts w:eastAsia="宋体"/>
          <w:color w:val="auto"/>
          <w:kern w:val="0"/>
          <w:sz w:val="24"/>
          <w:szCs w:val="24"/>
        </w:rPr>
      </w:pPr>
      <w:bookmarkStart w:id="91" w:name="_Toc15313"/>
      <w:r>
        <w:rPr>
          <w:rFonts w:hint="eastAsia" w:eastAsia="宋体"/>
          <w:color w:val="auto"/>
          <w:kern w:val="0"/>
          <w:sz w:val="24"/>
          <w:szCs w:val="24"/>
        </w:rPr>
        <w:t>5</w:t>
      </w:r>
      <w:r>
        <w:rPr>
          <w:rFonts w:eastAsia="宋体"/>
          <w:color w:val="auto"/>
          <w:kern w:val="0"/>
          <w:sz w:val="24"/>
          <w:szCs w:val="24"/>
        </w:rPr>
        <w:t>.2废气措施可行性分析</w:t>
      </w:r>
      <w:bookmarkEnd w:id="90"/>
      <w:bookmarkEnd w:id="91"/>
    </w:p>
    <w:p w14:paraId="343B15CF">
      <w:pPr>
        <w:pStyle w:val="4"/>
        <w:spacing w:before="0" w:after="0" w:line="360" w:lineRule="auto"/>
        <w:rPr>
          <w:color w:val="auto"/>
          <w:sz w:val="24"/>
          <w:szCs w:val="24"/>
        </w:rPr>
      </w:pPr>
      <w:r>
        <w:rPr>
          <w:rFonts w:hint="eastAsia"/>
          <w:color w:val="auto"/>
          <w:sz w:val="24"/>
          <w:szCs w:val="24"/>
        </w:rPr>
        <w:t>5</w:t>
      </w:r>
      <w:r>
        <w:rPr>
          <w:color w:val="auto"/>
          <w:sz w:val="24"/>
          <w:szCs w:val="24"/>
        </w:rPr>
        <w:t>.2.1</w:t>
      </w:r>
      <w:r>
        <w:rPr>
          <w:rFonts w:hint="eastAsia"/>
          <w:color w:val="auto"/>
          <w:sz w:val="24"/>
          <w:szCs w:val="24"/>
        </w:rPr>
        <w:t>废气治理措施</w:t>
      </w:r>
    </w:p>
    <w:p w14:paraId="73A18376">
      <w:pPr>
        <w:spacing w:line="360" w:lineRule="auto"/>
        <w:ind w:firstLine="482" w:firstLineChars="200"/>
        <w:rPr>
          <w:rFonts w:hint="eastAsia" w:hAnsi="宋体"/>
          <w:b/>
          <w:bCs/>
          <w:color w:val="auto"/>
          <w:sz w:val="24"/>
          <w:szCs w:val="22"/>
          <w:lang w:val="en-US" w:eastAsia="zh-CN"/>
        </w:rPr>
      </w:pPr>
      <w:r>
        <w:rPr>
          <w:rFonts w:hint="eastAsia" w:hAnsi="宋体"/>
          <w:b/>
          <w:bCs/>
          <w:color w:val="auto"/>
          <w:sz w:val="24"/>
          <w:szCs w:val="22"/>
          <w:lang w:val="en-US" w:eastAsia="zh-CN"/>
        </w:rPr>
        <w:t>A、水喷淋+静电净化装置：</w:t>
      </w:r>
    </w:p>
    <w:p w14:paraId="69B8603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水喷淋塔工作原理的核心是通过气液逆流接触，利用离心力和液体喷淋实现污染物的分离与净化。废气从塔底切向进入，在旋流塔板的导向作用下形成旋转上升气流。塔内设置多层喷淋装置，水或其他液体通过喷嘴雾化形成细小液滴。旋转气流与液滴剧烈碰撞，污染物(如粉尘、可溶气体)被包惠或溶解，并通过离心力加速分离。含污染物的液滴在离心力作用下甩向塔壁，沿壁流入底部循环池。净化后的气体经塔顶除雾器去除残留液滴后排放循环泵将底部液体重新输送至喷淋层，实现液体重复利用，同时定期清理沉淀物。</w:t>
      </w:r>
    </w:p>
    <w:p w14:paraId="3838D6E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喷淋塔见下图。</w:t>
      </w:r>
    </w:p>
    <w:p w14:paraId="6ED95171">
      <w:pPr>
        <w:pStyle w:val="32"/>
        <w:spacing w:before="0" w:beforeAutospacing="0" w:after="0" w:afterAutospacing="0"/>
        <w:jc w:val="center"/>
        <w:rPr>
          <w:rFonts w:ascii="Times New Roman" w:hAnsi="Times New Roman"/>
        </w:rPr>
      </w:pPr>
      <w:r>
        <w:drawing>
          <wp:inline distT="0" distB="0" distL="114300" distR="114300">
            <wp:extent cx="2658110" cy="2400300"/>
            <wp:effectExtent l="0" t="0" r="889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2658110" cy="2400300"/>
                    </a:xfrm>
                    <a:prstGeom prst="rect">
                      <a:avLst/>
                    </a:prstGeom>
                    <a:noFill/>
                    <a:ln>
                      <a:noFill/>
                    </a:ln>
                  </pic:spPr>
                </pic:pic>
              </a:graphicData>
            </a:graphic>
          </wp:inline>
        </w:drawing>
      </w:r>
    </w:p>
    <w:p w14:paraId="1C2BB4E9">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图5-2  喷淋塔示意图</w:t>
      </w:r>
    </w:p>
    <w:p w14:paraId="3F18A42C">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表5-1  喷淋装置技术参数一览表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2951"/>
        <w:gridCol w:w="2010"/>
        <w:gridCol w:w="2074"/>
      </w:tblGrid>
      <w:tr w14:paraId="1DEC28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3ACA222F">
            <w:pPr>
              <w:adjustRightInd w:val="0"/>
              <w:snapToGrid w:val="0"/>
              <w:jc w:val="center"/>
              <w:rPr>
                <w:rFonts w:hint="eastAsia"/>
                <w:b/>
                <w:sz w:val="21"/>
                <w:szCs w:val="21"/>
              </w:rPr>
            </w:pPr>
            <w:r>
              <w:rPr>
                <w:rFonts w:hint="eastAsia"/>
                <w:b/>
                <w:sz w:val="21"/>
                <w:szCs w:val="21"/>
              </w:rPr>
              <w:t>序号</w:t>
            </w:r>
          </w:p>
        </w:tc>
        <w:tc>
          <w:tcPr>
            <w:tcW w:w="1774" w:type="pct"/>
            <w:noWrap w:val="0"/>
            <w:vAlign w:val="center"/>
          </w:tcPr>
          <w:p w14:paraId="0F749A1E">
            <w:pPr>
              <w:adjustRightInd w:val="0"/>
              <w:snapToGrid w:val="0"/>
              <w:jc w:val="center"/>
              <w:rPr>
                <w:rFonts w:hint="eastAsia"/>
                <w:b/>
                <w:sz w:val="21"/>
                <w:szCs w:val="21"/>
              </w:rPr>
            </w:pPr>
            <w:r>
              <w:rPr>
                <w:rFonts w:hint="eastAsia"/>
                <w:b/>
                <w:sz w:val="21"/>
                <w:szCs w:val="21"/>
              </w:rPr>
              <w:t>项目</w:t>
            </w:r>
          </w:p>
        </w:tc>
        <w:tc>
          <w:tcPr>
            <w:tcW w:w="1208" w:type="pct"/>
            <w:noWrap w:val="0"/>
            <w:vAlign w:val="center"/>
          </w:tcPr>
          <w:p w14:paraId="566236FF">
            <w:pPr>
              <w:adjustRightInd w:val="0"/>
              <w:snapToGrid w:val="0"/>
              <w:jc w:val="center"/>
              <w:rPr>
                <w:rFonts w:hint="eastAsia"/>
                <w:b/>
                <w:sz w:val="21"/>
                <w:szCs w:val="21"/>
              </w:rPr>
            </w:pPr>
            <w:r>
              <w:rPr>
                <w:rFonts w:hint="eastAsia"/>
                <w:b/>
                <w:sz w:val="21"/>
                <w:szCs w:val="21"/>
              </w:rPr>
              <w:t>单位</w:t>
            </w:r>
          </w:p>
        </w:tc>
        <w:tc>
          <w:tcPr>
            <w:tcW w:w="1247" w:type="pct"/>
            <w:noWrap w:val="0"/>
            <w:vAlign w:val="center"/>
          </w:tcPr>
          <w:p w14:paraId="44826628">
            <w:pPr>
              <w:adjustRightInd w:val="0"/>
              <w:snapToGrid w:val="0"/>
              <w:jc w:val="center"/>
              <w:rPr>
                <w:rFonts w:hint="eastAsia"/>
                <w:b/>
                <w:sz w:val="21"/>
                <w:szCs w:val="21"/>
              </w:rPr>
            </w:pPr>
            <w:r>
              <w:rPr>
                <w:rFonts w:hint="eastAsia"/>
                <w:b/>
                <w:sz w:val="21"/>
                <w:szCs w:val="21"/>
              </w:rPr>
              <w:t>技术指标</w:t>
            </w:r>
          </w:p>
        </w:tc>
      </w:tr>
      <w:tr w14:paraId="0F63B5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1AD0713A">
            <w:pPr>
              <w:adjustRightInd w:val="0"/>
              <w:snapToGrid w:val="0"/>
              <w:jc w:val="center"/>
              <w:rPr>
                <w:rFonts w:hint="eastAsia"/>
                <w:b/>
                <w:sz w:val="21"/>
                <w:szCs w:val="21"/>
              </w:rPr>
            </w:pPr>
            <w:r>
              <w:rPr>
                <w:rFonts w:hint="eastAsia"/>
                <w:bCs/>
                <w:sz w:val="21"/>
                <w:szCs w:val="21"/>
              </w:rPr>
              <w:t>1</w:t>
            </w:r>
          </w:p>
        </w:tc>
        <w:tc>
          <w:tcPr>
            <w:tcW w:w="1774" w:type="pct"/>
            <w:noWrap w:val="0"/>
            <w:vAlign w:val="center"/>
          </w:tcPr>
          <w:p w14:paraId="6C08523E">
            <w:pPr>
              <w:adjustRightInd w:val="0"/>
              <w:snapToGrid w:val="0"/>
              <w:jc w:val="center"/>
              <w:rPr>
                <w:rFonts w:hint="eastAsia"/>
                <w:bCs/>
                <w:sz w:val="21"/>
                <w:szCs w:val="21"/>
              </w:rPr>
            </w:pPr>
            <w:r>
              <w:rPr>
                <w:rFonts w:hint="eastAsia"/>
                <w:bCs/>
                <w:sz w:val="21"/>
                <w:szCs w:val="21"/>
              </w:rPr>
              <w:t>排气筒</w:t>
            </w:r>
          </w:p>
        </w:tc>
        <w:tc>
          <w:tcPr>
            <w:tcW w:w="1208" w:type="pct"/>
            <w:noWrap w:val="0"/>
            <w:vAlign w:val="center"/>
          </w:tcPr>
          <w:p w14:paraId="4DB09EFB">
            <w:pPr>
              <w:adjustRightInd w:val="0"/>
              <w:snapToGrid w:val="0"/>
              <w:jc w:val="center"/>
              <w:rPr>
                <w:rFonts w:hint="eastAsia"/>
                <w:bCs/>
                <w:sz w:val="21"/>
                <w:szCs w:val="21"/>
              </w:rPr>
            </w:pPr>
            <w:r>
              <w:rPr>
                <w:rFonts w:hint="eastAsia"/>
                <w:bCs/>
                <w:sz w:val="21"/>
                <w:szCs w:val="21"/>
              </w:rPr>
              <w:t>/</w:t>
            </w:r>
          </w:p>
        </w:tc>
        <w:tc>
          <w:tcPr>
            <w:tcW w:w="1247" w:type="pct"/>
            <w:noWrap w:val="0"/>
            <w:vAlign w:val="center"/>
          </w:tcPr>
          <w:p w14:paraId="056CC2EA">
            <w:pPr>
              <w:adjustRightInd w:val="0"/>
              <w:snapToGrid w:val="0"/>
              <w:jc w:val="center"/>
              <w:rPr>
                <w:rFonts w:hint="eastAsia" w:eastAsia="宋体"/>
                <w:bCs/>
                <w:sz w:val="21"/>
                <w:szCs w:val="21"/>
                <w:lang w:eastAsia="zh-CN"/>
              </w:rPr>
            </w:pPr>
            <w:r>
              <w:rPr>
                <w:rFonts w:hint="eastAsia"/>
                <w:bCs/>
                <w:sz w:val="21"/>
                <w:szCs w:val="21"/>
              </w:rPr>
              <w:t>DA00</w:t>
            </w:r>
            <w:r>
              <w:rPr>
                <w:rFonts w:hint="eastAsia"/>
                <w:bCs/>
                <w:sz w:val="21"/>
                <w:szCs w:val="21"/>
                <w:lang w:val="en-US" w:eastAsia="zh-CN"/>
              </w:rPr>
              <w:t>1</w:t>
            </w:r>
          </w:p>
        </w:tc>
      </w:tr>
      <w:tr w14:paraId="1919E3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1A30C7E1">
            <w:pPr>
              <w:adjustRightInd w:val="0"/>
              <w:snapToGrid w:val="0"/>
              <w:jc w:val="center"/>
              <w:rPr>
                <w:rFonts w:hint="eastAsia"/>
                <w:bCs/>
                <w:sz w:val="21"/>
                <w:szCs w:val="21"/>
              </w:rPr>
            </w:pPr>
            <w:r>
              <w:rPr>
                <w:rFonts w:hint="eastAsia"/>
                <w:bCs/>
                <w:sz w:val="21"/>
                <w:szCs w:val="21"/>
              </w:rPr>
              <w:t>2</w:t>
            </w:r>
          </w:p>
        </w:tc>
        <w:tc>
          <w:tcPr>
            <w:tcW w:w="1774" w:type="pct"/>
            <w:noWrap w:val="0"/>
            <w:vAlign w:val="center"/>
          </w:tcPr>
          <w:p w14:paraId="414BD736">
            <w:pPr>
              <w:adjustRightInd w:val="0"/>
              <w:snapToGrid w:val="0"/>
              <w:jc w:val="center"/>
              <w:rPr>
                <w:rFonts w:hint="eastAsia"/>
                <w:bCs/>
                <w:sz w:val="21"/>
                <w:szCs w:val="21"/>
              </w:rPr>
            </w:pPr>
            <w:r>
              <w:rPr>
                <w:rFonts w:hint="eastAsia"/>
                <w:bCs/>
                <w:sz w:val="21"/>
                <w:szCs w:val="21"/>
              </w:rPr>
              <w:t>配套风机风量</w:t>
            </w:r>
          </w:p>
        </w:tc>
        <w:tc>
          <w:tcPr>
            <w:tcW w:w="1208" w:type="pct"/>
            <w:noWrap w:val="0"/>
            <w:vAlign w:val="center"/>
          </w:tcPr>
          <w:p w14:paraId="5AD714C3">
            <w:pPr>
              <w:adjustRightInd w:val="0"/>
              <w:snapToGrid w:val="0"/>
              <w:jc w:val="center"/>
              <w:rPr>
                <w:rFonts w:hint="eastAsia"/>
                <w:bCs/>
                <w:sz w:val="21"/>
                <w:szCs w:val="21"/>
              </w:rPr>
            </w:pPr>
            <w:r>
              <w:rPr>
                <w:rFonts w:hint="eastAsia"/>
                <w:bCs/>
                <w:sz w:val="21"/>
                <w:szCs w:val="21"/>
              </w:rPr>
              <w:t>m</w:t>
            </w:r>
            <w:r>
              <w:rPr>
                <w:rFonts w:hint="eastAsia"/>
                <w:bCs/>
                <w:sz w:val="21"/>
                <w:szCs w:val="21"/>
                <w:vertAlign w:val="superscript"/>
              </w:rPr>
              <w:t>3</w:t>
            </w:r>
            <w:r>
              <w:rPr>
                <w:rFonts w:hint="eastAsia"/>
                <w:bCs/>
                <w:sz w:val="21"/>
                <w:szCs w:val="21"/>
              </w:rPr>
              <w:t>/h</w:t>
            </w:r>
          </w:p>
        </w:tc>
        <w:tc>
          <w:tcPr>
            <w:tcW w:w="1247" w:type="pct"/>
            <w:noWrap w:val="0"/>
            <w:vAlign w:val="center"/>
          </w:tcPr>
          <w:p w14:paraId="421B6193">
            <w:pPr>
              <w:adjustRightInd w:val="0"/>
              <w:snapToGrid w:val="0"/>
              <w:jc w:val="center"/>
              <w:rPr>
                <w:rFonts w:hint="eastAsia"/>
                <w:bCs/>
                <w:sz w:val="21"/>
                <w:szCs w:val="21"/>
              </w:rPr>
            </w:pPr>
            <w:r>
              <w:rPr>
                <w:rFonts w:hint="eastAsia"/>
                <w:bCs/>
                <w:sz w:val="21"/>
                <w:szCs w:val="21"/>
              </w:rPr>
              <w:t>2</w:t>
            </w:r>
            <w:r>
              <w:rPr>
                <w:rFonts w:hint="eastAsia"/>
                <w:bCs/>
                <w:sz w:val="21"/>
                <w:szCs w:val="21"/>
                <w:lang w:val="en-US" w:eastAsia="zh-CN"/>
              </w:rPr>
              <w:t>4</w:t>
            </w:r>
            <w:r>
              <w:rPr>
                <w:rFonts w:hint="eastAsia"/>
                <w:bCs/>
                <w:sz w:val="21"/>
                <w:szCs w:val="21"/>
              </w:rPr>
              <w:t>000</w:t>
            </w:r>
          </w:p>
        </w:tc>
      </w:tr>
      <w:tr w14:paraId="76E4C5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48634A54">
            <w:pPr>
              <w:adjustRightInd w:val="0"/>
              <w:snapToGrid w:val="0"/>
              <w:jc w:val="center"/>
              <w:rPr>
                <w:rFonts w:hint="eastAsia"/>
                <w:bCs/>
                <w:sz w:val="21"/>
                <w:szCs w:val="21"/>
              </w:rPr>
            </w:pPr>
            <w:r>
              <w:rPr>
                <w:rFonts w:hint="eastAsia"/>
                <w:bCs/>
                <w:sz w:val="21"/>
                <w:szCs w:val="21"/>
              </w:rPr>
              <w:t>3</w:t>
            </w:r>
          </w:p>
        </w:tc>
        <w:tc>
          <w:tcPr>
            <w:tcW w:w="1774" w:type="pct"/>
            <w:noWrap w:val="0"/>
            <w:vAlign w:val="center"/>
          </w:tcPr>
          <w:p w14:paraId="1535C6AC">
            <w:pPr>
              <w:adjustRightInd w:val="0"/>
              <w:snapToGrid w:val="0"/>
              <w:jc w:val="center"/>
              <w:rPr>
                <w:rFonts w:hint="eastAsia"/>
                <w:bCs/>
                <w:sz w:val="21"/>
                <w:szCs w:val="21"/>
              </w:rPr>
            </w:pPr>
            <w:r>
              <w:rPr>
                <w:rFonts w:hint="eastAsia"/>
                <w:bCs/>
                <w:sz w:val="21"/>
                <w:szCs w:val="21"/>
              </w:rPr>
              <w:t>级数</w:t>
            </w:r>
          </w:p>
        </w:tc>
        <w:tc>
          <w:tcPr>
            <w:tcW w:w="1208" w:type="pct"/>
            <w:noWrap w:val="0"/>
            <w:vAlign w:val="center"/>
          </w:tcPr>
          <w:p w14:paraId="2EDBCE9A">
            <w:pPr>
              <w:adjustRightInd w:val="0"/>
              <w:snapToGrid w:val="0"/>
              <w:jc w:val="center"/>
              <w:rPr>
                <w:rFonts w:hint="eastAsia"/>
                <w:bCs/>
                <w:sz w:val="21"/>
                <w:szCs w:val="21"/>
              </w:rPr>
            </w:pPr>
            <w:r>
              <w:rPr>
                <w:rFonts w:hint="eastAsia"/>
                <w:bCs/>
                <w:sz w:val="21"/>
                <w:szCs w:val="21"/>
              </w:rPr>
              <w:t>/</w:t>
            </w:r>
          </w:p>
        </w:tc>
        <w:tc>
          <w:tcPr>
            <w:tcW w:w="1247" w:type="pct"/>
            <w:noWrap w:val="0"/>
            <w:vAlign w:val="center"/>
          </w:tcPr>
          <w:p w14:paraId="6130CC14">
            <w:pPr>
              <w:adjustRightInd w:val="0"/>
              <w:snapToGrid w:val="0"/>
              <w:jc w:val="center"/>
              <w:rPr>
                <w:rFonts w:hint="eastAsia"/>
                <w:bCs/>
                <w:sz w:val="21"/>
                <w:szCs w:val="21"/>
              </w:rPr>
            </w:pPr>
            <w:r>
              <w:rPr>
                <w:rFonts w:hint="eastAsia"/>
                <w:bCs/>
                <w:sz w:val="21"/>
                <w:szCs w:val="21"/>
              </w:rPr>
              <w:t>一级</w:t>
            </w:r>
          </w:p>
        </w:tc>
      </w:tr>
      <w:tr w14:paraId="3B0DDF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768" w:type="pct"/>
            <w:noWrap w:val="0"/>
            <w:vAlign w:val="center"/>
          </w:tcPr>
          <w:p w14:paraId="79EB2860">
            <w:pPr>
              <w:adjustRightInd w:val="0"/>
              <w:snapToGrid w:val="0"/>
              <w:jc w:val="center"/>
              <w:rPr>
                <w:rFonts w:hint="eastAsia"/>
                <w:bCs/>
                <w:sz w:val="21"/>
                <w:szCs w:val="21"/>
              </w:rPr>
            </w:pPr>
            <w:r>
              <w:rPr>
                <w:rFonts w:hint="eastAsia"/>
                <w:bCs/>
                <w:sz w:val="21"/>
                <w:szCs w:val="21"/>
              </w:rPr>
              <w:t>4</w:t>
            </w:r>
          </w:p>
        </w:tc>
        <w:tc>
          <w:tcPr>
            <w:tcW w:w="1774" w:type="pct"/>
            <w:noWrap w:val="0"/>
            <w:vAlign w:val="center"/>
          </w:tcPr>
          <w:p w14:paraId="14512716">
            <w:pPr>
              <w:adjustRightInd w:val="0"/>
              <w:snapToGrid w:val="0"/>
              <w:jc w:val="center"/>
              <w:rPr>
                <w:rFonts w:hint="eastAsia"/>
                <w:bCs/>
                <w:sz w:val="21"/>
                <w:szCs w:val="21"/>
              </w:rPr>
            </w:pPr>
            <w:r>
              <w:rPr>
                <w:rFonts w:hint="eastAsia"/>
                <w:bCs/>
                <w:sz w:val="21"/>
                <w:szCs w:val="21"/>
              </w:rPr>
              <w:t>空塔气速</w:t>
            </w:r>
          </w:p>
        </w:tc>
        <w:tc>
          <w:tcPr>
            <w:tcW w:w="1208" w:type="pct"/>
            <w:noWrap w:val="0"/>
            <w:vAlign w:val="center"/>
          </w:tcPr>
          <w:p w14:paraId="19133498">
            <w:pPr>
              <w:adjustRightInd w:val="0"/>
              <w:snapToGrid w:val="0"/>
              <w:jc w:val="center"/>
              <w:rPr>
                <w:rFonts w:hint="eastAsia"/>
                <w:bCs/>
                <w:sz w:val="21"/>
                <w:szCs w:val="21"/>
              </w:rPr>
            </w:pPr>
            <w:r>
              <w:rPr>
                <w:rFonts w:hint="eastAsia"/>
                <w:bCs/>
                <w:sz w:val="21"/>
                <w:szCs w:val="21"/>
              </w:rPr>
              <w:t>m/s</w:t>
            </w:r>
          </w:p>
        </w:tc>
        <w:tc>
          <w:tcPr>
            <w:tcW w:w="1247" w:type="pct"/>
            <w:noWrap w:val="0"/>
            <w:vAlign w:val="center"/>
          </w:tcPr>
          <w:p w14:paraId="2AE8AFFE">
            <w:pPr>
              <w:adjustRightInd w:val="0"/>
              <w:snapToGrid w:val="0"/>
              <w:jc w:val="center"/>
              <w:rPr>
                <w:rFonts w:hint="eastAsia"/>
                <w:bCs/>
                <w:sz w:val="21"/>
                <w:szCs w:val="21"/>
              </w:rPr>
            </w:pPr>
            <w:r>
              <w:rPr>
                <w:rFonts w:hint="eastAsia"/>
                <w:bCs/>
                <w:sz w:val="21"/>
                <w:szCs w:val="21"/>
              </w:rPr>
              <w:t>1.5</w:t>
            </w:r>
          </w:p>
        </w:tc>
      </w:tr>
      <w:tr w14:paraId="150C94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0A030CD8">
            <w:pPr>
              <w:adjustRightInd w:val="0"/>
              <w:snapToGrid w:val="0"/>
              <w:jc w:val="center"/>
              <w:rPr>
                <w:rFonts w:hint="eastAsia"/>
                <w:bCs/>
                <w:sz w:val="21"/>
                <w:szCs w:val="21"/>
              </w:rPr>
            </w:pPr>
            <w:r>
              <w:rPr>
                <w:rFonts w:hint="eastAsia"/>
                <w:bCs/>
                <w:sz w:val="21"/>
                <w:szCs w:val="21"/>
              </w:rPr>
              <w:t>5</w:t>
            </w:r>
          </w:p>
        </w:tc>
        <w:tc>
          <w:tcPr>
            <w:tcW w:w="1774" w:type="pct"/>
            <w:noWrap w:val="0"/>
            <w:vAlign w:val="center"/>
          </w:tcPr>
          <w:p w14:paraId="3AF92EB3">
            <w:pPr>
              <w:adjustRightInd w:val="0"/>
              <w:snapToGrid w:val="0"/>
              <w:jc w:val="center"/>
              <w:rPr>
                <w:rFonts w:hint="eastAsia"/>
                <w:bCs/>
                <w:sz w:val="21"/>
                <w:szCs w:val="21"/>
              </w:rPr>
            </w:pPr>
            <w:r>
              <w:rPr>
                <w:rFonts w:hint="eastAsia"/>
                <w:bCs/>
                <w:sz w:val="21"/>
                <w:szCs w:val="21"/>
              </w:rPr>
              <w:t>气液比</w:t>
            </w:r>
          </w:p>
        </w:tc>
        <w:tc>
          <w:tcPr>
            <w:tcW w:w="1208" w:type="pct"/>
            <w:noWrap w:val="0"/>
            <w:vAlign w:val="center"/>
          </w:tcPr>
          <w:p w14:paraId="070D0606">
            <w:pPr>
              <w:adjustRightInd w:val="0"/>
              <w:snapToGrid w:val="0"/>
              <w:jc w:val="center"/>
              <w:rPr>
                <w:bCs/>
                <w:sz w:val="21"/>
                <w:szCs w:val="21"/>
              </w:rPr>
            </w:pPr>
            <w:r>
              <w:rPr>
                <w:rFonts w:hint="eastAsia"/>
                <w:bCs/>
                <w:sz w:val="21"/>
                <w:szCs w:val="21"/>
              </w:rPr>
              <w:t>L/m</w:t>
            </w:r>
            <w:r>
              <w:rPr>
                <w:rFonts w:hint="eastAsia"/>
                <w:bCs/>
                <w:sz w:val="21"/>
                <w:szCs w:val="21"/>
                <w:vertAlign w:val="superscript"/>
              </w:rPr>
              <w:t>3</w:t>
            </w:r>
          </w:p>
        </w:tc>
        <w:tc>
          <w:tcPr>
            <w:tcW w:w="1247" w:type="pct"/>
            <w:noWrap w:val="0"/>
            <w:vAlign w:val="center"/>
          </w:tcPr>
          <w:p w14:paraId="434D380A">
            <w:pPr>
              <w:adjustRightInd w:val="0"/>
              <w:snapToGrid w:val="0"/>
              <w:jc w:val="center"/>
              <w:rPr>
                <w:rFonts w:hint="default" w:eastAsia="宋体"/>
                <w:bCs/>
                <w:sz w:val="21"/>
                <w:szCs w:val="21"/>
                <w:lang w:val="en-US" w:eastAsia="zh-CN"/>
              </w:rPr>
            </w:pPr>
            <w:r>
              <w:rPr>
                <w:rFonts w:hint="default" w:ascii="Times New Roman" w:hAnsi="Times New Roman" w:cs="Times New Roman"/>
                <w:bCs/>
                <w:sz w:val="21"/>
                <w:szCs w:val="21"/>
              </w:rPr>
              <w:t>1</w:t>
            </w:r>
            <w:r>
              <w:rPr>
                <w:rFonts w:hint="eastAsia" w:ascii="Times New Roman" w:hAnsi="Times New Roman" w:cs="Times New Roman"/>
                <w:bCs/>
                <w:sz w:val="21"/>
                <w:szCs w:val="21"/>
                <w:lang w:val="en-US" w:eastAsia="zh-CN"/>
              </w:rPr>
              <w:t>:</w:t>
            </w:r>
            <w:r>
              <w:rPr>
                <w:rFonts w:hint="default" w:ascii="Times New Roman" w:hAnsi="Times New Roman" w:cs="Times New Roman"/>
                <w:bCs/>
                <w:sz w:val="21"/>
                <w:szCs w:val="21"/>
                <w:lang w:val="en-US" w:eastAsia="zh-CN"/>
              </w:rPr>
              <w:t>2</w:t>
            </w:r>
          </w:p>
        </w:tc>
      </w:tr>
      <w:tr w14:paraId="700331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2210E5B7">
            <w:pPr>
              <w:adjustRightInd w:val="0"/>
              <w:snapToGrid w:val="0"/>
              <w:jc w:val="center"/>
              <w:rPr>
                <w:rFonts w:hint="eastAsia"/>
                <w:bCs/>
                <w:sz w:val="21"/>
                <w:szCs w:val="21"/>
              </w:rPr>
            </w:pPr>
            <w:r>
              <w:rPr>
                <w:rFonts w:hint="eastAsia"/>
                <w:bCs/>
                <w:sz w:val="21"/>
                <w:szCs w:val="21"/>
              </w:rPr>
              <w:t>6</w:t>
            </w:r>
          </w:p>
        </w:tc>
        <w:tc>
          <w:tcPr>
            <w:tcW w:w="1774" w:type="pct"/>
            <w:noWrap w:val="0"/>
            <w:vAlign w:val="center"/>
          </w:tcPr>
          <w:p w14:paraId="3604B0B7">
            <w:pPr>
              <w:adjustRightInd w:val="0"/>
              <w:snapToGrid w:val="0"/>
              <w:jc w:val="center"/>
              <w:rPr>
                <w:rFonts w:hint="eastAsia"/>
                <w:bCs/>
                <w:sz w:val="21"/>
                <w:szCs w:val="21"/>
              </w:rPr>
            </w:pPr>
            <w:r>
              <w:rPr>
                <w:rFonts w:hint="eastAsia"/>
                <w:bCs/>
                <w:sz w:val="21"/>
                <w:szCs w:val="21"/>
              </w:rPr>
              <w:t>填料层高度</w:t>
            </w:r>
          </w:p>
        </w:tc>
        <w:tc>
          <w:tcPr>
            <w:tcW w:w="1208" w:type="pct"/>
            <w:noWrap w:val="0"/>
            <w:vAlign w:val="center"/>
          </w:tcPr>
          <w:p w14:paraId="5A98338A">
            <w:pPr>
              <w:adjustRightInd w:val="0"/>
              <w:snapToGrid w:val="0"/>
              <w:jc w:val="center"/>
              <w:rPr>
                <w:rFonts w:hint="eastAsia"/>
                <w:bCs/>
                <w:sz w:val="21"/>
                <w:szCs w:val="21"/>
              </w:rPr>
            </w:pPr>
            <w:r>
              <w:rPr>
                <w:rFonts w:hint="eastAsia"/>
                <w:bCs/>
                <w:sz w:val="21"/>
                <w:szCs w:val="21"/>
              </w:rPr>
              <w:t>m</w:t>
            </w:r>
          </w:p>
        </w:tc>
        <w:tc>
          <w:tcPr>
            <w:tcW w:w="1247" w:type="pct"/>
            <w:noWrap w:val="0"/>
            <w:vAlign w:val="center"/>
          </w:tcPr>
          <w:p w14:paraId="61FB8816">
            <w:pPr>
              <w:adjustRightInd w:val="0"/>
              <w:snapToGrid w:val="0"/>
              <w:jc w:val="center"/>
              <w:rPr>
                <w:rFonts w:hint="eastAsia"/>
                <w:bCs/>
                <w:sz w:val="21"/>
                <w:szCs w:val="21"/>
              </w:rPr>
            </w:pPr>
            <w:r>
              <w:rPr>
                <w:rFonts w:hint="eastAsia"/>
                <w:bCs/>
                <w:sz w:val="21"/>
                <w:szCs w:val="21"/>
              </w:rPr>
              <w:t>1.2m</w:t>
            </w:r>
          </w:p>
        </w:tc>
      </w:tr>
      <w:tr w14:paraId="6FFDBA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1A315A88">
            <w:pPr>
              <w:adjustRightInd w:val="0"/>
              <w:snapToGrid w:val="0"/>
              <w:jc w:val="center"/>
              <w:rPr>
                <w:rFonts w:hint="eastAsia"/>
                <w:bCs/>
                <w:sz w:val="21"/>
                <w:szCs w:val="21"/>
              </w:rPr>
            </w:pPr>
            <w:r>
              <w:rPr>
                <w:rFonts w:hint="eastAsia"/>
                <w:bCs/>
                <w:sz w:val="21"/>
                <w:szCs w:val="21"/>
              </w:rPr>
              <w:t>7</w:t>
            </w:r>
          </w:p>
        </w:tc>
        <w:tc>
          <w:tcPr>
            <w:tcW w:w="1774" w:type="pct"/>
            <w:noWrap w:val="0"/>
            <w:vAlign w:val="center"/>
          </w:tcPr>
          <w:p w14:paraId="018AD267">
            <w:pPr>
              <w:adjustRightInd w:val="0"/>
              <w:snapToGrid w:val="0"/>
              <w:jc w:val="center"/>
              <w:rPr>
                <w:rFonts w:hint="eastAsia"/>
                <w:bCs/>
                <w:sz w:val="21"/>
                <w:szCs w:val="21"/>
              </w:rPr>
            </w:pPr>
            <w:r>
              <w:rPr>
                <w:rFonts w:hint="eastAsia"/>
                <w:bCs/>
                <w:sz w:val="21"/>
                <w:szCs w:val="21"/>
              </w:rPr>
              <w:t>停留时间</w:t>
            </w:r>
          </w:p>
        </w:tc>
        <w:tc>
          <w:tcPr>
            <w:tcW w:w="1208" w:type="pct"/>
            <w:noWrap w:val="0"/>
            <w:vAlign w:val="center"/>
          </w:tcPr>
          <w:p w14:paraId="73C5CBD5">
            <w:pPr>
              <w:adjustRightInd w:val="0"/>
              <w:snapToGrid w:val="0"/>
              <w:jc w:val="center"/>
              <w:rPr>
                <w:rFonts w:hint="eastAsia"/>
                <w:bCs/>
                <w:sz w:val="21"/>
                <w:szCs w:val="21"/>
              </w:rPr>
            </w:pPr>
            <w:r>
              <w:rPr>
                <w:rFonts w:hint="eastAsia"/>
                <w:bCs/>
                <w:sz w:val="21"/>
                <w:szCs w:val="21"/>
              </w:rPr>
              <w:t>s</w:t>
            </w:r>
          </w:p>
        </w:tc>
        <w:tc>
          <w:tcPr>
            <w:tcW w:w="1247" w:type="pct"/>
            <w:noWrap w:val="0"/>
            <w:vAlign w:val="center"/>
          </w:tcPr>
          <w:p w14:paraId="395151F3">
            <w:pPr>
              <w:adjustRightInd w:val="0"/>
              <w:snapToGrid w:val="0"/>
              <w:jc w:val="center"/>
              <w:rPr>
                <w:rFonts w:hint="eastAsia"/>
                <w:bCs/>
                <w:sz w:val="21"/>
                <w:szCs w:val="21"/>
              </w:rPr>
            </w:pPr>
            <w:r>
              <w:rPr>
                <w:rFonts w:hint="eastAsia"/>
                <w:bCs/>
                <w:sz w:val="21"/>
                <w:szCs w:val="21"/>
              </w:rPr>
              <w:t>3.5</w:t>
            </w:r>
          </w:p>
        </w:tc>
      </w:tr>
      <w:tr w14:paraId="683AB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14:paraId="576863C5">
            <w:pPr>
              <w:adjustRightInd w:val="0"/>
              <w:snapToGrid w:val="0"/>
              <w:jc w:val="center"/>
              <w:rPr>
                <w:rFonts w:hint="eastAsia"/>
                <w:bCs/>
                <w:sz w:val="21"/>
                <w:szCs w:val="21"/>
              </w:rPr>
            </w:pPr>
            <w:r>
              <w:rPr>
                <w:rFonts w:hint="eastAsia"/>
                <w:bCs/>
                <w:sz w:val="21"/>
                <w:szCs w:val="21"/>
              </w:rPr>
              <w:t>9</w:t>
            </w:r>
          </w:p>
        </w:tc>
        <w:tc>
          <w:tcPr>
            <w:tcW w:w="1774" w:type="pct"/>
            <w:noWrap w:val="0"/>
            <w:vAlign w:val="center"/>
          </w:tcPr>
          <w:p w14:paraId="43B832B7">
            <w:pPr>
              <w:adjustRightInd w:val="0"/>
              <w:snapToGrid w:val="0"/>
              <w:jc w:val="center"/>
              <w:rPr>
                <w:rFonts w:hint="eastAsia"/>
                <w:bCs/>
                <w:sz w:val="21"/>
                <w:szCs w:val="21"/>
              </w:rPr>
            </w:pPr>
            <w:r>
              <w:rPr>
                <w:rFonts w:hint="eastAsia"/>
                <w:bCs/>
                <w:sz w:val="21"/>
                <w:szCs w:val="21"/>
              </w:rPr>
              <w:t>除雾器</w:t>
            </w:r>
          </w:p>
        </w:tc>
        <w:tc>
          <w:tcPr>
            <w:tcW w:w="1208" w:type="pct"/>
            <w:noWrap w:val="0"/>
            <w:vAlign w:val="center"/>
          </w:tcPr>
          <w:p w14:paraId="1C41E75A">
            <w:pPr>
              <w:adjustRightInd w:val="0"/>
              <w:snapToGrid w:val="0"/>
              <w:jc w:val="center"/>
              <w:rPr>
                <w:rFonts w:hint="eastAsia"/>
                <w:bCs/>
                <w:sz w:val="21"/>
                <w:szCs w:val="21"/>
              </w:rPr>
            </w:pPr>
            <w:r>
              <w:rPr>
                <w:rFonts w:hint="eastAsia"/>
                <w:bCs/>
                <w:sz w:val="21"/>
                <w:szCs w:val="21"/>
              </w:rPr>
              <w:t>套</w:t>
            </w:r>
          </w:p>
        </w:tc>
        <w:tc>
          <w:tcPr>
            <w:tcW w:w="1247" w:type="pct"/>
            <w:noWrap w:val="0"/>
            <w:vAlign w:val="center"/>
          </w:tcPr>
          <w:p w14:paraId="3ED34575">
            <w:pPr>
              <w:adjustRightInd w:val="0"/>
              <w:snapToGrid w:val="0"/>
              <w:jc w:val="center"/>
              <w:rPr>
                <w:rFonts w:hint="eastAsia"/>
                <w:bCs/>
                <w:sz w:val="21"/>
                <w:szCs w:val="21"/>
              </w:rPr>
            </w:pPr>
            <w:r>
              <w:rPr>
                <w:rFonts w:hint="eastAsia"/>
                <w:bCs/>
                <w:sz w:val="21"/>
                <w:szCs w:val="21"/>
              </w:rPr>
              <w:t>1</w:t>
            </w:r>
          </w:p>
        </w:tc>
      </w:tr>
    </w:tbl>
    <w:p w14:paraId="35EC14A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静电净化除尘装置的工作原理是利用高压电场使气体电离，粉尘颗粒带电后在电场力作用下被吸附到电极上，从而实现气尘分离。其核心流程可分为以下四个关键步骤：</w:t>
      </w:r>
    </w:p>
    <w:p w14:paraId="42FB74D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气体电离在高压直流电场（通常数万伏）作用下，电晕极（阴极）周围的空气分子被电离，产生大量自由电子、正负离子，形成电晕放电现象。</w:t>
      </w:r>
    </w:p>
    <w:p w14:paraId="0D0AB1C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粉尘荷电 含尘气体通过电场时，粉尘颗粒与电离产生的电子或离子碰撞，吸附电荷并带电。尘粒通常带负电，但不同设备配置中也可能带正电。</w:t>
      </w:r>
    </w:p>
    <w:p w14:paraId="1D57691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荷电粉尘迁移带电粉尘在电场力作用下向极性相反的电极（集尘极）移动。例如，负电粉尘向阳极板/筒移动，而正电颗粒向阴极线移动。</w:t>
      </w:r>
    </w:p>
    <w:p w14:paraId="7F791F5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z w:val="24"/>
          <w:szCs w:val="22"/>
          <w:lang w:val="en-US" w:eastAsia="zh-CN"/>
        </w:rPr>
      </w:pPr>
      <w:r>
        <w:rPr>
          <w:rFonts w:hint="eastAsia" w:hAnsi="宋体" w:eastAsia="宋体"/>
          <w:color w:val="auto"/>
          <w:sz w:val="24"/>
          <w:szCs w:val="22"/>
          <w:lang w:val="en-US" w:eastAsia="zh-CN"/>
        </w:rPr>
        <w:t>粉尘收集与清除粉尘沉积在集尘极表面，通过振打装置将积灰清除至灰斗，最终排放净化后的气体。</w:t>
      </w:r>
    </w:p>
    <w:p w14:paraId="006DB71D">
      <w:pPr>
        <w:keepNext w:val="0"/>
        <w:keepLines w:val="0"/>
        <w:pageBreakBefore w:val="0"/>
        <w:widowControl w:val="0"/>
        <w:kinsoku/>
        <w:wordWrap/>
        <w:overflowPunct/>
        <w:topLinePunct w:val="0"/>
        <w:autoSpaceDE/>
        <w:autoSpaceDN/>
        <w:bidi w:val="0"/>
        <w:adjustRightInd/>
        <w:snapToGrid/>
        <w:spacing w:line="240" w:lineRule="auto"/>
        <w:jc w:val="center"/>
        <w:textAlignment w:val="center"/>
      </w:pPr>
      <w:r>
        <w:drawing>
          <wp:inline distT="0" distB="0" distL="114300" distR="114300">
            <wp:extent cx="2157730" cy="1951990"/>
            <wp:effectExtent l="0" t="0" r="13970" b="10160"/>
            <wp:docPr id="8" name="IM 354"/>
            <wp:cNvGraphicFramePr/>
            <a:graphic xmlns:a="http://schemas.openxmlformats.org/drawingml/2006/main">
              <a:graphicData uri="http://schemas.openxmlformats.org/drawingml/2006/picture">
                <pic:pic xmlns:pic="http://schemas.openxmlformats.org/drawingml/2006/picture">
                  <pic:nvPicPr>
                    <pic:cNvPr id="8" name="IM 354"/>
                    <pic:cNvPicPr/>
                  </pic:nvPicPr>
                  <pic:blipFill>
                    <a:blip r:embed="rId14"/>
                    <a:stretch>
                      <a:fillRect/>
                    </a:stretch>
                  </pic:blipFill>
                  <pic:spPr>
                    <a:xfrm>
                      <a:off x="0" y="0"/>
                      <a:ext cx="2157730" cy="1951990"/>
                    </a:xfrm>
                    <a:prstGeom prst="rect">
                      <a:avLst/>
                    </a:prstGeom>
                    <a:noFill/>
                    <a:ln>
                      <a:noFill/>
                    </a:ln>
                  </pic:spPr>
                </pic:pic>
              </a:graphicData>
            </a:graphic>
          </wp:inline>
        </w:drawing>
      </w:r>
    </w:p>
    <w:p w14:paraId="4E4883FE">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图5-3  静电除油内部结构图</w:t>
      </w:r>
    </w:p>
    <w:p w14:paraId="7B0E5362">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根据《关于印发&lt;江苏省重点行业挥发性有机物污染控制指南&gt;的通知》  (苏环办[2014] 128号) 要求，定型机废气宜采用机械净化与吸收技术或高压静电技术等组合工艺，机械净化包括冷凝、机械除尘、过滤及吸附等技术。项目定型机废气采用水喷淋+静电除油工艺，符合该文要求。</w:t>
      </w:r>
    </w:p>
    <w:p w14:paraId="712812CD">
      <w:pPr>
        <w:spacing w:line="360" w:lineRule="auto"/>
        <w:ind w:firstLine="480" w:firstLineChars="200"/>
        <w:rPr>
          <w:rFonts w:hint="eastAsia" w:ascii="Times New Roman" w:hAnsi="宋体" w:eastAsia="宋体" w:cs="Times New Roman"/>
          <w:color w:val="auto"/>
          <w:sz w:val="24"/>
          <w:szCs w:val="22"/>
          <w:lang w:val="en-US" w:eastAsia="zh-CN"/>
        </w:rPr>
      </w:pPr>
      <w:r>
        <w:rPr>
          <w:rFonts w:hint="eastAsia" w:ascii="Times New Roman" w:hAnsi="宋体" w:eastAsia="宋体" w:cs="Times New Roman"/>
          <w:color w:val="auto"/>
          <w:sz w:val="24"/>
          <w:szCs w:val="22"/>
          <w:lang w:val="en-US" w:eastAsia="zh-CN"/>
        </w:rPr>
        <w:t>此外，《排污许可证申请与核发技术规范纺织印染工业》 (HJ861-2017) 附录B明确“定型设施产生的颗粒物和VOCs类污染物，可选用的可行技术有：喷淋洗涤、吸附或喷淋洗涤-静电吸附。由上文分析可知，本项目定型和蒸呢废气采用管道收集，废气收集率高于95%，处理效率根据前文分析为80%；定型机废气经过“水喷淋+静电除油”处理，满足相关政策要求。</w:t>
      </w:r>
    </w:p>
    <w:p w14:paraId="100875EE">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eastAsia" w:hAnsi="宋体"/>
          <w:b/>
          <w:bCs/>
          <w:color w:val="auto"/>
          <w:sz w:val="24"/>
          <w:szCs w:val="22"/>
          <w:lang w:val="en-US" w:eastAsia="zh-CN"/>
        </w:rPr>
      </w:pPr>
      <w:r>
        <w:rPr>
          <w:rFonts w:hint="eastAsia" w:hAnsi="宋体"/>
          <w:b/>
          <w:bCs/>
          <w:color w:val="auto"/>
          <w:sz w:val="24"/>
          <w:szCs w:val="22"/>
          <w:lang w:val="en-US" w:eastAsia="zh-CN"/>
        </w:rPr>
        <w:t>B、</w:t>
      </w:r>
      <w:r>
        <w:rPr>
          <w:rFonts w:hint="eastAsia" w:cs="Times New Roman"/>
          <w:b/>
          <w:snapToGrid w:val="0"/>
          <w:color w:val="auto"/>
          <w:kern w:val="0"/>
          <w:szCs w:val="21"/>
          <w:lang w:val="en-US" w:eastAsia="zh-CN"/>
        </w:rPr>
        <w:t>低氮燃烧+SNCR+石灰喷雾干燥+余热回收+旋风除尘+布袋除尘+水幕除尘</w:t>
      </w:r>
      <w:r>
        <w:rPr>
          <w:rFonts w:hint="eastAsia" w:ascii="Times New Roman" w:hAnsi="Times New Roman" w:cs="Times New Roman"/>
          <w:b/>
          <w:snapToGrid w:val="0"/>
          <w:color w:val="auto"/>
          <w:kern w:val="0"/>
          <w:szCs w:val="21"/>
        </w:rPr>
        <w:t>装置</w:t>
      </w:r>
    </w:p>
    <w:p w14:paraId="0E306E30">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①低氮燃烧器</w:t>
      </w:r>
    </w:p>
    <w:p w14:paraId="41096339">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低氮燃烧技术：低氮燃烧技术降低NOx浓度是通过燃烧及制粉系统优化调整，减少炉风总量即氧浓度，使燃烧过程中的过量空气系数尽可能接近1，也就是在接近理论空气量的条件下进行燃烧，又称为燃料分级或炉内还原（IFNR）技术，它是降低NOx排放的诸多炉内方法中最有效的措施之一。低氮燃烧技术将80%-85%的燃料送入主燃区在空气过量系数α&gt;1的条件下燃烧，其余15%-20%的燃料作为还原剂在主燃烧器的上部某一合适位置喷入形成再燃区，再燃区空气过量系数α&lt;1，再燃区不仅使已经生成的NOx得到还原，同时还抑制了新的NOx的生成，可进一步降低NOx的排放浓度。再燃区上方布置燃尽风以形成燃尽区，保证再燃区出口的未完全燃烧产物燃尽。同其他低NOx燃烧技术比较，再燃低NOx燃烧技术可以大幅度降低NOx排放，一般情况下可以使NOx排放浓度降低50%以上，分离火焰低NOx燃烧器在只使用燃烧器的情况下可以达到50~65%的NOx降低率，在燃烧器与火上风（OFA）一起使用时，可达到65~75%NOx的降低率。</w:t>
      </w:r>
    </w:p>
    <w:p w14:paraId="3AE3AB64">
      <w:pPr>
        <w:spacing w:line="360" w:lineRule="auto"/>
        <w:jc w:val="center"/>
        <w:rPr>
          <w:b/>
          <w:bCs/>
          <w:szCs w:val="24"/>
        </w:rPr>
      </w:pPr>
      <w:r>
        <w:rPr>
          <w:szCs w:val="24"/>
        </w:rPr>
        <w:drawing>
          <wp:inline distT="0" distB="0" distL="114300" distR="114300">
            <wp:extent cx="3214370" cy="1954530"/>
            <wp:effectExtent l="0" t="0" r="5080"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3214370" cy="1954530"/>
                    </a:xfrm>
                    <a:prstGeom prst="rect">
                      <a:avLst/>
                    </a:prstGeom>
                    <a:noFill/>
                    <a:ln>
                      <a:noFill/>
                    </a:ln>
                  </pic:spPr>
                </pic:pic>
              </a:graphicData>
            </a:graphic>
          </wp:inline>
        </w:drawing>
      </w:r>
    </w:p>
    <w:p w14:paraId="57EBD4BE">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图5-4  低氮燃烧器结构示意图</w:t>
      </w:r>
    </w:p>
    <w:p w14:paraId="1517E12B">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本项目低氮燃烧器属于国内领先水平，对NOx去除效率以50%计。</w:t>
      </w:r>
    </w:p>
    <w:p w14:paraId="791624EF">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②SNCR（尿素喷淋）脱硝原理</w:t>
      </w:r>
    </w:p>
    <w:p w14:paraId="2045CA79">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SNCR脱硝技术即选择性非催化还原，是一种不用催化剂，在850℃~1050℃的温度范围内，将含氨基的还原剂（如氨水、尿素溶液等）喷入炉内，将烟气中的NOx还原脱除，生成氮气和水的清洁脱硝技术。</w:t>
      </w:r>
    </w:p>
    <w:p w14:paraId="6A814AC0">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本项目采用尿素脱硝，使用安全方便，而且反应时间比较短。尿素脱硝最适合温度850℃~1050℃，在炉中SNCR的一般喷射温度在900℃左右，温度适宜。</w:t>
      </w:r>
    </w:p>
    <w:p w14:paraId="6A814AC1">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氨逃逸成因‌：如果‌温度过低‌（&lt;900℃），尿素分解不完全，未反应的尿素或中间产物会直接逃逸；如果‌温度过高‌（&gt;1100℃），生成的氨气会被氧化重新变成NOx，或者因反应时间不足而直接穿过炉膛。因此，必须严格控制氨的逃逸率，相关措施如下：</w:t>
      </w:r>
    </w:p>
    <w:p w14:paraId="6A814AC2">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利用</w:t>
      </w:r>
      <w:bookmarkStart w:id="92" w:name="OLE_LINK4"/>
      <w:r>
        <w:rPr>
          <w:rFonts w:hint="eastAsia" w:hAnsi="宋体" w:eastAsia="宋体"/>
          <w:color w:val="auto"/>
          <w:sz w:val="24"/>
          <w:szCs w:val="22"/>
          <w:lang w:val="en-US" w:eastAsia="zh-CN"/>
        </w:rPr>
        <w:t>CFD</w:t>
      </w:r>
      <w:bookmarkEnd w:id="92"/>
      <w:r>
        <w:rPr>
          <w:rFonts w:hint="eastAsia" w:hAnsi="宋体" w:eastAsia="宋体"/>
          <w:color w:val="auto"/>
          <w:sz w:val="24"/>
          <w:szCs w:val="22"/>
          <w:lang w:val="en-US" w:eastAsia="zh-CN"/>
        </w:rPr>
        <w:t>（计算液体力学）模拟确定最佳喷射高度，确保尿素喷入900℃-1100℃的核心温区。采用多层喷枪设计，根据锅炉负荷动态调整各层喷枪的开启数量和流量，适应温度场变化。</w:t>
      </w:r>
    </w:p>
    <w:p w14:paraId="35B343F4">
      <w:pPr>
        <w:spacing w:line="360" w:lineRule="auto"/>
        <w:ind w:firstLine="480" w:firstLineChars="200"/>
        <w:rPr>
          <w:rFonts w:hint="default" w:hAnsi="宋体" w:eastAsia="宋体"/>
          <w:color w:val="auto"/>
          <w:sz w:val="24"/>
          <w:szCs w:val="22"/>
          <w:lang w:val="en-US" w:eastAsia="zh-CN"/>
        </w:rPr>
      </w:pPr>
      <w:r>
        <w:rPr>
          <w:rFonts w:hint="eastAsia" w:hAnsi="宋体" w:eastAsia="宋体"/>
          <w:color w:val="auto"/>
          <w:sz w:val="24"/>
          <w:szCs w:val="22"/>
          <w:lang w:val="en-US" w:eastAsia="zh-CN"/>
        </w:rPr>
        <w:t>③余热回收</w:t>
      </w:r>
    </w:p>
    <w:p w14:paraId="0CDE14EB">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本项目</w:t>
      </w:r>
      <w:r>
        <w:rPr>
          <w:rFonts w:hint="default" w:hAnsi="宋体" w:eastAsia="宋体"/>
          <w:color w:val="auto"/>
          <w:sz w:val="24"/>
          <w:szCs w:val="22"/>
          <w:lang w:val="en-US" w:eastAsia="zh-CN"/>
        </w:rPr>
        <w:t>‌锅炉废气余热回收</w:t>
      </w:r>
      <w:r>
        <w:rPr>
          <w:rFonts w:hint="eastAsia" w:hAnsi="宋体" w:eastAsia="宋体"/>
          <w:color w:val="auto"/>
          <w:sz w:val="24"/>
          <w:szCs w:val="22"/>
          <w:lang w:val="en-US" w:eastAsia="zh-CN"/>
        </w:rPr>
        <w:t>采用</w:t>
      </w:r>
      <w:r>
        <w:rPr>
          <w:rFonts w:hint="default" w:hAnsi="宋体" w:eastAsia="宋体"/>
          <w:color w:val="auto"/>
          <w:sz w:val="24"/>
          <w:szCs w:val="22"/>
          <w:lang w:val="en-US" w:eastAsia="zh-CN"/>
        </w:rPr>
        <w:t>高温段燃料干燥+低温段深度冷凝‌。生物质燃烧产生的烟气温度通常在200℃-400℃，在锅炉进料口设置干燥机，利用高温过热烟气直接接触生物质燃料，将其含水率从30%降至15%以下。这不仅减少了燃料入炉后蒸发水分消耗的热量，还提升了燃烧稳定性，从源头降低了烟气中的水蒸气含量。低温段深度冷凝与防腐设计</w:t>
      </w:r>
      <w:r>
        <w:rPr>
          <w:rFonts w:hint="eastAsia" w:hAnsi="宋体" w:eastAsia="宋体"/>
          <w:color w:val="auto"/>
          <w:sz w:val="24"/>
          <w:szCs w:val="22"/>
          <w:lang w:val="en-US" w:eastAsia="zh-CN"/>
        </w:rPr>
        <w:t>，</w:t>
      </w:r>
      <w:r>
        <w:rPr>
          <w:rFonts w:hint="default" w:hAnsi="宋体" w:eastAsia="宋体"/>
          <w:color w:val="auto"/>
          <w:sz w:val="24"/>
          <w:szCs w:val="22"/>
          <w:lang w:val="en-US" w:eastAsia="zh-CN"/>
        </w:rPr>
        <w:t>采用多级烟气冷凝装置，将排烟温度降至30℃-50℃。</w:t>
      </w:r>
    </w:p>
    <w:p w14:paraId="79B474EB">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④多管旋风除尘器</w:t>
      </w:r>
    </w:p>
    <w:p w14:paraId="3CEEBBBA">
      <w:pPr>
        <w:spacing w:line="360" w:lineRule="auto"/>
        <w:ind w:firstLine="480" w:firstLineChars="200"/>
        <w:rPr>
          <w:rFonts w:hint="eastAsia" w:hAnsi="宋体" w:eastAsia="宋体"/>
          <w:color w:val="auto"/>
          <w:sz w:val="24"/>
          <w:szCs w:val="22"/>
          <w:lang w:val="en-US" w:eastAsia="zh-CN"/>
        </w:rPr>
      </w:pPr>
      <w:r>
        <w:rPr>
          <w:rFonts w:hint="eastAsia" w:hAnsi="宋体" w:eastAsia="宋体"/>
          <w:color w:val="auto"/>
          <w:sz w:val="24"/>
          <w:szCs w:val="22"/>
          <w:lang w:val="en-US" w:eastAsia="zh-CN"/>
        </w:rPr>
        <w:t>管旋风除尘器主要依赖于气流的旋转运动和离心力的作用。当含尘气流通过切线方向进入除尘器时，气流开始在内部进行旋转运动。在旋转过程中，气流中的尘粒受到离心力的作用，被甩向外壁。由于离心力可以达到重力的5到2500倍，因此能够有效地将尘粒从气流中分离出来。分离后的尘粒一旦接触到器壁，就会失去惯性力，依靠自身的重力和气流的动量沿着壁面下滑，最终落入集尘室。净化后的气体则通过排气管排出除尘器。多管旋风除尘器的结构特点包括筒体、锥体和进排气管等组成部分。多管设计使得多个旋风除尘器并联使用，共享进气室和排气室，以及共用灰斗。</w:t>
      </w:r>
    </w:p>
    <w:p w14:paraId="371F3210">
      <w:pPr>
        <w:pStyle w:val="139"/>
        <w:widowControl/>
        <w:ind w:firstLine="0" w:firstLineChars="0"/>
        <w:jc w:val="center"/>
        <w:rPr>
          <w:rFonts w:ascii="宋体" w:hAnsi="宋体" w:cs="宋体"/>
          <w:sz w:val="21"/>
        </w:rPr>
      </w:pPr>
      <w:r>
        <w:drawing>
          <wp:inline distT="0" distB="0" distL="114300" distR="114300">
            <wp:extent cx="2150110" cy="2425065"/>
            <wp:effectExtent l="0" t="0" r="2540" b="133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2150110" cy="2425065"/>
                    </a:xfrm>
                    <a:prstGeom prst="rect">
                      <a:avLst/>
                    </a:prstGeom>
                    <a:noFill/>
                    <a:ln>
                      <a:noFill/>
                    </a:ln>
                  </pic:spPr>
                </pic:pic>
              </a:graphicData>
            </a:graphic>
          </wp:inline>
        </w:drawing>
      </w:r>
    </w:p>
    <w:p w14:paraId="4CD5D702">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图5-5  多管旋风除尘器结构示意图</w:t>
      </w:r>
    </w:p>
    <w:p w14:paraId="14CFE507">
      <w:pPr>
        <w:widowControl/>
        <w:spacing w:line="460" w:lineRule="exact"/>
        <w:ind w:firstLine="480" w:firstLineChars="200"/>
        <w:jc w:val="both"/>
        <w:rPr>
          <w:rFonts w:hint="eastAsia"/>
          <w:b w:val="0"/>
          <w:bCs w:val="0"/>
          <w:color w:val="auto"/>
          <w:kern w:val="0"/>
          <w:sz w:val="24"/>
          <w:szCs w:val="24"/>
          <w:lang w:val="en-US" w:eastAsia="zh-CN"/>
        </w:rPr>
      </w:pPr>
      <w:r>
        <w:rPr>
          <w:rFonts w:hint="eastAsia"/>
          <w:b w:val="0"/>
          <w:bCs w:val="0"/>
          <w:color w:val="auto"/>
          <w:kern w:val="0"/>
          <w:sz w:val="24"/>
          <w:szCs w:val="24"/>
          <w:lang w:val="en-US" w:eastAsia="zh-CN"/>
        </w:rPr>
        <w:t>主要技术参数如下：</w:t>
      </w:r>
    </w:p>
    <w:p w14:paraId="5C055348">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表5-2  多管旋风除尘器技术参数</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30"/>
        <w:gridCol w:w="3823"/>
      </w:tblGrid>
      <w:tr w14:paraId="59C00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restart"/>
            <w:noWrap w:val="0"/>
            <w:vAlign w:val="center"/>
          </w:tcPr>
          <w:p w14:paraId="05E22B23">
            <w:pPr>
              <w:adjustRightInd w:val="0"/>
              <w:snapToGrid w:val="0"/>
              <w:jc w:val="center"/>
              <w:rPr>
                <w:b/>
                <w:bCs/>
                <w:color w:val="000000"/>
                <w:kern w:val="0"/>
                <w:sz w:val="21"/>
                <w:szCs w:val="21"/>
              </w:rPr>
            </w:pPr>
            <w:r>
              <w:rPr>
                <w:rFonts w:hint="eastAsia" w:cs="宋体"/>
                <w:b/>
                <w:bCs/>
                <w:color w:val="000000"/>
                <w:sz w:val="21"/>
                <w:szCs w:val="21"/>
                <w:lang w:bidi="ar"/>
              </w:rPr>
              <w:t>序号</w:t>
            </w:r>
          </w:p>
        </w:tc>
        <w:tc>
          <w:tcPr>
            <w:tcW w:w="4242" w:type="pct"/>
            <w:gridSpan w:val="2"/>
            <w:noWrap w:val="0"/>
            <w:vAlign w:val="center"/>
          </w:tcPr>
          <w:p w14:paraId="49D1333C">
            <w:pPr>
              <w:adjustRightInd w:val="0"/>
              <w:snapToGrid w:val="0"/>
              <w:jc w:val="center"/>
              <w:rPr>
                <w:rFonts w:cs="宋体"/>
                <w:b/>
                <w:bCs/>
                <w:color w:val="000000"/>
                <w:sz w:val="21"/>
                <w:szCs w:val="21"/>
                <w:lang w:bidi="ar"/>
              </w:rPr>
            </w:pPr>
            <w:r>
              <w:rPr>
                <w:rFonts w:hint="eastAsia" w:cs="宋体"/>
                <w:b/>
                <w:bCs/>
                <w:color w:val="000000"/>
                <w:sz w:val="21"/>
                <w:szCs w:val="21"/>
                <w:lang w:bidi="ar"/>
              </w:rPr>
              <w:t>多管旋风除尘器</w:t>
            </w:r>
          </w:p>
        </w:tc>
      </w:tr>
      <w:tr w14:paraId="5B188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continue"/>
            <w:noWrap w:val="0"/>
            <w:vAlign w:val="center"/>
          </w:tcPr>
          <w:p w14:paraId="5BA1EA42">
            <w:pPr>
              <w:widowControl/>
              <w:jc w:val="left"/>
              <w:rPr>
                <w:rFonts w:ascii="Calibri" w:hAnsi="Calibri"/>
                <w:b/>
                <w:bCs/>
                <w:color w:val="000000"/>
                <w:kern w:val="0"/>
                <w:sz w:val="21"/>
                <w:szCs w:val="21"/>
              </w:rPr>
            </w:pPr>
          </w:p>
        </w:tc>
        <w:tc>
          <w:tcPr>
            <w:tcW w:w="1943" w:type="pct"/>
            <w:noWrap w:val="0"/>
            <w:vAlign w:val="center"/>
          </w:tcPr>
          <w:p w14:paraId="78B106E7">
            <w:pPr>
              <w:adjustRightInd w:val="0"/>
              <w:snapToGrid w:val="0"/>
              <w:jc w:val="center"/>
              <w:rPr>
                <w:b/>
                <w:bCs/>
                <w:color w:val="000000"/>
                <w:kern w:val="0"/>
                <w:sz w:val="21"/>
                <w:szCs w:val="21"/>
              </w:rPr>
            </w:pPr>
            <w:r>
              <w:rPr>
                <w:rFonts w:hint="eastAsia" w:cs="宋体"/>
                <w:b/>
                <w:bCs/>
                <w:color w:val="000000"/>
                <w:sz w:val="21"/>
                <w:szCs w:val="21"/>
                <w:lang w:bidi="ar"/>
              </w:rPr>
              <w:t>名称</w:t>
            </w:r>
          </w:p>
        </w:tc>
        <w:tc>
          <w:tcPr>
            <w:tcW w:w="2299" w:type="pct"/>
            <w:noWrap w:val="0"/>
            <w:vAlign w:val="center"/>
          </w:tcPr>
          <w:p w14:paraId="7AF2507A">
            <w:pPr>
              <w:adjustRightInd w:val="0"/>
              <w:snapToGrid w:val="0"/>
              <w:jc w:val="center"/>
              <w:rPr>
                <w:rFonts w:cs="宋体"/>
                <w:b/>
                <w:bCs/>
                <w:color w:val="000000"/>
                <w:sz w:val="21"/>
                <w:szCs w:val="21"/>
                <w:lang w:bidi="ar"/>
              </w:rPr>
            </w:pPr>
            <w:r>
              <w:rPr>
                <w:rFonts w:hint="eastAsia" w:cs="宋体"/>
                <w:b/>
                <w:bCs/>
                <w:color w:val="000000"/>
                <w:sz w:val="21"/>
                <w:szCs w:val="21"/>
                <w:lang w:bidi="ar"/>
              </w:rPr>
              <w:t>技术参数</w:t>
            </w:r>
          </w:p>
        </w:tc>
      </w:tr>
      <w:tr w14:paraId="56A49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0D7C2AE8">
            <w:pPr>
              <w:adjustRightInd w:val="0"/>
              <w:snapToGrid w:val="0"/>
              <w:jc w:val="center"/>
              <w:rPr>
                <w:color w:val="000000"/>
                <w:kern w:val="0"/>
                <w:sz w:val="21"/>
                <w:szCs w:val="21"/>
              </w:rPr>
            </w:pPr>
            <w:r>
              <w:rPr>
                <w:color w:val="000000"/>
                <w:sz w:val="21"/>
                <w:szCs w:val="21"/>
                <w:lang w:bidi="ar"/>
              </w:rPr>
              <w:t>1</w:t>
            </w:r>
          </w:p>
        </w:tc>
        <w:tc>
          <w:tcPr>
            <w:tcW w:w="1943" w:type="pct"/>
            <w:noWrap w:val="0"/>
            <w:vAlign w:val="center"/>
          </w:tcPr>
          <w:p w14:paraId="1D399CFD">
            <w:pPr>
              <w:adjustRightInd w:val="0"/>
              <w:snapToGrid w:val="0"/>
              <w:jc w:val="center"/>
              <w:rPr>
                <w:color w:val="000000"/>
                <w:kern w:val="0"/>
                <w:sz w:val="21"/>
                <w:szCs w:val="21"/>
              </w:rPr>
            </w:pPr>
            <w:r>
              <w:rPr>
                <w:rFonts w:hint="eastAsia" w:cs="宋体"/>
                <w:color w:val="000000"/>
                <w:sz w:val="21"/>
                <w:szCs w:val="21"/>
                <w:lang w:bidi="ar"/>
              </w:rPr>
              <w:t>处理风量</w:t>
            </w:r>
          </w:p>
        </w:tc>
        <w:tc>
          <w:tcPr>
            <w:tcW w:w="2299" w:type="pct"/>
            <w:noWrap w:val="0"/>
            <w:vAlign w:val="center"/>
          </w:tcPr>
          <w:p w14:paraId="24AE9D51">
            <w:pPr>
              <w:adjustRightInd w:val="0"/>
              <w:snapToGrid w:val="0"/>
              <w:jc w:val="center"/>
              <w:rPr>
                <w:color w:val="000000"/>
                <w:kern w:val="0"/>
                <w:sz w:val="21"/>
                <w:szCs w:val="21"/>
              </w:rPr>
            </w:pPr>
            <w:r>
              <w:rPr>
                <w:rFonts w:hint="eastAsia"/>
                <w:color w:val="000000"/>
                <w:sz w:val="21"/>
                <w:szCs w:val="21"/>
                <w:lang w:val="en-US" w:eastAsia="zh-CN" w:bidi="ar"/>
              </w:rPr>
              <w:t>7</w:t>
            </w:r>
            <w:r>
              <w:rPr>
                <w:rFonts w:hint="eastAsia"/>
                <w:color w:val="000000"/>
                <w:sz w:val="21"/>
                <w:szCs w:val="21"/>
                <w:lang w:bidi="ar"/>
              </w:rPr>
              <w:t>000</w:t>
            </w:r>
            <w:r>
              <w:rPr>
                <w:color w:val="000000"/>
                <w:kern w:val="0"/>
                <w:sz w:val="21"/>
                <w:szCs w:val="21"/>
                <w:lang w:bidi="ar"/>
              </w:rPr>
              <w:t>m</w:t>
            </w:r>
            <w:r>
              <w:rPr>
                <w:color w:val="000000"/>
                <w:kern w:val="0"/>
                <w:sz w:val="21"/>
                <w:szCs w:val="21"/>
                <w:vertAlign w:val="superscript"/>
                <w:lang w:bidi="ar"/>
              </w:rPr>
              <w:t>3</w:t>
            </w:r>
            <w:r>
              <w:rPr>
                <w:color w:val="000000"/>
                <w:kern w:val="0"/>
                <w:sz w:val="21"/>
                <w:szCs w:val="21"/>
                <w:lang w:bidi="ar"/>
              </w:rPr>
              <w:t>/h</w:t>
            </w:r>
          </w:p>
        </w:tc>
      </w:tr>
      <w:tr w14:paraId="57347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5CC5B3A5">
            <w:pPr>
              <w:adjustRightInd w:val="0"/>
              <w:snapToGrid w:val="0"/>
              <w:jc w:val="center"/>
              <w:rPr>
                <w:color w:val="000000"/>
                <w:kern w:val="0"/>
                <w:sz w:val="21"/>
                <w:szCs w:val="21"/>
              </w:rPr>
            </w:pPr>
            <w:r>
              <w:rPr>
                <w:color w:val="000000"/>
                <w:sz w:val="21"/>
                <w:szCs w:val="21"/>
                <w:lang w:bidi="ar"/>
              </w:rPr>
              <w:t>2</w:t>
            </w:r>
          </w:p>
        </w:tc>
        <w:tc>
          <w:tcPr>
            <w:tcW w:w="1943" w:type="pct"/>
            <w:noWrap w:val="0"/>
            <w:vAlign w:val="center"/>
          </w:tcPr>
          <w:p w14:paraId="7198A29E">
            <w:pPr>
              <w:adjustRightInd w:val="0"/>
              <w:snapToGrid w:val="0"/>
              <w:jc w:val="center"/>
              <w:rPr>
                <w:color w:val="000000"/>
                <w:kern w:val="0"/>
                <w:sz w:val="21"/>
                <w:szCs w:val="21"/>
              </w:rPr>
            </w:pPr>
            <w:r>
              <w:rPr>
                <w:rFonts w:hint="eastAsia" w:cs="宋体"/>
                <w:color w:val="000000"/>
                <w:sz w:val="21"/>
                <w:szCs w:val="21"/>
                <w:lang w:bidi="ar"/>
              </w:rPr>
              <w:t>设计压损</w:t>
            </w:r>
          </w:p>
        </w:tc>
        <w:tc>
          <w:tcPr>
            <w:tcW w:w="2299" w:type="pct"/>
            <w:noWrap w:val="0"/>
            <w:vAlign w:val="center"/>
          </w:tcPr>
          <w:p w14:paraId="5A22D6ED">
            <w:pPr>
              <w:adjustRightInd w:val="0"/>
              <w:snapToGrid w:val="0"/>
              <w:jc w:val="center"/>
              <w:rPr>
                <w:color w:val="000000"/>
                <w:kern w:val="0"/>
                <w:sz w:val="21"/>
                <w:szCs w:val="21"/>
              </w:rPr>
            </w:pPr>
            <w:r>
              <w:rPr>
                <w:rFonts w:hint="eastAsia" w:cs="宋体"/>
                <w:color w:val="000000"/>
                <w:sz w:val="21"/>
                <w:szCs w:val="21"/>
                <w:lang w:bidi="ar"/>
              </w:rPr>
              <w:t>≤</w:t>
            </w:r>
            <w:r>
              <w:rPr>
                <w:color w:val="000000"/>
                <w:sz w:val="21"/>
                <w:szCs w:val="21"/>
                <w:lang w:bidi="ar"/>
              </w:rPr>
              <w:t>120pa</w:t>
            </w:r>
          </w:p>
        </w:tc>
      </w:tr>
      <w:tr w14:paraId="1D64F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677B2AA3">
            <w:pPr>
              <w:adjustRightInd w:val="0"/>
              <w:snapToGrid w:val="0"/>
              <w:jc w:val="center"/>
              <w:rPr>
                <w:color w:val="000000"/>
                <w:kern w:val="0"/>
                <w:sz w:val="21"/>
                <w:szCs w:val="21"/>
              </w:rPr>
            </w:pPr>
            <w:r>
              <w:rPr>
                <w:color w:val="000000"/>
                <w:sz w:val="21"/>
                <w:szCs w:val="21"/>
                <w:lang w:bidi="ar"/>
              </w:rPr>
              <w:t>3</w:t>
            </w:r>
          </w:p>
        </w:tc>
        <w:tc>
          <w:tcPr>
            <w:tcW w:w="1943" w:type="pct"/>
            <w:noWrap w:val="0"/>
            <w:vAlign w:val="center"/>
          </w:tcPr>
          <w:p w14:paraId="1747558F">
            <w:pPr>
              <w:adjustRightInd w:val="0"/>
              <w:snapToGrid w:val="0"/>
              <w:jc w:val="center"/>
              <w:rPr>
                <w:color w:val="000000"/>
                <w:kern w:val="0"/>
                <w:sz w:val="21"/>
                <w:szCs w:val="21"/>
              </w:rPr>
            </w:pPr>
            <w:r>
              <w:rPr>
                <w:rFonts w:hint="eastAsia" w:cs="宋体"/>
                <w:color w:val="000000"/>
                <w:sz w:val="21"/>
                <w:szCs w:val="21"/>
                <w:lang w:bidi="ar"/>
              </w:rPr>
              <w:t>最高操作温度</w:t>
            </w:r>
          </w:p>
        </w:tc>
        <w:tc>
          <w:tcPr>
            <w:tcW w:w="2299" w:type="pct"/>
            <w:noWrap w:val="0"/>
            <w:vAlign w:val="center"/>
          </w:tcPr>
          <w:p w14:paraId="7A7C5AB1">
            <w:pPr>
              <w:adjustRightInd w:val="0"/>
              <w:snapToGrid w:val="0"/>
              <w:jc w:val="center"/>
              <w:rPr>
                <w:color w:val="000000"/>
                <w:kern w:val="0"/>
                <w:sz w:val="21"/>
                <w:szCs w:val="21"/>
              </w:rPr>
            </w:pPr>
            <w:r>
              <w:rPr>
                <w:color w:val="000000"/>
                <w:sz w:val="21"/>
                <w:szCs w:val="21"/>
                <w:lang w:bidi="ar"/>
              </w:rPr>
              <w:t>120</w:t>
            </w:r>
            <w:r>
              <w:rPr>
                <w:rFonts w:hint="eastAsia" w:cs="宋体"/>
                <w:color w:val="000000"/>
                <w:sz w:val="21"/>
                <w:szCs w:val="21"/>
                <w:lang w:bidi="ar"/>
              </w:rPr>
              <w:t>℃</w:t>
            </w:r>
          </w:p>
        </w:tc>
      </w:tr>
      <w:tr w14:paraId="74276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3D869DF4">
            <w:pPr>
              <w:adjustRightInd w:val="0"/>
              <w:snapToGrid w:val="0"/>
              <w:jc w:val="center"/>
              <w:rPr>
                <w:color w:val="000000"/>
                <w:kern w:val="0"/>
                <w:sz w:val="21"/>
                <w:szCs w:val="21"/>
              </w:rPr>
            </w:pPr>
            <w:r>
              <w:rPr>
                <w:color w:val="000000"/>
                <w:sz w:val="21"/>
                <w:szCs w:val="21"/>
                <w:lang w:bidi="ar"/>
              </w:rPr>
              <w:t>4</w:t>
            </w:r>
          </w:p>
        </w:tc>
        <w:tc>
          <w:tcPr>
            <w:tcW w:w="1943" w:type="pct"/>
            <w:noWrap w:val="0"/>
            <w:vAlign w:val="center"/>
          </w:tcPr>
          <w:p w14:paraId="5BAB000A">
            <w:pPr>
              <w:adjustRightInd w:val="0"/>
              <w:snapToGrid w:val="0"/>
              <w:jc w:val="center"/>
              <w:rPr>
                <w:color w:val="000000"/>
                <w:kern w:val="0"/>
                <w:sz w:val="21"/>
                <w:szCs w:val="21"/>
              </w:rPr>
            </w:pPr>
            <w:r>
              <w:rPr>
                <w:rFonts w:hint="eastAsia" w:cs="宋体"/>
                <w:color w:val="000000"/>
                <w:sz w:val="21"/>
                <w:szCs w:val="21"/>
                <w:lang w:bidi="ar"/>
              </w:rPr>
              <w:t>材质</w:t>
            </w:r>
          </w:p>
        </w:tc>
        <w:tc>
          <w:tcPr>
            <w:tcW w:w="2299" w:type="pct"/>
            <w:noWrap w:val="0"/>
            <w:vAlign w:val="center"/>
          </w:tcPr>
          <w:p w14:paraId="2B6E1DF9">
            <w:pPr>
              <w:adjustRightInd w:val="0"/>
              <w:snapToGrid w:val="0"/>
              <w:jc w:val="center"/>
              <w:rPr>
                <w:color w:val="000000"/>
                <w:kern w:val="0"/>
                <w:sz w:val="21"/>
                <w:szCs w:val="21"/>
              </w:rPr>
            </w:pPr>
            <w:r>
              <w:rPr>
                <w:color w:val="000000"/>
                <w:sz w:val="21"/>
                <w:szCs w:val="21"/>
                <w:lang w:bidi="ar"/>
              </w:rPr>
              <w:t>SUS304*4mm</w:t>
            </w:r>
          </w:p>
        </w:tc>
      </w:tr>
      <w:tr w14:paraId="3032E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2979B54F">
            <w:pPr>
              <w:adjustRightInd w:val="0"/>
              <w:snapToGrid w:val="0"/>
              <w:jc w:val="center"/>
              <w:rPr>
                <w:color w:val="000000"/>
                <w:kern w:val="0"/>
                <w:sz w:val="21"/>
                <w:szCs w:val="21"/>
              </w:rPr>
            </w:pPr>
            <w:r>
              <w:rPr>
                <w:color w:val="000000"/>
                <w:sz w:val="21"/>
                <w:szCs w:val="21"/>
                <w:lang w:bidi="ar"/>
              </w:rPr>
              <w:t>5</w:t>
            </w:r>
          </w:p>
        </w:tc>
        <w:tc>
          <w:tcPr>
            <w:tcW w:w="1943" w:type="pct"/>
            <w:noWrap w:val="0"/>
            <w:vAlign w:val="center"/>
          </w:tcPr>
          <w:p w14:paraId="0DD3A9C1">
            <w:pPr>
              <w:adjustRightInd w:val="0"/>
              <w:snapToGrid w:val="0"/>
              <w:jc w:val="center"/>
              <w:rPr>
                <w:color w:val="000000"/>
                <w:kern w:val="0"/>
                <w:sz w:val="21"/>
                <w:szCs w:val="21"/>
              </w:rPr>
            </w:pPr>
            <w:r>
              <w:rPr>
                <w:rFonts w:hint="eastAsia" w:cs="宋体"/>
                <w:color w:val="000000"/>
                <w:sz w:val="21"/>
                <w:szCs w:val="21"/>
                <w:lang w:bidi="ar"/>
              </w:rPr>
              <w:t>支架材质</w:t>
            </w:r>
          </w:p>
        </w:tc>
        <w:tc>
          <w:tcPr>
            <w:tcW w:w="2299" w:type="pct"/>
            <w:noWrap w:val="0"/>
            <w:vAlign w:val="center"/>
          </w:tcPr>
          <w:p w14:paraId="36D70A71">
            <w:pPr>
              <w:adjustRightInd w:val="0"/>
              <w:snapToGrid w:val="0"/>
              <w:jc w:val="center"/>
              <w:rPr>
                <w:color w:val="000000"/>
                <w:kern w:val="0"/>
                <w:sz w:val="21"/>
                <w:szCs w:val="21"/>
              </w:rPr>
            </w:pPr>
            <w:r>
              <w:rPr>
                <w:color w:val="000000"/>
                <w:sz w:val="21"/>
                <w:szCs w:val="21"/>
                <w:lang w:bidi="ar"/>
              </w:rPr>
              <w:t>Q235B</w:t>
            </w:r>
          </w:p>
        </w:tc>
      </w:tr>
      <w:tr w14:paraId="4F552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0146ACD9">
            <w:pPr>
              <w:adjustRightInd w:val="0"/>
              <w:snapToGrid w:val="0"/>
              <w:jc w:val="center"/>
              <w:rPr>
                <w:color w:val="000000"/>
                <w:kern w:val="0"/>
                <w:sz w:val="21"/>
                <w:szCs w:val="21"/>
              </w:rPr>
            </w:pPr>
            <w:r>
              <w:rPr>
                <w:color w:val="000000"/>
                <w:sz w:val="21"/>
                <w:szCs w:val="21"/>
                <w:lang w:bidi="ar"/>
              </w:rPr>
              <w:t>6</w:t>
            </w:r>
          </w:p>
        </w:tc>
        <w:tc>
          <w:tcPr>
            <w:tcW w:w="1943" w:type="pct"/>
            <w:noWrap w:val="0"/>
            <w:vAlign w:val="center"/>
          </w:tcPr>
          <w:p w14:paraId="0D54254E">
            <w:pPr>
              <w:adjustRightInd w:val="0"/>
              <w:snapToGrid w:val="0"/>
              <w:jc w:val="center"/>
              <w:rPr>
                <w:color w:val="000000"/>
                <w:kern w:val="0"/>
                <w:sz w:val="21"/>
                <w:szCs w:val="21"/>
              </w:rPr>
            </w:pPr>
            <w:r>
              <w:rPr>
                <w:rFonts w:hint="eastAsia" w:cs="宋体"/>
                <w:color w:val="000000"/>
                <w:sz w:val="21"/>
                <w:szCs w:val="21"/>
                <w:lang w:bidi="ar"/>
              </w:rPr>
              <w:t>设计除尘器尺寸</w:t>
            </w:r>
          </w:p>
        </w:tc>
        <w:tc>
          <w:tcPr>
            <w:tcW w:w="2299" w:type="pct"/>
            <w:noWrap w:val="0"/>
            <w:vAlign w:val="center"/>
          </w:tcPr>
          <w:p w14:paraId="3433C6BD">
            <w:pPr>
              <w:adjustRightInd w:val="0"/>
              <w:snapToGrid w:val="0"/>
              <w:jc w:val="center"/>
              <w:rPr>
                <w:color w:val="000000"/>
                <w:kern w:val="0"/>
                <w:sz w:val="21"/>
                <w:szCs w:val="21"/>
              </w:rPr>
            </w:pPr>
            <w:r>
              <w:rPr>
                <w:rFonts w:hint="eastAsia" w:ascii="宋体" w:hAnsi="宋体" w:cs="宋体"/>
                <w:color w:val="000000"/>
                <w:sz w:val="21"/>
                <w:szCs w:val="21"/>
                <w:lang w:bidi="ar"/>
              </w:rPr>
              <w:t>∮</w:t>
            </w:r>
            <w:r>
              <w:rPr>
                <w:color w:val="000000"/>
                <w:sz w:val="21"/>
                <w:szCs w:val="21"/>
                <w:lang w:bidi="ar"/>
              </w:rPr>
              <w:t>2100*7500mm</w:t>
            </w:r>
          </w:p>
        </w:tc>
      </w:tr>
      <w:tr w14:paraId="3E2E7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14:paraId="094709D3">
            <w:pPr>
              <w:adjustRightInd w:val="0"/>
              <w:snapToGrid w:val="0"/>
              <w:jc w:val="center"/>
              <w:rPr>
                <w:color w:val="000000"/>
                <w:kern w:val="0"/>
                <w:sz w:val="21"/>
                <w:szCs w:val="21"/>
              </w:rPr>
            </w:pPr>
            <w:r>
              <w:rPr>
                <w:color w:val="000000"/>
                <w:sz w:val="21"/>
                <w:szCs w:val="21"/>
                <w:lang w:bidi="ar"/>
              </w:rPr>
              <w:t>7</w:t>
            </w:r>
          </w:p>
        </w:tc>
        <w:tc>
          <w:tcPr>
            <w:tcW w:w="1943" w:type="pct"/>
            <w:noWrap w:val="0"/>
            <w:vAlign w:val="center"/>
          </w:tcPr>
          <w:p w14:paraId="594A9305">
            <w:pPr>
              <w:adjustRightInd w:val="0"/>
              <w:snapToGrid w:val="0"/>
              <w:jc w:val="center"/>
              <w:rPr>
                <w:color w:val="000000"/>
                <w:kern w:val="0"/>
                <w:sz w:val="21"/>
                <w:szCs w:val="21"/>
              </w:rPr>
            </w:pPr>
            <w:r>
              <w:rPr>
                <w:rFonts w:hint="eastAsia" w:cs="宋体"/>
                <w:color w:val="000000"/>
                <w:sz w:val="21"/>
                <w:szCs w:val="21"/>
                <w:lang w:bidi="ar"/>
              </w:rPr>
              <w:t>处理效率</w:t>
            </w:r>
          </w:p>
        </w:tc>
        <w:tc>
          <w:tcPr>
            <w:tcW w:w="2299" w:type="pct"/>
            <w:noWrap w:val="0"/>
            <w:vAlign w:val="center"/>
          </w:tcPr>
          <w:p w14:paraId="54AF60A5">
            <w:pPr>
              <w:adjustRightInd w:val="0"/>
              <w:snapToGrid w:val="0"/>
              <w:jc w:val="center"/>
              <w:rPr>
                <w:color w:val="000000"/>
                <w:kern w:val="0"/>
                <w:sz w:val="21"/>
                <w:szCs w:val="21"/>
              </w:rPr>
            </w:pPr>
            <w:r>
              <w:rPr>
                <w:rFonts w:hint="eastAsia"/>
                <w:color w:val="000000"/>
                <w:sz w:val="21"/>
                <w:szCs w:val="21"/>
                <w:lang w:val="en-US" w:eastAsia="zh-CN" w:bidi="ar"/>
              </w:rPr>
              <w:t>70</w:t>
            </w:r>
            <w:r>
              <w:rPr>
                <w:color w:val="000000"/>
                <w:sz w:val="21"/>
                <w:szCs w:val="21"/>
                <w:lang w:bidi="ar"/>
              </w:rPr>
              <w:t>%</w:t>
            </w:r>
          </w:p>
        </w:tc>
      </w:tr>
    </w:tbl>
    <w:p w14:paraId="2A97F1E2">
      <w:pPr>
        <w:pStyle w:val="139"/>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⑤布袋除尘原理</w:t>
      </w:r>
    </w:p>
    <w:p w14:paraId="2C4CD41E">
      <w:pPr>
        <w:pStyle w:val="139"/>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布袋除尘器是一种干式滤尘装置。它适用于捕集细小、干燥的粉尘。滤袋采用纺织的滤布或非纺织的毡制成，利用纤维织物的过滤作用对含尘气体进行过滤，当含尘气体进入袋式除尘器内时，颗粒大、比重大的粉尘，由于重力的作用沉降下来，落入灰斗，含有较细小粉尘的气体在通过滤料时，粉尘被阻留，使气体得到净化。具有除尘效率高（一般在99%以上，除尘器出口气体含尘浓度在数十mg/m3之内，对亚微米粒径的细尘有较高的分级效率），处理风量的范围广，结构简单，维护操作方便，对粉尘的特性不敏感，不受粉尘及电阻的影响等优点。而且项目排放的工业粉尘为常温排放，不会对设备的正常运行造成损害。布袋除尘器结构示意图见图5-6，布袋除尘器具体参数见表5-</w:t>
      </w:r>
      <w:r>
        <w:rPr>
          <w:rFonts w:hint="eastAsia" w:hAnsi="宋体" w:cs="Times New Roman"/>
          <w:color w:val="auto"/>
          <w:kern w:val="2"/>
          <w:sz w:val="24"/>
          <w:szCs w:val="22"/>
          <w:lang w:val="en-US" w:eastAsia="zh-CN" w:bidi="ar-SA"/>
        </w:rPr>
        <w:t>3</w:t>
      </w:r>
      <w:r>
        <w:rPr>
          <w:rFonts w:hint="eastAsia" w:ascii="Times New Roman" w:hAnsi="宋体" w:eastAsia="宋体" w:cs="Times New Roman"/>
          <w:color w:val="auto"/>
          <w:kern w:val="2"/>
          <w:sz w:val="24"/>
          <w:szCs w:val="22"/>
          <w:lang w:val="en-US" w:eastAsia="zh-CN" w:bidi="ar-SA"/>
        </w:rPr>
        <w:t>。</w:t>
      </w:r>
    </w:p>
    <w:p w14:paraId="2724DB55">
      <w:pPr>
        <w:jc w:val="center"/>
        <w:rPr>
          <w:rFonts w:hint="eastAsia"/>
        </w:rPr>
      </w:pPr>
      <w:r>
        <w:rPr>
          <w:rFonts w:cs="宋体"/>
          <w:kern w:val="0"/>
          <w:szCs w:val="24"/>
        </w:rPr>
        <w:drawing>
          <wp:inline distT="0" distB="0" distL="114300" distR="114300">
            <wp:extent cx="2372995" cy="2273935"/>
            <wp:effectExtent l="0" t="0" r="8255" b="12065"/>
            <wp:docPr id="9" name="图片 11" descr="3@5%R_5_3NJ%QUKCKA}ZZ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3@5%R_5_3NJ%QUKCKA}ZZQE"/>
                    <pic:cNvPicPr>
                      <a:picLocks noChangeAspect="1"/>
                    </pic:cNvPicPr>
                  </pic:nvPicPr>
                  <pic:blipFill>
                    <a:blip r:embed="rId17"/>
                    <a:stretch>
                      <a:fillRect/>
                    </a:stretch>
                  </pic:blipFill>
                  <pic:spPr>
                    <a:xfrm>
                      <a:off x="0" y="0"/>
                      <a:ext cx="2372995" cy="2273935"/>
                    </a:xfrm>
                    <a:prstGeom prst="rect">
                      <a:avLst/>
                    </a:prstGeom>
                    <a:noFill/>
                    <a:ln>
                      <a:noFill/>
                    </a:ln>
                  </pic:spPr>
                </pic:pic>
              </a:graphicData>
            </a:graphic>
          </wp:inline>
        </w:drawing>
      </w:r>
    </w:p>
    <w:p w14:paraId="6D7BA2E7">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图5-6  布袋除尘器结构示意图</w:t>
      </w:r>
    </w:p>
    <w:p w14:paraId="37573ABF">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表5-3  布袋除尘器设计参数一览表</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495"/>
        <w:gridCol w:w="4818"/>
      </w:tblGrid>
      <w:tr w14:paraId="3F6A5E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5020D2CB">
            <w:pPr>
              <w:adjustRightInd w:val="0"/>
              <w:snapToGrid w:val="0"/>
              <w:jc w:val="center"/>
              <w:rPr>
                <w:b/>
                <w:bCs/>
                <w:sz w:val="21"/>
                <w:szCs w:val="21"/>
              </w:rPr>
            </w:pPr>
            <w:r>
              <w:rPr>
                <w:b/>
                <w:bCs/>
                <w:sz w:val="21"/>
                <w:szCs w:val="21"/>
              </w:rPr>
              <w:t>参数名称</w:t>
            </w:r>
          </w:p>
        </w:tc>
        <w:tc>
          <w:tcPr>
            <w:tcW w:w="2898" w:type="pct"/>
            <w:noWrap w:val="0"/>
            <w:vAlign w:val="center"/>
          </w:tcPr>
          <w:p w14:paraId="017C0B1B">
            <w:pPr>
              <w:adjustRightInd w:val="0"/>
              <w:snapToGrid w:val="0"/>
              <w:jc w:val="center"/>
              <w:rPr>
                <w:b/>
                <w:bCs/>
                <w:sz w:val="21"/>
                <w:szCs w:val="21"/>
              </w:rPr>
            </w:pPr>
            <w:r>
              <w:rPr>
                <w:b/>
                <w:bCs/>
                <w:sz w:val="21"/>
                <w:szCs w:val="21"/>
              </w:rPr>
              <w:t>布袋除尘器技术参数值</w:t>
            </w:r>
          </w:p>
        </w:tc>
      </w:tr>
      <w:tr w14:paraId="6FB126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16B732B6">
            <w:pPr>
              <w:adjustRightInd w:val="0"/>
              <w:snapToGrid w:val="0"/>
              <w:jc w:val="center"/>
              <w:rPr>
                <w:sz w:val="21"/>
                <w:szCs w:val="21"/>
              </w:rPr>
            </w:pPr>
            <w:r>
              <w:rPr>
                <w:sz w:val="21"/>
                <w:szCs w:val="21"/>
              </w:rPr>
              <w:t>设计风量</w:t>
            </w:r>
            <w:r>
              <w:rPr>
                <w:rFonts w:hint="eastAsia"/>
                <w:sz w:val="21"/>
                <w:szCs w:val="21"/>
              </w:rPr>
              <w:t>(</w:t>
            </w:r>
            <w:r>
              <w:rPr>
                <w:sz w:val="21"/>
                <w:szCs w:val="21"/>
              </w:rPr>
              <w:t>Nm</w:t>
            </w:r>
            <w:r>
              <w:rPr>
                <w:sz w:val="21"/>
                <w:szCs w:val="21"/>
                <w:vertAlign w:val="superscript"/>
              </w:rPr>
              <w:t>3</w:t>
            </w:r>
            <w:r>
              <w:rPr>
                <w:sz w:val="21"/>
                <w:szCs w:val="21"/>
              </w:rPr>
              <w:t>/h</w:t>
            </w:r>
            <w:r>
              <w:rPr>
                <w:rFonts w:hint="eastAsia"/>
                <w:sz w:val="21"/>
                <w:szCs w:val="21"/>
              </w:rPr>
              <w:t>)</w:t>
            </w:r>
          </w:p>
        </w:tc>
        <w:tc>
          <w:tcPr>
            <w:tcW w:w="2898" w:type="pct"/>
            <w:noWrap w:val="0"/>
            <w:vAlign w:val="center"/>
          </w:tcPr>
          <w:p w14:paraId="135FECCE">
            <w:pPr>
              <w:adjustRightInd w:val="0"/>
              <w:snapToGrid w:val="0"/>
              <w:jc w:val="center"/>
              <w:rPr>
                <w:rFonts w:hint="eastAsia"/>
                <w:sz w:val="21"/>
                <w:szCs w:val="21"/>
              </w:rPr>
            </w:pPr>
            <w:r>
              <w:rPr>
                <w:rFonts w:hint="eastAsia"/>
                <w:sz w:val="21"/>
                <w:szCs w:val="21"/>
                <w:lang w:val="en-US" w:eastAsia="zh-CN"/>
              </w:rPr>
              <w:t>7</w:t>
            </w:r>
            <w:r>
              <w:rPr>
                <w:rFonts w:hint="eastAsia"/>
                <w:sz w:val="21"/>
                <w:szCs w:val="21"/>
              </w:rPr>
              <w:t>000</w:t>
            </w:r>
          </w:p>
        </w:tc>
      </w:tr>
      <w:tr w14:paraId="6A37BF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177078AA">
            <w:pPr>
              <w:adjustRightInd w:val="0"/>
              <w:snapToGrid w:val="0"/>
              <w:jc w:val="center"/>
              <w:rPr>
                <w:sz w:val="21"/>
                <w:szCs w:val="21"/>
              </w:rPr>
            </w:pPr>
            <w:r>
              <w:rPr>
                <w:rFonts w:hint="eastAsia"/>
                <w:sz w:val="21"/>
                <w:szCs w:val="21"/>
              </w:rPr>
              <w:t>工作温度(</w:t>
            </w:r>
            <w:r>
              <w:rPr>
                <w:sz w:val="21"/>
                <w:szCs w:val="21"/>
              </w:rPr>
              <w:t>℃</w:t>
            </w:r>
            <w:r>
              <w:rPr>
                <w:rFonts w:hint="eastAsia"/>
                <w:sz w:val="21"/>
                <w:szCs w:val="21"/>
              </w:rPr>
              <w:t>)</w:t>
            </w:r>
          </w:p>
        </w:tc>
        <w:tc>
          <w:tcPr>
            <w:tcW w:w="2898" w:type="pct"/>
            <w:noWrap w:val="0"/>
            <w:vAlign w:val="center"/>
          </w:tcPr>
          <w:p w14:paraId="23B7CACC">
            <w:pPr>
              <w:adjustRightInd w:val="0"/>
              <w:snapToGrid w:val="0"/>
              <w:jc w:val="center"/>
              <w:rPr>
                <w:sz w:val="21"/>
                <w:szCs w:val="21"/>
              </w:rPr>
            </w:pPr>
            <w:r>
              <w:rPr>
                <w:rFonts w:hint="eastAsia"/>
                <w:sz w:val="21"/>
                <w:szCs w:val="21"/>
              </w:rPr>
              <w:t>6</w:t>
            </w:r>
            <w:r>
              <w:rPr>
                <w:sz w:val="21"/>
                <w:szCs w:val="21"/>
              </w:rPr>
              <w:t>0</w:t>
            </w:r>
          </w:p>
        </w:tc>
      </w:tr>
      <w:tr w14:paraId="47E328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67832E4D">
            <w:pPr>
              <w:adjustRightInd w:val="0"/>
              <w:snapToGrid w:val="0"/>
              <w:jc w:val="center"/>
              <w:rPr>
                <w:sz w:val="21"/>
                <w:szCs w:val="21"/>
              </w:rPr>
            </w:pPr>
            <w:r>
              <w:rPr>
                <w:sz w:val="21"/>
                <w:szCs w:val="21"/>
              </w:rPr>
              <w:t>过滤风速</w:t>
            </w:r>
            <w:r>
              <w:rPr>
                <w:rFonts w:hint="eastAsia"/>
                <w:sz w:val="21"/>
                <w:szCs w:val="21"/>
              </w:rPr>
              <w:t>(</w:t>
            </w:r>
            <w:r>
              <w:rPr>
                <w:sz w:val="21"/>
                <w:szCs w:val="21"/>
              </w:rPr>
              <w:t>m/min</w:t>
            </w:r>
            <w:r>
              <w:rPr>
                <w:rFonts w:hint="eastAsia"/>
                <w:sz w:val="21"/>
                <w:szCs w:val="21"/>
              </w:rPr>
              <w:t>)</w:t>
            </w:r>
          </w:p>
        </w:tc>
        <w:tc>
          <w:tcPr>
            <w:tcW w:w="2898" w:type="pct"/>
            <w:noWrap w:val="0"/>
            <w:vAlign w:val="center"/>
          </w:tcPr>
          <w:p w14:paraId="43643303">
            <w:pPr>
              <w:adjustRightInd w:val="0"/>
              <w:snapToGrid w:val="0"/>
              <w:jc w:val="center"/>
              <w:rPr>
                <w:sz w:val="21"/>
                <w:szCs w:val="21"/>
              </w:rPr>
            </w:pPr>
            <w:r>
              <w:rPr>
                <w:rFonts w:hint="eastAsia"/>
                <w:sz w:val="21"/>
                <w:szCs w:val="21"/>
              </w:rPr>
              <w:t>1</w:t>
            </w:r>
            <w:r>
              <w:rPr>
                <w:sz w:val="21"/>
                <w:szCs w:val="21"/>
              </w:rPr>
              <w:t>.0</w:t>
            </w:r>
          </w:p>
        </w:tc>
      </w:tr>
      <w:tr w14:paraId="6EF130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14F4F715">
            <w:pPr>
              <w:adjustRightInd w:val="0"/>
              <w:snapToGrid w:val="0"/>
              <w:jc w:val="center"/>
              <w:rPr>
                <w:sz w:val="21"/>
                <w:szCs w:val="21"/>
              </w:rPr>
            </w:pPr>
            <w:r>
              <w:rPr>
                <w:sz w:val="21"/>
                <w:szCs w:val="21"/>
              </w:rPr>
              <w:t>总过滤面积</w:t>
            </w:r>
            <w:r>
              <w:rPr>
                <w:rFonts w:hint="eastAsia"/>
                <w:sz w:val="21"/>
                <w:szCs w:val="21"/>
              </w:rPr>
              <w:t>(</w:t>
            </w:r>
            <w:r>
              <w:rPr>
                <w:sz w:val="21"/>
                <w:szCs w:val="21"/>
              </w:rPr>
              <w:t>m</w:t>
            </w:r>
            <w:r>
              <w:rPr>
                <w:sz w:val="21"/>
                <w:szCs w:val="21"/>
                <w:vertAlign w:val="superscript"/>
              </w:rPr>
              <w:t>2</w:t>
            </w:r>
            <w:r>
              <w:rPr>
                <w:rFonts w:hint="eastAsia"/>
                <w:sz w:val="21"/>
                <w:szCs w:val="21"/>
              </w:rPr>
              <w:t>)</w:t>
            </w:r>
          </w:p>
        </w:tc>
        <w:tc>
          <w:tcPr>
            <w:tcW w:w="2898" w:type="pct"/>
            <w:noWrap w:val="0"/>
            <w:vAlign w:val="center"/>
          </w:tcPr>
          <w:p w14:paraId="4D19C0E5">
            <w:pPr>
              <w:adjustRightInd w:val="0"/>
              <w:snapToGrid w:val="0"/>
              <w:jc w:val="center"/>
              <w:rPr>
                <w:sz w:val="21"/>
                <w:szCs w:val="21"/>
              </w:rPr>
            </w:pPr>
            <w:r>
              <w:rPr>
                <w:rFonts w:hint="eastAsia"/>
                <w:sz w:val="21"/>
                <w:szCs w:val="21"/>
              </w:rPr>
              <w:t>143</w:t>
            </w:r>
          </w:p>
        </w:tc>
      </w:tr>
      <w:tr w14:paraId="5F230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4A52E712">
            <w:pPr>
              <w:adjustRightInd w:val="0"/>
              <w:snapToGrid w:val="0"/>
              <w:jc w:val="center"/>
              <w:rPr>
                <w:sz w:val="21"/>
                <w:szCs w:val="21"/>
              </w:rPr>
            </w:pPr>
            <w:r>
              <w:rPr>
                <w:sz w:val="21"/>
                <w:szCs w:val="21"/>
              </w:rPr>
              <w:t>滤袋规格</w:t>
            </w:r>
            <w:r>
              <w:rPr>
                <w:rFonts w:hint="eastAsia"/>
                <w:sz w:val="21"/>
                <w:szCs w:val="21"/>
              </w:rPr>
              <w:t>(</w:t>
            </w:r>
            <w:r>
              <w:rPr>
                <w:sz w:val="21"/>
                <w:szCs w:val="21"/>
              </w:rPr>
              <w:t>mm</w:t>
            </w:r>
            <w:r>
              <w:rPr>
                <w:rFonts w:hint="eastAsia"/>
                <w:sz w:val="21"/>
                <w:szCs w:val="21"/>
              </w:rPr>
              <w:t>)</w:t>
            </w:r>
          </w:p>
        </w:tc>
        <w:tc>
          <w:tcPr>
            <w:tcW w:w="2898" w:type="pct"/>
            <w:noWrap w:val="0"/>
            <w:vAlign w:val="center"/>
          </w:tcPr>
          <w:p w14:paraId="28F12892">
            <w:pPr>
              <w:adjustRightInd w:val="0"/>
              <w:snapToGrid w:val="0"/>
              <w:jc w:val="center"/>
              <w:rPr>
                <w:sz w:val="21"/>
                <w:szCs w:val="21"/>
              </w:rPr>
            </w:pPr>
            <w:r>
              <w:rPr>
                <w:sz w:val="21"/>
                <w:szCs w:val="21"/>
              </w:rPr>
              <w:t>Φ160×2500</w:t>
            </w:r>
          </w:p>
        </w:tc>
      </w:tr>
      <w:tr w14:paraId="2A5FD1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250AC5DE">
            <w:pPr>
              <w:adjustRightInd w:val="0"/>
              <w:snapToGrid w:val="0"/>
              <w:jc w:val="center"/>
              <w:rPr>
                <w:sz w:val="21"/>
                <w:szCs w:val="21"/>
              </w:rPr>
            </w:pPr>
            <w:r>
              <w:rPr>
                <w:sz w:val="21"/>
                <w:szCs w:val="21"/>
              </w:rPr>
              <w:t>布袋数量</w:t>
            </w:r>
          </w:p>
        </w:tc>
        <w:tc>
          <w:tcPr>
            <w:tcW w:w="2898" w:type="pct"/>
            <w:noWrap w:val="0"/>
            <w:vAlign w:val="center"/>
          </w:tcPr>
          <w:p w14:paraId="205E4481">
            <w:pPr>
              <w:adjustRightInd w:val="0"/>
              <w:snapToGrid w:val="0"/>
              <w:jc w:val="center"/>
              <w:rPr>
                <w:sz w:val="21"/>
                <w:szCs w:val="21"/>
              </w:rPr>
            </w:pPr>
            <w:r>
              <w:rPr>
                <w:rFonts w:hint="eastAsia"/>
                <w:sz w:val="21"/>
                <w:szCs w:val="21"/>
              </w:rPr>
              <w:t>136</w:t>
            </w:r>
          </w:p>
        </w:tc>
      </w:tr>
      <w:tr w14:paraId="2D9C0D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6F104454">
            <w:pPr>
              <w:adjustRightInd w:val="0"/>
              <w:snapToGrid w:val="0"/>
              <w:jc w:val="center"/>
              <w:rPr>
                <w:sz w:val="21"/>
                <w:szCs w:val="21"/>
              </w:rPr>
            </w:pPr>
            <w:r>
              <w:rPr>
                <w:sz w:val="21"/>
                <w:szCs w:val="21"/>
              </w:rPr>
              <w:t>设备阻力</w:t>
            </w:r>
            <w:r>
              <w:rPr>
                <w:rFonts w:hint="eastAsia"/>
                <w:sz w:val="21"/>
                <w:szCs w:val="21"/>
              </w:rPr>
              <w:t>(</w:t>
            </w:r>
            <w:r>
              <w:rPr>
                <w:sz w:val="21"/>
                <w:szCs w:val="21"/>
              </w:rPr>
              <w:t>pa</w:t>
            </w:r>
            <w:r>
              <w:rPr>
                <w:rFonts w:hint="eastAsia"/>
                <w:sz w:val="21"/>
                <w:szCs w:val="21"/>
              </w:rPr>
              <w:t>)</w:t>
            </w:r>
          </w:p>
        </w:tc>
        <w:tc>
          <w:tcPr>
            <w:tcW w:w="2898" w:type="pct"/>
            <w:noWrap w:val="0"/>
            <w:vAlign w:val="center"/>
          </w:tcPr>
          <w:p w14:paraId="7D4DEA6E">
            <w:pPr>
              <w:adjustRightInd w:val="0"/>
              <w:snapToGrid w:val="0"/>
              <w:jc w:val="center"/>
              <w:rPr>
                <w:sz w:val="21"/>
                <w:szCs w:val="21"/>
              </w:rPr>
            </w:pPr>
            <w:r>
              <w:rPr>
                <w:rFonts w:hint="eastAsia"/>
                <w:sz w:val="21"/>
                <w:szCs w:val="21"/>
              </w:rPr>
              <w:t>1</w:t>
            </w:r>
            <w:r>
              <w:rPr>
                <w:sz w:val="21"/>
                <w:szCs w:val="21"/>
              </w:rPr>
              <w:t>200</w:t>
            </w:r>
          </w:p>
        </w:tc>
      </w:tr>
      <w:tr w14:paraId="41575F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3098EC2E">
            <w:pPr>
              <w:adjustRightInd w:val="0"/>
              <w:snapToGrid w:val="0"/>
              <w:jc w:val="center"/>
              <w:rPr>
                <w:sz w:val="21"/>
                <w:szCs w:val="21"/>
              </w:rPr>
            </w:pPr>
            <w:r>
              <w:rPr>
                <w:rFonts w:hint="eastAsia"/>
                <w:sz w:val="21"/>
                <w:szCs w:val="21"/>
              </w:rPr>
              <w:t>处理效率(%)</w:t>
            </w:r>
          </w:p>
        </w:tc>
        <w:tc>
          <w:tcPr>
            <w:tcW w:w="2898" w:type="pct"/>
            <w:noWrap w:val="0"/>
            <w:vAlign w:val="center"/>
          </w:tcPr>
          <w:p w14:paraId="3B20629F">
            <w:pPr>
              <w:adjustRightInd w:val="0"/>
              <w:snapToGrid w:val="0"/>
              <w:jc w:val="center"/>
              <w:rPr>
                <w:rFonts w:hint="default" w:eastAsia="宋体"/>
                <w:sz w:val="21"/>
                <w:szCs w:val="21"/>
                <w:lang w:val="en-US" w:eastAsia="zh-CN"/>
              </w:rPr>
            </w:pPr>
            <w:r>
              <w:rPr>
                <w:rFonts w:hint="eastAsia"/>
                <w:sz w:val="21"/>
                <w:szCs w:val="21"/>
              </w:rPr>
              <w:t>9</w:t>
            </w:r>
            <w:r>
              <w:rPr>
                <w:rFonts w:hint="eastAsia"/>
                <w:sz w:val="21"/>
                <w:szCs w:val="21"/>
                <w:lang w:val="en-US" w:eastAsia="zh-CN"/>
              </w:rPr>
              <w:t>9.7</w:t>
            </w:r>
          </w:p>
        </w:tc>
      </w:tr>
      <w:tr w14:paraId="13121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5F9DD85A">
            <w:pPr>
              <w:adjustRightInd w:val="0"/>
              <w:snapToGrid w:val="0"/>
              <w:jc w:val="center"/>
              <w:rPr>
                <w:sz w:val="21"/>
                <w:szCs w:val="21"/>
              </w:rPr>
            </w:pPr>
            <w:r>
              <w:rPr>
                <w:rFonts w:hint="eastAsia"/>
                <w:sz w:val="21"/>
                <w:szCs w:val="21"/>
              </w:rPr>
              <w:t>清灰方式</w:t>
            </w:r>
          </w:p>
        </w:tc>
        <w:tc>
          <w:tcPr>
            <w:tcW w:w="2898" w:type="pct"/>
            <w:noWrap w:val="0"/>
            <w:vAlign w:val="center"/>
          </w:tcPr>
          <w:p w14:paraId="2AD75CBC">
            <w:pPr>
              <w:adjustRightInd w:val="0"/>
              <w:snapToGrid w:val="0"/>
              <w:jc w:val="center"/>
              <w:rPr>
                <w:sz w:val="21"/>
                <w:szCs w:val="21"/>
              </w:rPr>
            </w:pPr>
            <w:r>
              <w:rPr>
                <w:rFonts w:hint="eastAsia"/>
                <w:sz w:val="21"/>
                <w:szCs w:val="21"/>
              </w:rPr>
              <w:t>脉冲清灰</w:t>
            </w:r>
          </w:p>
        </w:tc>
      </w:tr>
    </w:tbl>
    <w:p w14:paraId="71A084B3">
      <w:pPr>
        <w:pStyle w:val="139"/>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hint="default" w:ascii="Times New Roman" w:hAnsi="宋体" w:eastAsia="宋体" w:cs="Times New Roman"/>
          <w:color w:val="auto"/>
          <w:kern w:val="2"/>
          <w:sz w:val="24"/>
          <w:szCs w:val="22"/>
          <w:lang w:val="en-US" w:eastAsia="zh-CN" w:bidi="ar-SA"/>
        </w:rPr>
      </w:pPr>
      <w:bookmarkStart w:id="93" w:name="_Toc7940"/>
      <w:bookmarkStart w:id="94" w:name="_Toc10259"/>
      <w:r>
        <w:rPr>
          <w:rFonts w:hint="eastAsia" w:hAnsi="宋体" w:cs="Times New Roman"/>
          <w:color w:val="auto"/>
          <w:kern w:val="2"/>
          <w:sz w:val="24"/>
          <w:szCs w:val="22"/>
          <w:lang w:val="en-US" w:eastAsia="zh-CN" w:bidi="ar-SA"/>
        </w:rPr>
        <w:t>⑥</w:t>
      </w:r>
      <w:r>
        <w:rPr>
          <w:rFonts w:hint="eastAsia" w:ascii="Times New Roman" w:hAnsi="宋体" w:eastAsia="宋体" w:cs="Times New Roman"/>
          <w:color w:val="auto"/>
          <w:kern w:val="2"/>
          <w:sz w:val="24"/>
          <w:szCs w:val="22"/>
          <w:lang w:val="en-US" w:eastAsia="zh-CN" w:bidi="ar-SA"/>
        </w:rPr>
        <w:t>水幕除尘原理</w:t>
      </w:r>
    </w:p>
    <w:p w14:paraId="08EFBBD8">
      <w:pPr>
        <w:pStyle w:val="139"/>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水幕除尘的核心原理是利用‌高速水流形成的密集水帘或水膜‌，通过‌惯性碰撞、拦截吸附和凝聚增重‌三大物理机制，将空气中的粉尘颗粒“捕获”并随水流排出，从而实现气体净化。</w:t>
      </w:r>
    </w:p>
    <w:p w14:paraId="61ECC4C7">
      <w:pPr>
        <w:widowControl/>
        <w:spacing w:line="460" w:lineRule="exact"/>
        <w:jc w:val="center"/>
        <w:rPr>
          <w:rFonts w:hint="eastAsia"/>
          <w:b/>
          <w:bCs/>
          <w:color w:val="auto"/>
          <w:kern w:val="0"/>
          <w:sz w:val="24"/>
          <w:szCs w:val="24"/>
          <w:lang w:val="en-US" w:eastAsia="zh-CN"/>
        </w:rPr>
      </w:pPr>
      <w:r>
        <w:rPr>
          <w:rFonts w:hint="eastAsia"/>
          <w:b/>
          <w:bCs/>
          <w:color w:val="auto"/>
          <w:kern w:val="0"/>
          <w:sz w:val="24"/>
          <w:szCs w:val="24"/>
          <w:lang w:val="en-US" w:eastAsia="zh-CN"/>
        </w:rPr>
        <w:t>表5-4  水幕除尘器设计参数一览表</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495"/>
        <w:gridCol w:w="4818"/>
      </w:tblGrid>
      <w:tr w14:paraId="257578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125F8001">
            <w:pPr>
              <w:adjustRightInd w:val="0"/>
              <w:snapToGrid w:val="0"/>
              <w:jc w:val="center"/>
              <w:rPr>
                <w:b/>
                <w:bCs/>
                <w:sz w:val="21"/>
                <w:szCs w:val="21"/>
              </w:rPr>
            </w:pPr>
            <w:r>
              <w:rPr>
                <w:b/>
                <w:bCs/>
                <w:sz w:val="21"/>
                <w:szCs w:val="21"/>
              </w:rPr>
              <w:t>参数名称</w:t>
            </w:r>
          </w:p>
        </w:tc>
        <w:tc>
          <w:tcPr>
            <w:tcW w:w="2897" w:type="pct"/>
            <w:noWrap w:val="0"/>
            <w:vAlign w:val="center"/>
          </w:tcPr>
          <w:p w14:paraId="32A38310">
            <w:pPr>
              <w:adjustRightInd w:val="0"/>
              <w:snapToGrid w:val="0"/>
              <w:jc w:val="center"/>
              <w:rPr>
                <w:b/>
                <w:bCs/>
                <w:sz w:val="21"/>
                <w:szCs w:val="21"/>
              </w:rPr>
            </w:pPr>
            <w:r>
              <w:rPr>
                <w:rFonts w:hint="eastAsia"/>
                <w:b/>
                <w:bCs/>
                <w:sz w:val="21"/>
                <w:szCs w:val="21"/>
                <w:lang w:val="en-US" w:eastAsia="zh-CN"/>
              </w:rPr>
              <w:t>水幕除尘</w:t>
            </w:r>
            <w:r>
              <w:rPr>
                <w:b/>
                <w:bCs/>
                <w:sz w:val="21"/>
                <w:szCs w:val="21"/>
              </w:rPr>
              <w:t>技术参数值</w:t>
            </w:r>
          </w:p>
        </w:tc>
      </w:tr>
      <w:tr w14:paraId="4F8ADE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553506DE">
            <w:pPr>
              <w:adjustRightInd w:val="0"/>
              <w:snapToGrid w:val="0"/>
              <w:jc w:val="center"/>
              <w:rPr>
                <w:sz w:val="21"/>
                <w:szCs w:val="21"/>
              </w:rPr>
            </w:pPr>
            <w:r>
              <w:rPr>
                <w:sz w:val="21"/>
                <w:szCs w:val="21"/>
              </w:rPr>
              <w:t>设计风量</w:t>
            </w:r>
            <w:r>
              <w:rPr>
                <w:rFonts w:hint="eastAsia"/>
                <w:sz w:val="21"/>
                <w:szCs w:val="21"/>
              </w:rPr>
              <w:t>(</w:t>
            </w:r>
            <w:r>
              <w:rPr>
                <w:sz w:val="21"/>
                <w:szCs w:val="21"/>
              </w:rPr>
              <w:t>Nm</w:t>
            </w:r>
            <w:r>
              <w:rPr>
                <w:sz w:val="21"/>
                <w:szCs w:val="21"/>
                <w:vertAlign w:val="superscript"/>
              </w:rPr>
              <w:t>3</w:t>
            </w:r>
            <w:r>
              <w:rPr>
                <w:sz w:val="21"/>
                <w:szCs w:val="21"/>
              </w:rPr>
              <w:t>/h</w:t>
            </w:r>
            <w:r>
              <w:rPr>
                <w:rFonts w:hint="eastAsia"/>
                <w:sz w:val="21"/>
                <w:szCs w:val="21"/>
              </w:rPr>
              <w:t>)</w:t>
            </w:r>
          </w:p>
        </w:tc>
        <w:tc>
          <w:tcPr>
            <w:tcW w:w="2897" w:type="pct"/>
            <w:noWrap w:val="0"/>
            <w:vAlign w:val="center"/>
          </w:tcPr>
          <w:p w14:paraId="5C05230E">
            <w:pPr>
              <w:adjustRightInd w:val="0"/>
              <w:snapToGrid w:val="0"/>
              <w:jc w:val="center"/>
              <w:rPr>
                <w:rFonts w:hint="eastAsia"/>
                <w:sz w:val="21"/>
                <w:szCs w:val="21"/>
              </w:rPr>
            </w:pPr>
            <w:r>
              <w:rPr>
                <w:rFonts w:hint="eastAsia"/>
                <w:sz w:val="21"/>
                <w:szCs w:val="21"/>
                <w:lang w:val="en-US" w:eastAsia="zh-CN"/>
              </w:rPr>
              <w:t>7</w:t>
            </w:r>
            <w:r>
              <w:rPr>
                <w:rFonts w:hint="eastAsia"/>
                <w:sz w:val="21"/>
                <w:szCs w:val="21"/>
              </w:rPr>
              <w:t>000</w:t>
            </w:r>
          </w:p>
        </w:tc>
      </w:tr>
      <w:tr w14:paraId="2AA7F3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6309577F">
            <w:pPr>
              <w:adjustRightInd w:val="0"/>
              <w:snapToGrid w:val="0"/>
              <w:jc w:val="center"/>
              <w:rPr>
                <w:rFonts w:hint="default" w:eastAsia="宋体"/>
                <w:sz w:val="21"/>
                <w:szCs w:val="21"/>
                <w:lang w:val="en-US" w:eastAsia="zh-CN"/>
              </w:rPr>
            </w:pPr>
            <w:r>
              <w:rPr>
                <w:rFonts w:hint="eastAsia"/>
                <w:sz w:val="21"/>
                <w:szCs w:val="21"/>
                <w:lang w:val="en-US" w:eastAsia="zh-CN"/>
              </w:rPr>
              <w:t>除尘效率（%）</w:t>
            </w:r>
          </w:p>
        </w:tc>
        <w:tc>
          <w:tcPr>
            <w:tcW w:w="2897" w:type="pct"/>
            <w:noWrap w:val="0"/>
            <w:vAlign w:val="center"/>
          </w:tcPr>
          <w:p w14:paraId="2D5C1294">
            <w:pPr>
              <w:adjustRightInd w:val="0"/>
              <w:snapToGrid w:val="0"/>
              <w:jc w:val="center"/>
              <w:rPr>
                <w:rFonts w:hint="default" w:eastAsia="宋体"/>
                <w:sz w:val="21"/>
                <w:szCs w:val="21"/>
                <w:lang w:val="en-US" w:eastAsia="zh-CN"/>
              </w:rPr>
            </w:pPr>
            <w:r>
              <w:rPr>
                <w:rFonts w:hint="eastAsia"/>
                <w:sz w:val="21"/>
                <w:szCs w:val="21"/>
                <w:lang w:val="en-US" w:eastAsia="zh-CN"/>
              </w:rPr>
              <w:t>87</w:t>
            </w:r>
          </w:p>
        </w:tc>
      </w:tr>
      <w:tr w14:paraId="662A4B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2D3ECF3B">
            <w:pPr>
              <w:adjustRightInd w:val="0"/>
              <w:snapToGrid w:val="0"/>
              <w:jc w:val="center"/>
              <w:rPr>
                <w:sz w:val="21"/>
                <w:szCs w:val="21"/>
              </w:rPr>
            </w:pPr>
            <w:r>
              <w:rPr>
                <w:rFonts w:hint="eastAsia"/>
                <w:sz w:val="21"/>
                <w:szCs w:val="21"/>
                <w:lang w:val="en-US" w:eastAsia="zh-CN"/>
              </w:rPr>
              <w:t>入口</w:t>
            </w:r>
            <w:r>
              <w:rPr>
                <w:sz w:val="21"/>
                <w:szCs w:val="21"/>
              </w:rPr>
              <w:t>风速</w:t>
            </w:r>
            <w:r>
              <w:rPr>
                <w:rFonts w:hint="eastAsia"/>
                <w:sz w:val="21"/>
                <w:szCs w:val="21"/>
              </w:rPr>
              <w:t>(</w:t>
            </w:r>
            <w:r>
              <w:rPr>
                <w:sz w:val="21"/>
                <w:szCs w:val="21"/>
              </w:rPr>
              <w:t>m/</w:t>
            </w:r>
            <w:r>
              <w:rPr>
                <w:rFonts w:hint="eastAsia"/>
                <w:sz w:val="21"/>
                <w:szCs w:val="21"/>
                <w:lang w:val="en-US" w:eastAsia="zh-CN"/>
              </w:rPr>
              <w:t>s</w:t>
            </w:r>
            <w:r>
              <w:rPr>
                <w:rFonts w:hint="eastAsia"/>
                <w:sz w:val="21"/>
                <w:szCs w:val="21"/>
              </w:rPr>
              <w:t>)</w:t>
            </w:r>
          </w:p>
        </w:tc>
        <w:tc>
          <w:tcPr>
            <w:tcW w:w="2897" w:type="pct"/>
            <w:noWrap w:val="0"/>
            <w:vAlign w:val="center"/>
          </w:tcPr>
          <w:p w14:paraId="29DD296A">
            <w:pPr>
              <w:adjustRightInd w:val="0"/>
              <w:snapToGrid w:val="0"/>
              <w:jc w:val="center"/>
              <w:rPr>
                <w:rFonts w:hint="default" w:eastAsia="宋体"/>
                <w:sz w:val="21"/>
                <w:szCs w:val="21"/>
                <w:lang w:val="en-US" w:eastAsia="zh-CN"/>
              </w:rPr>
            </w:pPr>
            <w:r>
              <w:rPr>
                <w:rFonts w:hint="eastAsia"/>
                <w:sz w:val="21"/>
                <w:szCs w:val="21"/>
                <w:lang w:val="en-US" w:eastAsia="zh-CN"/>
              </w:rPr>
              <w:t>15-22</w:t>
            </w:r>
          </w:p>
        </w:tc>
      </w:tr>
      <w:tr w14:paraId="7F483A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7E471E1D">
            <w:pPr>
              <w:adjustRightInd w:val="0"/>
              <w:snapToGrid w:val="0"/>
              <w:jc w:val="center"/>
              <w:rPr>
                <w:rFonts w:hint="default" w:eastAsia="宋体"/>
                <w:sz w:val="21"/>
                <w:szCs w:val="21"/>
                <w:lang w:val="en-US" w:eastAsia="zh-CN"/>
              </w:rPr>
            </w:pPr>
            <w:r>
              <w:rPr>
                <w:rFonts w:hint="eastAsia"/>
                <w:sz w:val="21"/>
                <w:szCs w:val="21"/>
                <w:lang w:val="en-US" w:eastAsia="zh-CN"/>
              </w:rPr>
              <w:t>断面流速（m/s）</w:t>
            </w:r>
          </w:p>
        </w:tc>
        <w:tc>
          <w:tcPr>
            <w:tcW w:w="2897" w:type="pct"/>
            <w:noWrap w:val="0"/>
            <w:vAlign w:val="center"/>
          </w:tcPr>
          <w:p w14:paraId="2FC02E5F">
            <w:pPr>
              <w:adjustRightInd w:val="0"/>
              <w:snapToGrid w:val="0"/>
              <w:jc w:val="center"/>
              <w:rPr>
                <w:rFonts w:hint="default" w:eastAsia="宋体"/>
                <w:sz w:val="21"/>
                <w:szCs w:val="21"/>
                <w:lang w:val="en-US" w:eastAsia="zh-CN"/>
              </w:rPr>
            </w:pPr>
            <w:r>
              <w:rPr>
                <w:rFonts w:hint="eastAsia"/>
                <w:sz w:val="21"/>
                <w:szCs w:val="21"/>
                <w:lang w:val="en-US" w:eastAsia="zh-CN"/>
              </w:rPr>
              <w:t>3.5-5.0</w:t>
            </w:r>
          </w:p>
        </w:tc>
      </w:tr>
      <w:tr w14:paraId="41E5AB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0DB982A5">
            <w:pPr>
              <w:adjustRightInd w:val="0"/>
              <w:snapToGrid w:val="0"/>
              <w:jc w:val="center"/>
              <w:rPr>
                <w:rFonts w:hint="eastAsia" w:eastAsia="宋体"/>
                <w:sz w:val="21"/>
                <w:szCs w:val="21"/>
                <w:lang w:eastAsia="zh-CN"/>
              </w:rPr>
            </w:pPr>
            <w:r>
              <w:rPr>
                <w:rFonts w:hint="eastAsia"/>
                <w:sz w:val="21"/>
                <w:szCs w:val="21"/>
                <w:lang w:val="en-US" w:eastAsia="zh-CN"/>
              </w:rPr>
              <w:t>设备阻力（Pa）</w:t>
            </w:r>
          </w:p>
        </w:tc>
        <w:tc>
          <w:tcPr>
            <w:tcW w:w="2897" w:type="pct"/>
            <w:noWrap w:val="0"/>
            <w:vAlign w:val="center"/>
          </w:tcPr>
          <w:p w14:paraId="48986FC0">
            <w:pPr>
              <w:adjustRightInd w:val="0"/>
              <w:snapToGrid w:val="0"/>
              <w:jc w:val="center"/>
              <w:rPr>
                <w:rFonts w:hint="default" w:eastAsia="宋体"/>
                <w:sz w:val="21"/>
                <w:szCs w:val="21"/>
                <w:lang w:val="en-US" w:eastAsia="zh-CN"/>
              </w:rPr>
            </w:pPr>
            <w:r>
              <w:rPr>
                <w:rFonts w:hint="eastAsia"/>
                <w:sz w:val="21"/>
                <w:szCs w:val="21"/>
                <w:lang w:val="en-US" w:eastAsia="zh-CN"/>
              </w:rPr>
              <w:t>400-900</w:t>
            </w:r>
          </w:p>
        </w:tc>
      </w:tr>
      <w:tr w14:paraId="3E42C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46EF27A0">
            <w:pPr>
              <w:adjustRightInd w:val="0"/>
              <w:snapToGrid w:val="0"/>
              <w:jc w:val="center"/>
              <w:rPr>
                <w:rFonts w:hint="eastAsia" w:eastAsia="宋体"/>
                <w:sz w:val="21"/>
                <w:szCs w:val="21"/>
                <w:lang w:eastAsia="zh-CN"/>
              </w:rPr>
            </w:pPr>
            <w:r>
              <w:rPr>
                <w:rFonts w:hint="eastAsia"/>
                <w:sz w:val="21"/>
                <w:szCs w:val="21"/>
                <w:lang w:val="en-US" w:eastAsia="zh-CN"/>
              </w:rPr>
              <w:t>耗水量（L/m</w:t>
            </w:r>
            <w:r>
              <w:rPr>
                <w:rFonts w:hint="eastAsia"/>
                <w:sz w:val="21"/>
                <w:szCs w:val="21"/>
                <w:vertAlign w:val="superscript"/>
                <w:lang w:val="en-US" w:eastAsia="zh-CN"/>
              </w:rPr>
              <w:t>3</w:t>
            </w:r>
            <w:r>
              <w:rPr>
                <w:rFonts w:hint="eastAsia"/>
                <w:sz w:val="21"/>
                <w:szCs w:val="21"/>
                <w:lang w:val="en-US" w:eastAsia="zh-CN"/>
              </w:rPr>
              <w:t>）</w:t>
            </w:r>
          </w:p>
        </w:tc>
        <w:tc>
          <w:tcPr>
            <w:tcW w:w="2897" w:type="pct"/>
            <w:noWrap w:val="0"/>
            <w:vAlign w:val="center"/>
          </w:tcPr>
          <w:p w14:paraId="216F4D5E">
            <w:pPr>
              <w:adjustRightInd w:val="0"/>
              <w:snapToGrid w:val="0"/>
              <w:jc w:val="center"/>
              <w:rPr>
                <w:rFonts w:hint="default" w:eastAsia="宋体"/>
                <w:sz w:val="21"/>
                <w:szCs w:val="21"/>
                <w:lang w:val="en-US" w:eastAsia="zh-CN"/>
              </w:rPr>
            </w:pPr>
            <w:r>
              <w:rPr>
                <w:rFonts w:hint="eastAsia"/>
                <w:sz w:val="21"/>
                <w:szCs w:val="21"/>
                <w:lang w:val="en-US" w:eastAsia="zh-CN"/>
              </w:rPr>
              <w:t>0.5-1.5</w:t>
            </w:r>
          </w:p>
        </w:tc>
      </w:tr>
      <w:tr w14:paraId="2C17E5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14:paraId="4414C1E6">
            <w:pPr>
              <w:adjustRightInd w:val="0"/>
              <w:snapToGrid w:val="0"/>
              <w:jc w:val="center"/>
              <w:rPr>
                <w:sz w:val="21"/>
                <w:szCs w:val="21"/>
              </w:rPr>
            </w:pPr>
            <w:r>
              <w:rPr>
                <w:sz w:val="21"/>
                <w:szCs w:val="21"/>
              </w:rPr>
              <w:t>设备阻力</w:t>
            </w:r>
            <w:r>
              <w:rPr>
                <w:rFonts w:hint="eastAsia"/>
                <w:sz w:val="21"/>
                <w:szCs w:val="21"/>
              </w:rPr>
              <w:t>(</w:t>
            </w:r>
            <w:r>
              <w:rPr>
                <w:sz w:val="21"/>
                <w:szCs w:val="21"/>
              </w:rPr>
              <w:t>pa</w:t>
            </w:r>
            <w:r>
              <w:rPr>
                <w:rFonts w:hint="eastAsia"/>
                <w:sz w:val="21"/>
                <w:szCs w:val="21"/>
              </w:rPr>
              <w:t>)</w:t>
            </w:r>
          </w:p>
        </w:tc>
        <w:tc>
          <w:tcPr>
            <w:tcW w:w="2897" w:type="pct"/>
            <w:noWrap w:val="0"/>
            <w:vAlign w:val="center"/>
          </w:tcPr>
          <w:p w14:paraId="7759041E">
            <w:pPr>
              <w:adjustRightInd w:val="0"/>
              <w:snapToGrid w:val="0"/>
              <w:jc w:val="center"/>
              <w:rPr>
                <w:sz w:val="21"/>
                <w:szCs w:val="21"/>
              </w:rPr>
            </w:pPr>
            <w:r>
              <w:rPr>
                <w:rFonts w:hint="eastAsia"/>
                <w:sz w:val="21"/>
                <w:szCs w:val="21"/>
              </w:rPr>
              <w:t>1</w:t>
            </w:r>
            <w:r>
              <w:rPr>
                <w:sz w:val="21"/>
                <w:szCs w:val="21"/>
              </w:rPr>
              <w:t>200</w:t>
            </w:r>
          </w:p>
        </w:tc>
      </w:tr>
    </w:tbl>
    <w:p w14:paraId="62063F7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⑦石灰喷雾干燥法脱琉脱酸（半干法）</w:t>
      </w:r>
    </w:p>
    <w:p w14:paraId="2538869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石灰喷雾干燥法脱硫（半干法）工艺原理：生石灰经消化并加水制成消石灰浆液，碱性吸收剂消石灰浆液经过滤后由泵输入到吸收塔内的雾化装置。在吸收干燥塔的高温烟气作用下（120-160℃）浆液被雾化成细小液滴的吸收剂与烟气混合接触，与烟气中的SO</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、SO</w:t>
      </w:r>
      <w:r>
        <w:rPr>
          <w:rFonts w:hint="eastAsia"/>
          <w:b w:val="0"/>
          <w:bCs w:val="0"/>
          <w:color w:val="auto"/>
          <w:kern w:val="0"/>
          <w:sz w:val="24"/>
          <w:szCs w:val="24"/>
          <w:vertAlign w:val="subscript"/>
          <w:lang w:val="en-US" w:eastAsia="zh-CN"/>
        </w:rPr>
        <w:t>3</w:t>
      </w:r>
      <w:r>
        <w:rPr>
          <w:rFonts w:hint="eastAsia"/>
          <w:b w:val="0"/>
          <w:bCs w:val="0"/>
          <w:color w:val="auto"/>
          <w:kern w:val="0"/>
          <w:sz w:val="24"/>
          <w:szCs w:val="24"/>
          <w:lang w:val="en-US" w:eastAsia="zh-CN"/>
        </w:rPr>
        <w:t>、HC1发生酸碱中和反应生成亚硫酸钙(CaSO</w:t>
      </w:r>
      <w:r>
        <w:rPr>
          <w:rFonts w:hint="eastAsia"/>
          <w:b w:val="0"/>
          <w:bCs w:val="0"/>
          <w:color w:val="auto"/>
          <w:kern w:val="0"/>
          <w:sz w:val="24"/>
          <w:szCs w:val="24"/>
          <w:vertAlign w:val="subscript"/>
          <w:lang w:val="en-US" w:eastAsia="zh-CN"/>
        </w:rPr>
        <w:t>3</w:t>
      </w:r>
      <w:r>
        <w:rPr>
          <w:rFonts w:hint="eastAsia"/>
          <w:b w:val="0"/>
          <w:bCs w:val="0"/>
          <w:color w:val="auto"/>
          <w:kern w:val="0"/>
          <w:sz w:val="24"/>
          <w:szCs w:val="24"/>
          <w:lang w:val="en-US" w:eastAsia="zh-CN"/>
        </w:rPr>
        <w:t>)、硫酸钙(CaSO</w:t>
      </w:r>
      <w:r>
        <w:rPr>
          <w:rFonts w:hint="eastAsia"/>
          <w:b w:val="0"/>
          <w:bCs w:val="0"/>
          <w:color w:val="auto"/>
          <w:kern w:val="0"/>
          <w:sz w:val="24"/>
          <w:szCs w:val="24"/>
          <w:vertAlign w:val="subscript"/>
          <w:lang w:val="en-US" w:eastAsia="zh-CN"/>
        </w:rPr>
        <w:t>4</w:t>
      </w:r>
      <w:r>
        <w:rPr>
          <w:rFonts w:hint="eastAsia"/>
          <w:b w:val="0"/>
          <w:bCs w:val="0"/>
          <w:color w:val="auto"/>
          <w:kern w:val="0"/>
          <w:sz w:val="24"/>
          <w:szCs w:val="24"/>
          <w:lang w:val="en-US" w:eastAsia="zh-CN"/>
        </w:rPr>
        <w:t>）和氯化钙(CaC1</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),其他副反应产生碳酸钙(CaCO</w:t>
      </w:r>
      <w:r>
        <w:rPr>
          <w:rFonts w:hint="eastAsia"/>
          <w:b w:val="0"/>
          <w:bCs w:val="0"/>
          <w:color w:val="auto"/>
          <w:kern w:val="0"/>
          <w:sz w:val="24"/>
          <w:szCs w:val="24"/>
          <w:vertAlign w:val="subscript"/>
          <w:lang w:val="en-US" w:eastAsia="zh-CN"/>
        </w:rPr>
        <w:t>3</w:t>
      </w:r>
      <w:r>
        <w:rPr>
          <w:rFonts w:hint="eastAsia"/>
          <w:b w:val="0"/>
          <w:bCs w:val="0"/>
          <w:color w:val="auto"/>
          <w:kern w:val="0"/>
          <w:sz w:val="24"/>
          <w:szCs w:val="24"/>
          <w:lang w:val="en-US" w:eastAsia="zh-CN"/>
        </w:rPr>
        <w:t>)。脱硫剂带入的水分迅速被蒸发而干燥，形成粉末状的反应副产品，烟气温度随之降低，但仍然高于酸露点，可以直接排放，且不产生废水。因添加的吸收剂呈湿态，而脱硫产物呈干态，也被称为半干法。干粉状固体颗粒通过两种途径分离，一部分较大颗粒因重力作用在塔底锥体收集，细微颗粒随烟气进入后续除尘器被捕集。</w:t>
      </w:r>
    </w:p>
    <w:p w14:paraId="1EDAF34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脱硫反应分为以下阶段:</w:t>
      </w:r>
    </w:p>
    <w:p w14:paraId="79138FF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1、消化反应:CaO+H</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O→Ca(OH)</w:t>
      </w:r>
      <w:r>
        <w:rPr>
          <w:rFonts w:hint="eastAsia"/>
          <w:b w:val="0"/>
          <w:bCs w:val="0"/>
          <w:color w:val="auto"/>
          <w:kern w:val="0"/>
          <w:sz w:val="24"/>
          <w:szCs w:val="24"/>
          <w:vertAlign w:val="subscript"/>
          <w:lang w:val="en-US" w:eastAsia="zh-CN"/>
        </w:rPr>
        <w:t>2</w:t>
      </w:r>
    </w:p>
    <w:p w14:paraId="321B3AE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2、吸收反应:Ca(OH)</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+SO</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→CaSO</w:t>
      </w:r>
      <w:r>
        <w:rPr>
          <w:rFonts w:hint="eastAsia"/>
          <w:b w:val="0"/>
          <w:bCs w:val="0"/>
          <w:color w:val="auto"/>
          <w:kern w:val="0"/>
          <w:sz w:val="24"/>
          <w:szCs w:val="24"/>
          <w:vertAlign w:val="subscript"/>
          <w:lang w:val="en-US" w:eastAsia="zh-CN"/>
        </w:rPr>
        <w:t xml:space="preserve">3 </w:t>
      </w:r>
      <w:r>
        <w:rPr>
          <w:rFonts w:hint="eastAsia"/>
          <w:b w:val="0"/>
          <w:bCs w:val="0"/>
          <w:color w:val="auto"/>
          <w:kern w:val="0"/>
          <w:sz w:val="24"/>
          <w:szCs w:val="24"/>
          <w:lang w:val="en-US" w:eastAsia="zh-CN"/>
        </w:rPr>
        <w:t>↓+H</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O</w:t>
      </w:r>
    </w:p>
    <w:p w14:paraId="55AEC6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3、氧化阶段:2CaSO</w:t>
      </w:r>
      <w:r>
        <w:rPr>
          <w:rFonts w:hint="eastAsia"/>
          <w:b w:val="0"/>
          <w:bCs w:val="0"/>
          <w:color w:val="auto"/>
          <w:kern w:val="0"/>
          <w:sz w:val="24"/>
          <w:szCs w:val="24"/>
          <w:vertAlign w:val="subscript"/>
          <w:lang w:val="en-US" w:eastAsia="zh-CN"/>
        </w:rPr>
        <w:t>3</w:t>
      </w:r>
      <w:r>
        <w:rPr>
          <w:rFonts w:hint="eastAsia"/>
          <w:b w:val="0"/>
          <w:bCs w:val="0"/>
          <w:color w:val="auto"/>
          <w:kern w:val="0"/>
          <w:sz w:val="24"/>
          <w:szCs w:val="24"/>
          <w:lang w:val="en-US" w:eastAsia="zh-CN"/>
        </w:rPr>
        <w:t>+O</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→2CaSO</w:t>
      </w:r>
      <w:r>
        <w:rPr>
          <w:rFonts w:hint="eastAsia"/>
          <w:b w:val="0"/>
          <w:bCs w:val="0"/>
          <w:color w:val="auto"/>
          <w:kern w:val="0"/>
          <w:sz w:val="24"/>
          <w:szCs w:val="24"/>
          <w:vertAlign w:val="subscript"/>
          <w:lang w:val="en-US" w:eastAsia="zh-CN"/>
        </w:rPr>
        <w:t>4</w:t>
      </w:r>
    </w:p>
    <w:p w14:paraId="4EDD7F6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其他副反应:Ca(OH)+CO=CaCO</w:t>
      </w:r>
      <w:r>
        <w:rPr>
          <w:rFonts w:hint="eastAsia"/>
          <w:b w:val="0"/>
          <w:bCs w:val="0"/>
          <w:color w:val="auto"/>
          <w:kern w:val="0"/>
          <w:sz w:val="24"/>
          <w:szCs w:val="24"/>
          <w:vertAlign w:val="subscript"/>
          <w:lang w:val="en-US" w:eastAsia="zh-CN"/>
        </w:rPr>
        <w:t>3</w:t>
      </w:r>
      <w:r>
        <w:rPr>
          <w:rFonts w:hint="eastAsia"/>
          <w:b w:val="0"/>
          <w:bCs w:val="0"/>
          <w:color w:val="auto"/>
          <w:kern w:val="0"/>
          <w:sz w:val="24"/>
          <w:szCs w:val="24"/>
          <w:lang w:val="en-US" w:eastAsia="zh-CN"/>
        </w:rPr>
        <w:t xml:space="preserve"> ↓+H</w:t>
      </w:r>
      <w:r>
        <w:rPr>
          <w:rFonts w:hint="eastAsia"/>
          <w:b w:val="0"/>
          <w:bCs w:val="0"/>
          <w:color w:val="auto"/>
          <w:kern w:val="0"/>
          <w:sz w:val="24"/>
          <w:szCs w:val="24"/>
          <w:vertAlign w:val="subscript"/>
          <w:lang w:val="en-US" w:eastAsia="zh-CN"/>
        </w:rPr>
        <w:t>2</w:t>
      </w:r>
      <w:r>
        <w:rPr>
          <w:rFonts w:hint="eastAsia"/>
          <w:b w:val="0"/>
          <w:bCs w:val="0"/>
          <w:color w:val="auto"/>
          <w:kern w:val="0"/>
          <w:sz w:val="24"/>
          <w:szCs w:val="24"/>
          <w:lang w:val="en-US" w:eastAsia="zh-CN"/>
        </w:rPr>
        <w:t>O</w:t>
      </w:r>
    </w:p>
    <w:p w14:paraId="29A53F7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szCs w:val="24"/>
          <w:lang w:val="en-US" w:eastAsia="zh-CN"/>
        </w:rPr>
      </w:pPr>
      <w:r>
        <w:rPr>
          <w:rFonts w:hint="eastAsia"/>
          <w:b w:val="0"/>
          <w:bCs w:val="0"/>
          <w:color w:val="auto"/>
          <w:kern w:val="0"/>
          <w:sz w:val="24"/>
          <w:szCs w:val="24"/>
          <w:lang w:val="en-US" w:eastAsia="zh-CN"/>
        </w:rPr>
        <w:t>本项目采用半干法脱硫，相比湿法脱硫的石灰石/石膏湿法脱硫通过强氧化将亚硫酸钙转化为硫酸钙（石膏），而喷雾干燥法未进行充分氧化步骤，因此产物中硫酸钙含量较低，无法形成工业级石膏。脱硫渣定期清运，贮存在一般固废仓库。</w:t>
      </w:r>
    </w:p>
    <w:p w14:paraId="371D586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sz w:val="24"/>
          <w:szCs w:val="22"/>
          <w:lang w:val="en-US" w:eastAsia="zh-CN"/>
        </w:rPr>
      </w:pPr>
      <w:r>
        <w:rPr>
          <w:rFonts w:hint="default" w:ascii="Times New Roman" w:hAnsi="Times New Roman" w:eastAsia="宋体" w:cs="Times New Roman"/>
          <w:b w:val="0"/>
          <w:bCs w:val="0"/>
          <w:color w:val="auto"/>
          <w:kern w:val="0"/>
          <w:sz w:val="24"/>
          <w:szCs w:val="24"/>
          <w:lang w:val="en-US" w:eastAsia="zh-CN"/>
        </w:rPr>
        <w:t>钙硫比是衡量钙基脱硫剂使用效率的关键指标</w:t>
      </w:r>
      <w:r>
        <w:rPr>
          <w:rFonts w:hint="eastAsia"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b w:val="0"/>
          <w:bCs w:val="0"/>
          <w:color w:val="auto"/>
          <w:kern w:val="0"/>
          <w:sz w:val="24"/>
          <w:szCs w:val="24"/>
          <w:lang w:val="en-US" w:eastAsia="zh-CN"/>
        </w:rPr>
        <w:t>定义为投入系统的钙基吸收剂与脱除硫氧化物的摩尔数之比，用于表征脱硫剂过量程度，其理论摩尔比为1:1，实际应用中需提升钙硫比以提高效率，干法/半干法脱硫则需1.2-1.5以平衡经济性与效率。本项目钙硫比Ca</w:t>
      </w:r>
      <w:r>
        <w:rPr>
          <w:rFonts w:hint="eastAsia" w:ascii="Times New Roman" w:hAnsi="Times New Roman" w:eastAsia="宋体" w:cs="Times New Roman"/>
          <w:b w:val="0"/>
          <w:bCs w:val="0"/>
          <w:color w:val="auto"/>
          <w:kern w:val="0"/>
          <w:sz w:val="24"/>
          <w:szCs w:val="24"/>
          <w:lang w:val="en-US" w:eastAsia="zh-CN"/>
        </w:rPr>
        <w:t>/S</w:t>
      </w:r>
      <w:r>
        <w:rPr>
          <w:rFonts w:hint="default" w:ascii="Times New Roman" w:hAnsi="Times New Roman" w:eastAsia="宋体" w:cs="Times New Roman"/>
          <w:b w:val="0"/>
          <w:bCs w:val="0"/>
          <w:color w:val="auto"/>
          <w:kern w:val="0"/>
          <w:sz w:val="24"/>
          <w:szCs w:val="24"/>
          <w:lang w:val="en-US" w:eastAsia="zh-CN"/>
        </w:rPr>
        <w:t>取1.5，根据工程计算，SO</w:t>
      </w:r>
      <w:r>
        <w:rPr>
          <w:rFonts w:hint="eastAsia" w:cs="Times New Roman"/>
          <w:b w:val="0"/>
          <w:bCs w:val="0"/>
          <w:color w:val="auto"/>
          <w:kern w:val="0"/>
          <w:sz w:val="24"/>
          <w:szCs w:val="24"/>
          <w:vertAlign w:val="subscript"/>
          <w:lang w:val="en-US" w:eastAsia="zh-CN"/>
        </w:rPr>
        <w:t>2</w:t>
      </w:r>
      <w:r>
        <w:rPr>
          <w:rFonts w:hint="default" w:ascii="Times New Roman" w:hAnsi="Times New Roman" w:eastAsia="宋体" w:cs="Times New Roman"/>
          <w:b w:val="0"/>
          <w:bCs w:val="0"/>
          <w:color w:val="auto"/>
          <w:kern w:val="0"/>
          <w:sz w:val="24"/>
          <w:szCs w:val="24"/>
          <w:lang w:val="en-US" w:eastAsia="zh-CN"/>
        </w:rPr>
        <w:t>处理量为</w:t>
      </w:r>
      <w:r>
        <w:rPr>
          <w:rFonts w:hint="eastAsia" w:ascii="Times New Roman" w:hAnsi="Times New Roman" w:eastAsia="宋体" w:cs="Times New Roman"/>
          <w:b w:val="0"/>
          <w:bCs w:val="0"/>
          <w:color w:val="auto"/>
          <w:kern w:val="0"/>
          <w:sz w:val="24"/>
          <w:szCs w:val="24"/>
          <w:lang w:val="en-US" w:eastAsia="zh-CN"/>
        </w:rPr>
        <w:t>3.332</w:t>
      </w:r>
      <w:r>
        <w:rPr>
          <w:rFonts w:hint="default" w:ascii="Times New Roman" w:hAnsi="Times New Roman" w:eastAsia="宋体" w:cs="Times New Roman"/>
          <w:b w:val="0"/>
          <w:bCs w:val="0"/>
          <w:color w:val="auto"/>
          <w:kern w:val="0"/>
          <w:sz w:val="24"/>
          <w:szCs w:val="24"/>
          <w:lang w:val="en-US" w:eastAsia="zh-CN"/>
        </w:rPr>
        <w:t>t，则消耗生石灰(CaO纯度≥80%)</w:t>
      </w:r>
      <w:r>
        <w:rPr>
          <w:rFonts w:hint="eastAsia" w:ascii="Times New Roman" w:hAnsi="Times New Roman" w:eastAsia="宋体" w:cs="Times New Roman"/>
          <w:b w:val="0"/>
          <w:bCs w:val="0"/>
          <w:color w:val="auto"/>
          <w:kern w:val="0"/>
          <w:sz w:val="24"/>
          <w:szCs w:val="24"/>
          <w:lang w:val="en-US" w:eastAsia="zh-CN"/>
        </w:rPr>
        <w:t>约5</w:t>
      </w:r>
      <w:r>
        <w:rPr>
          <w:rFonts w:hint="default" w:ascii="Times New Roman" w:hAnsi="Times New Roman" w:eastAsia="宋体" w:cs="Times New Roman"/>
          <w:b w:val="0"/>
          <w:bCs w:val="0"/>
          <w:color w:val="auto"/>
          <w:kern w:val="0"/>
          <w:sz w:val="24"/>
          <w:szCs w:val="24"/>
          <w:lang w:val="en-US" w:eastAsia="zh-CN"/>
        </w:rPr>
        <w:t>t。</w:t>
      </w:r>
    </w:p>
    <w:p w14:paraId="165B286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snapToGrid w:val="0"/>
          <w:color w:val="auto"/>
          <w:kern w:val="0"/>
          <w:sz w:val="24"/>
          <w:szCs w:val="24"/>
        </w:rPr>
      </w:pPr>
      <w:r>
        <w:rPr>
          <w:rFonts w:hint="eastAsia"/>
          <w:b w:val="0"/>
          <w:bCs w:val="0"/>
          <w:color w:val="auto"/>
          <w:kern w:val="0"/>
          <w:sz w:val="24"/>
          <w:szCs w:val="24"/>
          <w:lang w:val="en-US" w:eastAsia="zh-CN"/>
        </w:rPr>
        <w:t>根据</w:t>
      </w:r>
      <w:r>
        <w:rPr>
          <w:rFonts w:hint="eastAsia"/>
          <w:b w:val="0"/>
          <w:bCs w:val="0"/>
          <w:color w:val="000000" w:themeColor="text1"/>
          <w:sz w:val="24"/>
          <w:szCs w:val="24"/>
          <w:lang w:val="en-US" w:eastAsia="zh-CN"/>
          <w14:textFill>
            <w14:solidFill>
              <w14:schemeClr w14:val="tx1"/>
            </w14:solidFill>
          </w14:textFill>
        </w:rPr>
        <w:t>《排污许可证申请与核发技术规范 锅炉》（HJ953-2018）表7锅炉烟气污染防治可行技术，生物质锅炉氮氧化物</w:t>
      </w:r>
      <w:r>
        <w:rPr>
          <w:rFonts w:hint="eastAsia" w:ascii="Times New Roman" w:hAnsi="Times New Roman" w:cs="Times New Roman"/>
          <w:b w:val="0"/>
          <w:bCs w:val="0"/>
          <w:color w:val="auto"/>
          <w:kern w:val="0"/>
          <w:sz w:val="24"/>
          <w:szCs w:val="24"/>
        </w:rPr>
        <w:t>可选用的可行技术有：低氮燃烧技术、低氮燃烧+SNCR脱硝技术、低氮燃烧+SCR脱硝技术、低氮燃烧+（SNCR-SCR联合）脱硝技术、SNCR脱硝技术、SCR脱硝技术、SNCR-SCR 联合脱硝技术</w:t>
      </w:r>
      <w:r>
        <w:rPr>
          <w:rFonts w:hint="eastAsia" w:ascii="Times New Roman" w:hAnsi="Times New Roman" w:cs="Times New Roman"/>
          <w:b w:val="0"/>
          <w:bCs w:val="0"/>
          <w:color w:val="auto"/>
          <w:kern w:val="0"/>
          <w:sz w:val="24"/>
          <w:szCs w:val="24"/>
          <w:lang w:eastAsia="zh-CN"/>
        </w:rPr>
        <w:t>；</w:t>
      </w:r>
      <w:r>
        <w:rPr>
          <w:rFonts w:hint="eastAsia" w:ascii="Times New Roman" w:hAnsi="Times New Roman" w:cs="Times New Roman"/>
          <w:b w:val="0"/>
          <w:bCs w:val="0"/>
          <w:color w:val="auto"/>
          <w:kern w:val="0"/>
          <w:sz w:val="24"/>
          <w:szCs w:val="24"/>
          <w:lang w:val="en-US" w:eastAsia="zh-CN"/>
        </w:rPr>
        <w:t>颗粒物可行技术为旋风除尘和袋式除尘组合技术，</w:t>
      </w:r>
      <w:r>
        <w:rPr>
          <w:rFonts w:hint="eastAsia" w:cs="Times New Roman"/>
          <w:b w:val="0"/>
          <w:bCs w:val="0"/>
          <w:color w:val="auto"/>
          <w:kern w:val="0"/>
          <w:sz w:val="24"/>
          <w:szCs w:val="24"/>
          <w:lang w:val="en-US" w:eastAsia="zh-CN"/>
        </w:rPr>
        <w:t>二氧化硫可行技术为石灰喷雾干燥法（半干法），</w:t>
      </w:r>
      <w:r>
        <w:rPr>
          <w:rFonts w:hint="eastAsia" w:ascii="Times New Roman" w:hAnsi="Times New Roman" w:cs="Times New Roman"/>
          <w:b w:val="0"/>
          <w:bCs w:val="0"/>
          <w:color w:val="FF0000"/>
          <w:kern w:val="0"/>
          <w:sz w:val="24"/>
          <w:szCs w:val="24"/>
          <w:lang w:val="en-US" w:eastAsia="zh-CN"/>
        </w:rPr>
        <w:t>本项目蒸汽锅炉和导热油炉</w:t>
      </w:r>
      <w:r>
        <w:rPr>
          <w:rFonts w:hint="eastAsia" w:cs="Times New Roman"/>
          <w:b w:val="0"/>
          <w:bCs w:val="0"/>
          <w:color w:val="FF0000"/>
          <w:kern w:val="0"/>
          <w:sz w:val="24"/>
          <w:szCs w:val="24"/>
          <w:lang w:val="en-US" w:eastAsia="zh-CN"/>
        </w:rPr>
        <w:t>各</w:t>
      </w:r>
      <w:r>
        <w:rPr>
          <w:rFonts w:hint="eastAsia" w:ascii="Times New Roman" w:hAnsi="Times New Roman" w:cs="Times New Roman"/>
          <w:b w:val="0"/>
          <w:bCs w:val="0"/>
          <w:color w:val="FF0000"/>
          <w:kern w:val="0"/>
          <w:sz w:val="24"/>
          <w:szCs w:val="24"/>
          <w:lang w:val="en-US" w:eastAsia="zh-CN"/>
        </w:rPr>
        <w:t>经一套低氮燃烧+SNCR+</w:t>
      </w:r>
      <w:r>
        <w:rPr>
          <w:rFonts w:hint="eastAsia" w:cs="Times New Roman"/>
          <w:b w:val="0"/>
          <w:bCs w:val="0"/>
          <w:color w:val="FF0000"/>
          <w:kern w:val="0"/>
          <w:sz w:val="24"/>
          <w:szCs w:val="24"/>
          <w:lang w:val="en-US" w:eastAsia="zh-CN"/>
        </w:rPr>
        <w:t>石灰喷雾干燥+</w:t>
      </w:r>
      <w:r>
        <w:rPr>
          <w:rFonts w:hint="eastAsia" w:ascii="Times New Roman" w:hAnsi="Times New Roman" w:cs="Times New Roman"/>
          <w:b w:val="0"/>
          <w:bCs w:val="0"/>
          <w:color w:val="FF0000"/>
          <w:kern w:val="0"/>
          <w:sz w:val="24"/>
          <w:szCs w:val="24"/>
          <w:lang w:val="en-US" w:eastAsia="zh-CN"/>
        </w:rPr>
        <w:t>余热回收+旋风除尘+布袋除尘+水幕除尘装置处理</w:t>
      </w:r>
      <w:r>
        <w:rPr>
          <w:rFonts w:hint="eastAsia" w:ascii="Times New Roman" w:hAnsi="Times New Roman" w:cs="Times New Roman"/>
          <w:b w:val="0"/>
          <w:bCs w:val="0"/>
          <w:color w:val="FF0000"/>
          <w:kern w:val="0"/>
          <w:sz w:val="24"/>
          <w:szCs w:val="24"/>
          <w:lang w:eastAsia="zh-CN"/>
        </w:rPr>
        <w:t>，</w:t>
      </w:r>
      <w:r>
        <w:rPr>
          <w:rFonts w:hint="eastAsia" w:cs="Times New Roman"/>
          <w:b w:val="0"/>
          <w:bCs w:val="0"/>
          <w:color w:val="FF0000"/>
          <w:kern w:val="0"/>
          <w:sz w:val="24"/>
          <w:szCs w:val="24"/>
          <w:lang w:val="en-US" w:eastAsia="zh-CN"/>
        </w:rPr>
        <w:t>根据前文分析，收集率为100%，二氧化硫去除率为70%，氮氧化物去除率为80%，颗粒物去除率为99.98%，</w:t>
      </w:r>
      <w:r>
        <w:rPr>
          <w:rFonts w:hint="eastAsia" w:ascii="Times New Roman" w:hAnsi="Times New Roman" w:cs="Times New Roman"/>
          <w:b w:val="0"/>
          <w:bCs w:val="0"/>
          <w:color w:val="FF0000"/>
          <w:kern w:val="0"/>
          <w:sz w:val="24"/>
          <w:szCs w:val="24"/>
        </w:rPr>
        <w:t>满足相关政策要求。</w:t>
      </w:r>
    </w:p>
    <w:p w14:paraId="1277557B">
      <w:pPr>
        <w:pStyle w:val="4"/>
        <w:pageBreakBefore w:val="0"/>
        <w:widowControl w:val="0"/>
        <w:kinsoku/>
        <w:wordWrap/>
        <w:overflowPunct/>
        <w:topLinePunct w:val="0"/>
        <w:bidi w:val="0"/>
        <w:spacing w:before="0" w:after="0" w:line="360" w:lineRule="auto"/>
        <w:textAlignment w:val="auto"/>
        <w:rPr>
          <w:color w:val="auto"/>
          <w:sz w:val="24"/>
          <w:szCs w:val="24"/>
        </w:rPr>
      </w:pPr>
      <w:r>
        <w:rPr>
          <w:rFonts w:hint="eastAsia"/>
          <w:color w:val="auto"/>
          <w:sz w:val="24"/>
          <w:szCs w:val="24"/>
        </w:rPr>
        <w:t>5.2.2 无组织废气治理措施</w:t>
      </w:r>
      <w:bookmarkEnd w:id="93"/>
      <w:bookmarkEnd w:id="94"/>
    </w:p>
    <w:p w14:paraId="4C01CE62">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bookmarkStart w:id="95" w:name="_Toc22450"/>
      <w:r>
        <w:rPr>
          <w:rFonts w:hint="eastAsia" w:ascii="Times New Roman" w:hAnsi="宋体" w:eastAsia="宋体" w:cs="Times New Roman"/>
          <w:color w:val="auto"/>
          <w:kern w:val="2"/>
          <w:sz w:val="24"/>
          <w:szCs w:val="22"/>
          <w:lang w:val="en-US" w:eastAsia="zh-CN" w:bidi="ar-SA"/>
        </w:rPr>
        <w:t>本项目无组织废气主要为未被捕集的废气和SNCR装置极少量氨逃逸。</w:t>
      </w:r>
    </w:p>
    <w:p w14:paraId="1547F50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FF0000"/>
          <w:kern w:val="0"/>
          <w:sz w:val="24"/>
          <w:szCs w:val="24"/>
          <w:lang w:val="en-US" w:eastAsia="zh-CN"/>
        </w:rPr>
      </w:pPr>
      <w:r>
        <w:rPr>
          <w:rFonts w:hint="default" w:ascii="Times New Roman" w:hAnsi="Times New Roman" w:eastAsia="宋体" w:cs="Times New Roman"/>
          <w:b w:val="0"/>
          <w:bCs w:val="0"/>
          <w:color w:val="FF0000"/>
          <w:kern w:val="0"/>
          <w:sz w:val="24"/>
          <w:szCs w:val="24"/>
          <w:lang w:val="en-US" w:eastAsia="zh-CN"/>
        </w:rPr>
        <w:t xml:space="preserve">《排污许可证申请与核发技术规范 </w:t>
      </w:r>
      <w:r>
        <w:rPr>
          <w:rFonts w:hint="eastAsia" w:ascii="Times New Roman" w:hAnsi="Times New Roman" w:eastAsia="宋体" w:cs="Times New Roman"/>
          <w:b w:val="0"/>
          <w:bCs w:val="0"/>
          <w:color w:val="FF0000"/>
          <w:kern w:val="0"/>
          <w:sz w:val="24"/>
          <w:szCs w:val="24"/>
          <w:lang w:val="en-US" w:eastAsia="zh-CN"/>
        </w:rPr>
        <w:t>纺织印染工业</w:t>
      </w:r>
      <w:r>
        <w:rPr>
          <w:rFonts w:hint="default" w:ascii="Times New Roman" w:hAnsi="Times New Roman" w:eastAsia="宋体" w:cs="Times New Roman"/>
          <w:b w:val="0"/>
          <w:bCs w:val="0"/>
          <w:color w:val="FF0000"/>
          <w:kern w:val="0"/>
          <w:sz w:val="24"/>
          <w:szCs w:val="24"/>
          <w:lang w:val="en-US" w:eastAsia="zh-CN"/>
        </w:rPr>
        <w:t>》（HJ</w:t>
      </w:r>
      <w:r>
        <w:rPr>
          <w:rFonts w:hint="eastAsia" w:ascii="Times New Roman" w:hAnsi="Times New Roman" w:eastAsia="宋体" w:cs="Times New Roman"/>
          <w:b w:val="0"/>
          <w:bCs w:val="0"/>
          <w:color w:val="FF0000"/>
          <w:kern w:val="0"/>
          <w:sz w:val="24"/>
          <w:szCs w:val="24"/>
          <w:lang w:val="en-US" w:eastAsia="zh-CN"/>
        </w:rPr>
        <w:t>861</w:t>
      </w:r>
      <w:r>
        <w:rPr>
          <w:rFonts w:hint="default" w:ascii="Times New Roman" w:hAnsi="Times New Roman" w:eastAsia="宋体" w:cs="Times New Roman"/>
          <w:b w:val="0"/>
          <w:bCs w:val="0"/>
          <w:color w:val="FF0000"/>
          <w:kern w:val="0"/>
          <w:sz w:val="24"/>
          <w:szCs w:val="24"/>
          <w:lang w:val="en-US" w:eastAsia="zh-CN"/>
        </w:rPr>
        <w:t>-201</w:t>
      </w:r>
      <w:r>
        <w:rPr>
          <w:rFonts w:hint="eastAsia" w:ascii="Times New Roman" w:hAnsi="Times New Roman" w:eastAsia="宋体" w:cs="Times New Roman"/>
          <w:b w:val="0"/>
          <w:bCs w:val="0"/>
          <w:color w:val="FF0000"/>
          <w:kern w:val="0"/>
          <w:sz w:val="24"/>
          <w:szCs w:val="24"/>
          <w:lang w:val="en-US" w:eastAsia="zh-CN"/>
        </w:rPr>
        <w:t>7</w:t>
      </w:r>
      <w:r>
        <w:rPr>
          <w:rFonts w:hint="default" w:ascii="Times New Roman" w:hAnsi="Times New Roman" w:eastAsia="宋体" w:cs="Times New Roman"/>
          <w:b w:val="0"/>
          <w:bCs w:val="0"/>
          <w:color w:val="FF0000"/>
          <w:kern w:val="0"/>
          <w:sz w:val="24"/>
          <w:szCs w:val="24"/>
          <w:lang w:val="en-US" w:eastAsia="zh-CN"/>
        </w:rPr>
        <w:t>）</w:t>
      </w:r>
      <w:r>
        <w:rPr>
          <w:rFonts w:hint="eastAsia" w:ascii="Times New Roman" w:hAnsi="Times New Roman" w:eastAsia="宋体" w:cs="Times New Roman"/>
          <w:b w:val="0"/>
          <w:bCs w:val="0"/>
          <w:color w:val="FF0000"/>
          <w:kern w:val="0"/>
          <w:sz w:val="24"/>
          <w:szCs w:val="24"/>
          <w:lang w:val="en-US" w:eastAsia="zh-CN"/>
        </w:rPr>
        <w:t>和</w:t>
      </w:r>
      <w:r>
        <w:rPr>
          <w:rFonts w:hint="default" w:ascii="Times New Roman" w:hAnsi="Times New Roman" w:eastAsia="宋体" w:cs="Times New Roman"/>
          <w:b w:val="0"/>
          <w:bCs w:val="0"/>
          <w:color w:val="FF0000"/>
          <w:kern w:val="0"/>
          <w:sz w:val="24"/>
          <w:szCs w:val="24"/>
          <w:lang w:val="en-US" w:eastAsia="zh-CN"/>
        </w:rPr>
        <w:t>《排污许可证申请与核发技术规范 锅炉》（HJ953-2018）</w:t>
      </w:r>
      <w:r>
        <w:rPr>
          <w:rFonts w:hint="eastAsia" w:ascii="Times New Roman" w:hAnsi="Times New Roman" w:eastAsia="宋体" w:cs="Times New Roman"/>
          <w:b w:val="0"/>
          <w:bCs w:val="0"/>
          <w:color w:val="FF0000"/>
          <w:kern w:val="0"/>
          <w:sz w:val="24"/>
          <w:szCs w:val="24"/>
          <w:lang w:val="en-US" w:eastAsia="zh-CN"/>
        </w:rPr>
        <w:t>，企业拟采取的无组织控制措施主要有：</w:t>
      </w:r>
    </w:p>
    <w:p w14:paraId="5305AA89">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①车间均采用先进的生产工艺和设备，特别是对拉毛、定型、刷呢、剪毛、烫光、揺粒和蒸呢等可能产生废气的设备采取密闭收集或是负压收集，并采用自动化控制系统，可对生产过程中产生的废气进行有效收集。</w:t>
      </w:r>
    </w:p>
    <w:p w14:paraId="1B6C3751">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②合理设计送排风系统，提高废气收集效果，尽量将废气收集集中处理。加强生产管理，规范操作，使设备设施处于正常工作状态。</w:t>
      </w:r>
    </w:p>
    <w:p w14:paraId="2192E755">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③通风生产设备、操作工位、车间厂房等应在符合安全生产、职业卫生相关的前提下，根据行业作业规程与标准、工业建筑及洁净厂房通风设计规范等的要求，采用合理的通风量。</w:t>
      </w:r>
    </w:p>
    <w:p w14:paraId="1BC1779B">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④对设备及时进行检修，更换破损的管道、机泵、阀门及污染防治设备，减少和防止生产过程中的跑冒滴漏和事故性排放；</w:t>
      </w:r>
    </w:p>
    <w:p w14:paraId="681632F9">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⑤合理布置车间，将产生无组织废气的工序尽量布置在远离厂界的地方，以减少无组织废气对厂界周围环境的影响；</w:t>
      </w:r>
    </w:p>
    <w:p w14:paraId="36AE671B">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US" w:eastAsia="zh-CN" w:bidi="ar-SA"/>
        </w:rPr>
        <w:t>⑥加强运行管理和环境管理，提高工人操作水平，通过宣传增强职工环保意识，积极推行清洁生产，节能降耗，多种措施并举，减少污染物排放。</w:t>
      </w:r>
    </w:p>
    <w:p w14:paraId="2853C106">
      <w:pPr>
        <w:pStyle w:val="3"/>
        <w:pageBreakBefore w:val="0"/>
        <w:widowControl w:val="0"/>
        <w:kinsoku/>
        <w:wordWrap/>
        <w:overflowPunct/>
        <w:topLinePunct w:val="0"/>
        <w:bidi w:val="0"/>
        <w:spacing w:before="0" w:after="0" w:line="360" w:lineRule="auto"/>
        <w:textAlignment w:val="auto"/>
        <w:rPr>
          <w:rFonts w:eastAsia="宋体"/>
          <w:color w:val="auto"/>
          <w:kern w:val="0"/>
          <w:szCs w:val="28"/>
        </w:rPr>
      </w:pPr>
      <w:bookmarkStart w:id="96" w:name="_Toc20695"/>
      <w:r>
        <w:rPr>
          <w:rFonts w:hint="eastAsia" w:eastAsia="宋体"/>
          <w:color w:val="auto"/>
          <w:kern w:val="0"/>
          <w:szCs w:val="28"/>
        </w:rPr>
        <w:t>5.3非正常排放控制措施</w:t>
      </w:r>
      <w:bookmarkEnd w:id="95"/>
      <w:bookmarkEnd w:id="96"/>
    </w:p>
    <w:p w14:paraId="66FEEABC">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GB" w:eastAsia="zh-CN" w:bidi="ar-SA"/>
        </w:rPr>
        <w:t>本项目非正常排放工况：一是开停车或检维修，二是废气处理装置出现故障，本项目拟采取以下处理措施进行处理：</w:t>
      </w:r>
    </w:p>
    <w:p w14:paraId="2B371926">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GB" w:eastAsia="zh-CN" w:bidi="ar-SA"/>
        </w:rPr>
        <w:t>（</w:t>
      </w:r>
      <w:r>
        <w:rPr>
          <w:rFonts w:hint="eastAsia" w:ascii="Times New Roman" w:hAnsi="宋体" w:eastAsia="宋体" w:cs="Times New Roman"/>
          <w:color w:val="auto"/>
          <w:kern w:val="2"/>
          <w:sz w:val="24"/>
          <w:szCs w:val="22"/>
          <w:lang w:val="en-US" w:eastAsia="zh-CN" w:bidi="ar-SA"/>
        </w:rPr>
        <w:t>1</w:t>
      </w:r>
      <w:r>
        <w:rPr>
          <w:rFonts w:hint="eastAsia" w:ascii="Times New Roman" w:hAnsi="宋体" w:eastAsia="宋体" w:cs="Times New Roman"/>
          <w:color w:val="auto"/>
          <w:kern w:val="2"/>
          <w:sz w:val="24"/>
          <w:szCs w:val="22"/>
          <w:lang w:val="en-GB" w:eastAsia="zh-CN" w:bidi="ar-SA"/>
        </w:rPr>
        <w:t>）提高设备自动控制水平，生产线尽量采用自动装置；采用优质设备，减少开停车或检维修频次。</w:t>
      </w:r>
    </w:p>
    <w:p w14:paraId="59C32678">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GB" w:eastAsia="zh-CN" w:bidi="ar-SA"/>
        </w:rPr>
        <w:t>（2）加强废气处理装置运行维护管理，减少废气处理装置出现故障。</w:t>
      </w:r>
    </w:p>
    <w:p w14:paraId="15D9C2BE">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GB" w:eastAsia="zh-CN" w:bidi="ar-SA"/>
        </w:rPr>
        <w:t>（</w:t>
      </w:r>
      <w:r>
        <w:rPr>
          <w:rFonts w:hint="eastAsia" w:ascii="Times New Roman" w:hAnsi="宋体" w:eastAsia="宋体" w:cs="Times New Roman"/>
          <w:color w:val="auto"/>
          <w:kern w:val="2"/>
          <w:sz w:val="24"/>
          <w:szCs w:val="22"/>
          <w:lang w:val="en-US" w:eastAsia="zh-CN" w:bidi="ar-SA"/>
        </w:rPr>
        <w:t>3</w:t>
      </w:r>
      <w:r>
        <w:rPr>
          <w:rFonts w:hint="eastAsia" w:ascii="Times New Roman" w:hAnsi="宋体" w:eastAsia="宋体" w:cs="Times New Roman"/>
          <w:color w:val="auto"/>
          <w:kern w:val="2"/>
          <w:sz w:val="24"/>
          <w:szCs w:val="22"/>
          <w:lang w:val="en-GB" w:eastAsia="zh-CN" w:bidi="ar-SA"/>
        </w:rPr>
        <w:t>）加强生产运行监督和管理，对可能出现的非正常排放情况制定预案或应急措施，出现非正常排放时及时妥善处理；</w:t>
      </w:r>
    </w:p>
    <w:p w14:paraId="1DDEEF25">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GB" w:eastAsia="zh-CN" w:bidi="ar-SA"/>
        </w:rPr>
        <w:t>（</w:t>
      </w:r>
      <w:r>
        <w:rPr>
          <w:rFonts w:hint="eastAsia" w:ascii="Times New Roman" w:hAnsi="宋体" w:eastAsia="宋体" w:cs="Times New Roman"/>
          <w:color w:val="auto"/>
          <w:kern w:val="2"/>
          <w:sz w:val="24"/>
          <w:szCs w:val="22"/>
          <w:lang w:val="en-US" w:eastAsia="zh-CN" w:bidi="ar-SA"/>
        </w:rPr>
        <w:t>4</w:t>
      </w:r>
      <w:r>
        <w:rPr>
          <w:rFonts w:hint="eastAsia" w:ascii="Times New Roman" w:hAnsi="宋体" w:eastAsia="宋体" w:cs="Times New Roman"/>
          <w:color w:val="auto"/>
          <w:kern w:val="2"/>
          <w:sz w:val="24"/>
          <w:szCs w:val="22"/>
          <w:lang w:val="en-GB" w:eastAsia="zh-CN" w:bidi="ar-SA"/>
        </w:rPr>
        <w:t>）开启过程中，应先运行废气处理装置，后运行生产装置；停止过程中，应先停止生产装置，后停止废气处理装置，在确保废气有效处理后再停止废气处理装置。</w:t>
      </w:r>
    </w:p>
    <w:p w14:paraId="7793CEDD">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US" w:eastAsia="zh-CN" w:bidi="ar-SA"/>
        </w:rPr>
        <w:t>（5）</w:t>
      </w:r>
      <w:r>
        <w:rPr>
          <w:rFonts w:hint="eastAsia" w:ascii="Times New Roman" w:hAnsi="宋体" w:eastAsia="宋体" w:cs="Times New Roman"/>
          <w:color w:val="auto"/>
          <w:kern w:val="2"/>
          <w:sz w:val="24"/>
          <w:szCs w:val="22"/>
          <w:lang w:val="en-GB" w:eastAsia="zh-CN" w:bidi="ar-SA"/>
        </w:rPr>
        <w:t>检修过程中，应与停车的操作规程一致，先停止生产装置，后停止废气处理装置，确保废气通过送至废气处理装置处理后通过排气筒排放。</w:t>
      </w:r>
    </w:p>
    <w:p w14:paraId="11B802B7">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GB" w:eastAsia="zh-CN" w:bidi="ar-SA"/>
        </w:rPr>
        <w:t>（</w:t>
      </w:r>
      <w:r>
        <w:rPr>
          <w:rFonts w:hint="eastAsia" w:ascii="Times New Roman" w:hAnsi="宋体" w:eastAsia="宋体" w:cs="Times New Roman"/>
          <w:color w:val="auto"/>
          <w:kern w:val="2"/>
          <w:sz w:val="24"/>
          <w:szCs w:val="22"/>
          <w:lang w:val="en-US" w:eastAsia="zh-CN" w:bidi="ar-SA"/>
        </w:rPr>
        <w:t>6</w:t>
      </w:r>
      <w:r>
        <w:rPr>
          <w:rFonts w:hint="eastAsia" w:ascii="Times New Roman" w:hAnsi="宋体" w:eastAsia="宋体" w:cs="Times New Roman"/>
          <w:color w:val="auto"/>
          <w:kern w:val="2"/>
          <w:sz w:val="24"/>
          <w:szCs w:val="22"/>
          <w:lang w:val="en-GB" w:eastAsia="zh-CN" w:bidi="ar-SA"/>
        </w:rPr>
        <w:t>）加强巡查，确保所有废气处理装置均正常运行，确保废气有效处理和正常达标排放。</w:t>
      </w:r>
    </w:p>
    <w:p w14:paraId="472748DC">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US" w:eastAsia="zh-CN" w:bidi="ar-SA"/>
        </w:rPr>
      </w:pPr>
      <w:r>
        <w:rPr>
          <w:rFonts w:hint="eastAsia" w:ascii="Times New Roman" w:hAnsi="宋体" w:eastAsia="宋体" w:cs="Times New Roman"/>
          <w:color w:val="auto"/>
          <w:kern w:val="2"/>
          <w:sz w:val="24"/>
          <w:szCs w:val="22"/>
          <w:lang w:val="en-GB" w:eastAsia="zh-CN" w:bidi="ar-SA"/>
        </w:rPr>
        <w:t>（</w:t>
      </w:r>
      <w:r>
        <w:rPr>
          <w:rFonts w:hint="eastAsia" w:ascii="Times New Roman" w:hAnsi="宋体" w:eastAsia="宋体" w:cs="Times New Roman"/>
          <w:color w:val="auto"/>
          <w:kern w:val="2"/>
          <w:sz w:val="24"/>
          <w:szCs w:val="22"/>
          <w:lang w:val="en-US" w:eastAsia="zh-CN" w:bidi="ar-SA"/>
        </w:rPr>
        <w:t>7</w:t>
      </w:r>
      <w:r>
        <w:rPr>
          <w:rFonts w:hint="eastAsia" w:ascii="Times New Roman" w:hAnsi="宋体" w:eastAsia="宋体" w:cs="Times New Roman"/>
          <w:color w:val="auto"/>
          <w:kern w:val="2"/>
          <w:sz w:val="24"/>
          <w:szCs w:val="22"/>
          <w:lang w:val="en-GB" w:eastAsia="zh-CN" w:bidi="ar-SA"/>
        </w:rPr>
        <w:t>）加强车间无组织和非正常废气的收集和处理措施，减少车间无组织排放，降低非正常排放的概率，减少对周围环境的污染。</w:t>
      </w:r>
    </w:p>
    <w:p w14:paraId="297D5451">
      <w:pPr>
        <w:pStyle w:val="3"/>
        <w:pageBreakBefore w:val="0"/>
        <w:widowControl w:val="0"/>
        <w:kinsoku/>
        <w:wordWrap/>
        <w:overflowPunct/>
        <w:topLinePunct w:val="0"/>
        <w:bidi w:val="0"/>
        <w:spacing w:before="0" w:after="0" w:line="360" w:lineRule="auto"/>
        <w:textAlignment w:val="auto"/>
        <w:rPr>
          <w:rFonts w:eastAsia="宋体"/>
          <w:color w:val="auto"/>
          <w:kern w:val="0"/>
          <w:szCs w:val="28"/>
        </w:rPr>
      </w:pPr>
      <w:bookmarkStart w:id="97" w:name="_Toc28249"/>
      <w:bookmarkStart w:id="98" w:name="_Toc2074"/>
      <w:r>
        <w:rPr>
          <w:rFonts w:hint="eastAsia" w:eastAsia="宋体"/>
          <w:color w:val="auto"/>
          <w:kern w:val="0"/>
          <w:szCs w:val="28"/>
        </w:rPr>
        <w:t>5</w:t>
      </w:r>
      <w:r>
        <w:rPr>
          <w:rFonts w:eastAsia="宋体"/>
          <w:color w:val="auto"/>
          <w:kern w:val="0"/>
          <w:szCs w:val="28"/>
        </w:rPr>
        <w:t>.4经济可行性分析</w:t>
      </w:r>
      <w:bookmarkEnd w:id="97"/>
      <w:bookmarkEnd w:id="98"/>
    </w:p>
    <w:p w14:paraId="056DDFC4">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宋体" w:eastAsia="宋体" w:cs="Times New Roman"/>
          <w:color w:val="auto"/>
          <w:kern w:val="2"/>
          <w:sz w:val="24"/>
          <w:szCs w:val="22"/>
          <w:lang w:val="en-GB" w:eastAsia="zh-CN" w:bidi="ar-SA"/>
        </w:rPr>
      </w:pPr>
      <w:r>
        <w:rPr>
          <w:rFonts w:hint="eastAsia" w:ascii="Times New Roman" w:hAnsi="宋体" w:eastAsia="宋体" w:cs="Times New Roman"/>
          <w:color w:val="auto"/>
          <w:kern w:val="2"/>
          <w:sz w:val="24"/>
          <w:szCs w:val="22"/>
          <w:lang w:val="en-GB" w:eastAsia="zh-CN" w:bidi="ar-SA"/>
        </w:rPr>
        <w:t>建设项目设置1套“</w:t>
      </w:r>
      <w:r>
        <w:rPr>
          <w:rFonts w:hint="eastAsia" w:ascii="Times New Roman" w:hAnsi="宋体" w:eastAsia="宋体" w:cs="Times New Roman"/>
          <w:color w:val="auto"/>
          <w:kern w:val="2"/>
          <w:sz w:val="24"/>
          <w:szCs w:val="22"/>
          <w:lang w:val="en-US" w:eastAsia="zh-CN" w:bidi="ar-SA"/>
        </w:rPr>
        <w:t>水喷淋+静电净化”</w:t>
      </w:r>
      <w:r>
        <w:rPr>
          <w:rFonts w:hint="eastAsia" w:ascii="Times New Roman" w:hAnsi="宋体" w:eastAsia="宋体" w:cs="Times New Roman"/>
          <w:color w:val="auto"/>
          <w:kern w:val="2"/>
          <w:sz w:val="24"/>
          <w:szCs w:val="22"/>
          <w:lang w:val="en-GB" w:eastAsia="zh-CN" w:bidi="ar-SA"/>
        </w:rPr>
        <w:t>装置、</w:t>
      </w:r>
      <w:r>
        <w:rPr>
          <w:rFonts w:hint="eastAsia" w:hAnsi="宋体" w:cs="Times New Roman"/>
          <w:color w:val="auto"/>
          <w:kern w:val="2"/>
          <w:sz w:val="24"/>
          <w:szCs w:val="22"/>
          <w:lang w:val="en-US" w:eastAsia="zh-CN" w:bidi="ar-SA"/>
        </w:rPr>
        <w:t>1套“布袋除尘”装置、2</w:t>
      </w:r>
      <w:r>
        <w:rPr>
          <w:rFonts w:hint="eastAsia" w:ascii="Times New Roman" w:hAnsi="宋体" w:eastAsia="宋体" w:cs="Times New Roman"/>
          <w:color w:val="auto"/>
          <w:kern w:val="2"/>
          <w:sz w:val="24"/>
          <w:szCs w:val="22"/>
          <w:lang w:val="en-US" w:eastAsia="zh-CN" w:bidi="ar-SA"/>
        </w:rPr>
        <w:t>套“低氮燃烧+SNCR+</w:t>
      </w:r>
      <w:r>
        <w:rPr>
          <w:rFonts w:hint="eastAsia" w:hAnsi="宋体" w:cs="Times New Roman"/>
          <w:color w:val="auto"/>
          <w:kern w:val="2"/>
          <w:sz w:val="24"/>
          <w:szCs w:val="22"/>
          <w:lang w:val="en-US" w:eastAsia="zh-CN" w:bidi="ar-SA"/>
        </w:rPr>
        <w:t>石灰喷雾干燥+</w:t>
      </w:r>
      <w:r>
        <w:rPr>
          <w:rFonts w:hint="eastAsia" w:ascii="Times New Roman" w:hAnsi="宋体" w:eastAsia="宋体" w:cs="Times New Roman"/>
          <w:color w:val="auto"/>
          <w:kern w:val="2"/>
          <w:sz w:val="24"/>
          <w:szCs w:val="22"/>
          <w:lang w:val="en-US" w:eastAsia="zh-CN" w:bidi="ar-SA"/>
        </w:rPr>
        <w:t>余热回收+旋风除尘+布袋除尘+水幕除尘”装置，</w:t>
      </w:r>
      <w:r>
        <w:rPr>
          <w:rFonts w:hint="eastAsia" w:ascii="Times New Roman" w:hAnsi="宋体" w:eastAsia="宋体" w:cs="Times New Roman"/>
          <w:color w:val="auto"/>
          <w:kern w:val="2"/>
          <w:sz w:val="24"/>
          <w:szCs w:val="22"/>
          <w:lang w:val="en-GB" w:eastAsia="zh-CN" w:bidi="ar-SA"/>
        </w:rPr>
        <w:t>废气处理环保投资</w:t>
      </w:r>
      <w:r>
        <w:rPr>
          <w:rFonts w:hint="eastAsia" w:ascii="Times New Roman" w:hAnsi="宋体" w:eastAsia="宋体" w:cs="Times New Roman"/>
          <w:color w:val="auto"/>
          <w:kern w:val="2"/>
          <w:sz w:val="24"/>
          <w:szCs w:val="22"/>
          <w:lang w:val="en-US" w:eastAsia="zh-CN" w:bidi="ar-SA"/>
        </w:rPr>
        <w:t>80</w:t>
      </w:r>
      <w:r>
        <w:rPr>
          <w:rFonts w:hint="eastAsia" w:ascii="Times New Roman" w:hAnsi="宋体" w:eastAsia="宋体" w:cs="Times New Roman"/>
          <w:color w:val="auto"/>
          <w:kern w:val="2"/>
          <w:sz w:val="24"/>
          <w:szCs w:val="22"/>
          <w:lang w:val="en-GB" w:eastAsia="zh-CN" w:bidi="ar-SA"/>
        </w:rPr>
        <w:t>万元，主要用于废气处理设施、人工工资等方面，项目总投资</w:t>
      </w:r>
      <w:r>
        <w:rPr>
          <w:rFonts w:hint="eastAsia" w:ascii="Times New Roman" w:hAnsi="宋体" w:eastAsia="宋体" w:cs="Times New Roman"/>
          <w:color w:val="auto"/>
          <w:kern w:val="2"/>
          <w:sz w:val="24"/>
          <w:szCs w:val="22"/>
          <w:lang w:val="en-US" w:eastAsia="zh-CN" w:bidi="ar-SA"/>
        </w:rPr>
        <w:t>8000</w:t>
      </w:r>
      <w:r>
        <w:rPr>
          <w:rFonts w:hint="eastAsia" w:ascii="Times New Roman" w:hAnsi="宋体" w:eastAsia="宋体" w:cs="Times New Roman"/>
          <w:color w:val="auto"/>
          <w:kern w:val="2"/>
          <w:sz w:val="24"/>
          <w:szCs w:val="22"/>
          <w:lang w:val="en-GB" w:eastAsia="zh-CN" w:bidi="ar-SA"/>
        </w:rPr>
        <w:t>万元，占项目总投资的</w:t>
      </w:r>
      <w:r>
        <w:rPr>
          <w:rFonts w:hint="eastAsia" w:ascii="Times New Roman" w:hAnsi="宋体" w:eastAsia="宋体" w:cs="Times New Roman"/>
          <w:color w:val="auto"/>
          <w:kern w:val="2"/>
          <w:sz w:val="24"/>
          <w:szCs w:val="22"/>
          <w:lang w:val="en-US" w:eastAsia="zh-CN" w:bidi="ar-SA"/>
        </w:rPr>
        <w:t>1</w:t>
      </w:r>
      <w:r>
        <w:rPr>
          <w:rFonts w:hint="eastAsia" w:ascii="Times New Roman" w:hAnsi="宋体" w:eastAsia="宋体" w:cs="Times New Roman"/>
          <w:color w:val="auto"/>
          <w:kern w:val="2"/>
          <w:sz w:val="24"/>
          <w:szCs w:val="22"/>
          <w:lang w:val="en-GB" w:eastAsia="zh-CN" w:bidi="ar-SA"/>
        </w:rPr>
        <w:t>%，在可接受范围内，同时废气处理装置年运行费用占产品的总销售利润比率较小，因此，建设项目废气治理设施从技术和经济方面均可行。建设项目</w:t>
      </w:r>
      <w:r>
        <w:rPr>
          <w:rFonts w:hint="eastAsia" w:ascii="Times New Roman" w:hAnsi="宋体" w:eastAsia="宋体" w:cs="Times New Roman"/>
          <w:color w:val="auto"/>
          <w:kern w:val="2"/>
          <w:sz w:val="24"/>
          <w:szCs w:val="22"/>
          <w:lang w:val="en-US" w:eastAsia="zh-CN" w:bidi="ar-SA"/>
        </w:rPr>
        <w:t>废气</w:t>
      </w:r>
      <w:r>
        <w:rPr>
          <w:rFonts w:hint="eastAsia" w:ascii="Times New Roman" w:hAnsi="宋体" w:eastAsia="宋体" w:cs="Times New Roman"/>
          <w:color w:val="auto"/>
          <w:kern w:val="2"/>
          <w:sz w:val="24"/>
          <w:szCs w:val="22"/>
          <w:lang w:val="en-GB" w:eastAsia="zh-CN" w:bidi="ar-SA"/>
        </w:rPr>
        <w:t>环保措施见表5-</w:t>
      </w:r>
      <w:r>
        <w:rPr>
          <w:rFonts w:hint="eastAsia" w:ascii="Times New Roman" w:hAnsi="宋体" w:eastAsia="宋体" w:cs="Times New Roman"/>
          <w:color w:val="auto"/>
          <w:kern w:val="2"/>
          <w:sz w:val="24"/>
          <w:szCs w:val="22"/>
          <w:lang w:val="en-US" w:eastAsia="zh-CN" w:bidi="ar-SA"/>
        </w:rPr>
        <w:t>5</w:t>
      </w:r>
      <w:r>
        <w:rPr>
          <w:rFonts w:hint="eastAsia" w:ascii="Times New Roman" w:hAnsi="宋体" w:eastAsia="宋体" w:cs="Times New Roman"/>
          <w:color w:val="auto"/>
          <w:kern w:val="2"/>
          <w:sz w:val="24"/>
          <w:szCs w:val="22"/>
          <w:lang w:val="en-GB" w:eastAsia="zh-CN" w:bidi="ar-SA"/>
        </w:rPr>
        <w:t>。</w:t>
      </w:r>
    </w:p>
    <w:p w14:paraId="63B5C945">
      <w:pPr>
        <w:adjustRightInd w:val="0"/>
        <w:snapToGrid w:val="0"/>
        <w:spacing w:line="460" w:lineRule="exact"/>
        <w:jc w:val="center"/>
        <w:rPr>
          <w:b/>
          <w:color w:val="auto"/>
          <w:sz w:val="24"/>
          <w:szCs w:val="24"/>
        </w:rPr>
      </w:pPr>
      <w:r>
        <w:rPr>
          <w:b/>
          <w:color w:val="auto"/>
          <w:sz w:val="24"/>
          <w:szCs w:val="24"/>
        </w:rPr>
        <w:t>表</w:t>
      </w:r>
      <w:r>
        <w:rPr>
          <w:rFonts w:hint="eastAsia"/>
          <w:b/>
          <w:color w:val="auto"/>
          <w:sz w:val="24"/>
          <w:szCs w:val="24"/>
        </w:rPr>
        <w:t>5-</w:t>
      </w:r>
      <w:r>
        <w:rPr>
          <w:rFonts w:hint="eastAsia"/>
          <w:b/>
          <w:color w:val="auto"/>
          <w:sz w:val="24"/>
          <w:szCs w:val="24"/>
          <w:lang w:val="en-US" w:eastAsia="zh-CN"/>
        </w:rPr>
        <w:t>5</w:t>
      </w:r>
      <w:r>
        <w:rPr>
          <w:b/>
          <w:color w:val="auto"/>
          <w:sz w:val="24"/>
          <w:szCs w:val="24"/>
        </w:rPr>
        <w:t xml:space="preserve">  大气环境保护治理措施投资一览表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790"/>
        <w:gridCol w:w="1545"/>
        <w:gridCol w:w="1657"/>
        <w:gridCol w:w="1461"/>
      </w:tblGrid>
      <w:tr w14:paraId="0064A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dxa"/>
            <w:tcMar>
              <w:left w:w="0" w:type="dxa"/>
              <w:right w:w="0" w:type="dxa"/>
            </w:tcMar>
            <w:vAlign w:val="center"/>
          </w:tcPr>
          <w:p w14:paraId="2738E2C0">
            <w:pPr>
              <w:spacing w:line="360" w:lineRule="exact"/>
              <w:jc w:val="center"/>
              <w:rPr>
                <w:b/>
                <w:color w:val="auto"/>
                <w:sz w:val="21"/>
                <w:szCs w:val="21"/>
              </w:rPr>
            </w:pPr>
            <w:r>
              <w:rPr>
                <w:b/>
                <w:color w:val="auto"/>
                <w:sz w:val="21"/>
                <w:szCs w:val="21"/>
              </w:rPr>
              <w:t>污染源</w:t>
            </w:r>
          </w:p>
        </w:tc>
        <w:tc>
          <w:tcPr>
            <w:tcW w:w="2790" w:type="dxa"/>
            <w:tcMar>
              <w:left w:w="0" w:type="dxa"/>
              <w:right w:w="0" w:type="dxa"/>
            </w:tcMar>
            <w:vAlign w:val="center"/>
          </w:tcPr>
          <w:p w14:paraId="6A6A6781">
            <w:pPr>
              <w:spacing w:line="360" w:lineRule="exact"/>
              <w:jc w:val="center"/>
              <w:rPr>
                <w:b/>
                <w:color w:val="auto"/>
                <w:sz w:val="21"/>
                <w:szCs w:val="21"/>
              </w:rPr>
            </w:pPr>
            <w:r>
              <w:rPr>
                <w:b/>
                <w:color w:val="auto"/>
                <w:sz w:val="21"/>
                <w:szCs w:val="21"/>
              </w:rPr>
              <w:t>环境保护设施名称</w:t>
            </w:r>
          </w:p>
        </w:tc>
        <w:tc>
          <w:tcPr>
            <w:tcW w:w="1545" w:type="dxa"/>
            <w:vAlign w:val="center"/>
          </w:tcPr>
          <w:p w14:paraId="7572513F">
            <w:pPr>
              <w:spacing w:line="360" w:lineRule="exact"/>
              <w:jc w:val="center"/>
              <w:rPr>
                <w:b/>
                <w:color w:val="auto"/>
                <w:sz w:val="21"/>
                <w:szCs w:val="21"/>
              </w:rPr>
            </w:pPr>
            <w:r>
              <w:rPr>
                <w:b/>
                <w:color w:val="auto"/>
                <w:sz w:val="21"/>
                <w:szCs w:val="21"/>
              </w:rPr>
              <w:t>投资估算（万元）</w:t>
            </w:r>
          </w:p>
        </w:tc>
        <w:tc>
          <w:tcPr>
            <w:tcW w:w="1657" w:type="dxa"/>
            <w:vAlign w:val="center"/>
          </w:tcPr>
          <w:p w14:paraId="79846BE8">
            <w:pPr>
              <w:spacing w:line="360" w:lineRule="exact"/>
              <w:jc w:val="center"/>
              <w:rPr>
                <w:b/>
                <w:color w:val="auto"/>
                <w:sz w:val="21"/>
                <w:szCs w:val="21"/>
              </w:rPr>
            </w:pPr>
            <w:r>
              <w:rPr>
                <w:b/>
                <w:color w:val="auto"/>
                <w:sz w:val="21"/>
                <w:szCs w:val="21"/>
              </w:rPr>
              <w:t>预期效果</w:t>
            </w:r>
          </w:p>
        </w:tc>
        <w:tc>
          <w:tcPr>
            <w:tcW w:w="1461" w:type="dxa"/>
            <w:tcMar>
              <w:left w:w="0" w:type="dxa"/>
              <w:right w:w="0" w:type="dxa"/>
            </w:tcMar>
            <w:vAlign w:val="center"/>
          </w:tcPr>
          <w:p w14:paraId="1F90AD1A">
            <w:pPr>
              <w:spacing w:line="360" w:lineRule="exact"/>
              <w:jc w:val="center"/>
              <w:rPr>
                <w:b/>
                <w:color w:val="auto"/>
                <w:sz w:val="21"/>
                <w:szCs w:val="21"/>
              </w:rPr>
            </w:pPr>
            <w:r>
              <w:rPr>
                <w:b/>
                <w:color w:val="auto"/>
                <w:sz w:val="21"/>
                <w:szCs w:val="21"/>
              </w:rPr>
              <w:t>进度</w:t>
            </w:r>
          </w:p>
        </w:tc>
      </w:tr>
      <w:tr w14:paraId="0A628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dxa"/>
            <w:vMerge w:val="restart"/>
            <w:tcMar>
              <w:left w:w="0" w:type="dxa"/>
              <w:right w:w="0" w:type="dxa"/>
            </w:tcMar>
            <w:vAlign w:val="center"/>
          </w:tcPr>
          <w:p w14:paraId="492FB59F">
            <w:pPr>
              <w:autoSpaceDE w:val="0"/>
              <w:autoSpaceDN w:val="0"/>
              <w:adjustRightInd w:val="0"/>
              <w:spacing w:line="360" w:lineRule="exact"/>
              <w:jc w:val="center"/>
              <w:rPr>
                <w:color w:val="auto"/>
                <w:sz w:val="21"/>
                <w:szCs w:val="21"/>
              </w:rPr>
            </w:pPr>
            <w:r>
              <w:rPr>
                <w:color w:val="auto"/>
                <w:sz w:val="21"/>
                <w:szCs w:val="21"/>
              </w:rPr>
              <w:t>废气</w:t>
            </w:r>
          </w:p>
        </w:tc>
        <w:tc>
          <w:tcPr>
            <w:tcW w:w="2790" w:type="dxa"/>
            <w:tcMar>
              <w:left w:w="0" w:type="dxa"/>
              <w:right w:w="0" w:type="dxa"/>
            </w:tcMar>
            <w:vAlign w:val="center"/>
          </w:tcPr>
          <w:p w14:paraId="1CCCF1BB">
            <w:pPr>
              <w:autoSpaceDE w:val="0"/>
              <w:autoSpaceDN w:val="0"/>
              <w:adjustRightInd w:val="0"/>
              <w:spacing w:line="360" w:lineRule="exact"/>
              <w:jc w:val="center"/>
              <w:rPr>
                <w:color w:val="auto"/>
                <w:sz w:val="21"/>
                <w:szCs w:val="21"/>
              </w:rPr>
            </w:pPr>
            <w:r>
              <w:rPr>
                <w:rFonts w:hint="eastAsia"/>
                <w:color w:val="auto"/>
                <w:sz w:val="21"/>
                <w:szCs w:val="21"/>
              </w:rPr>
              <w:t>1</w:t>
            </w:r>
            <w:r>
              <w:rPr>
                <w:color w:val="auto"/>
                <w:sz w:val="21"/>
                <w:szCs w:val="21"/>
              </w:rPr>
              <w:t>套</w:t>
            </w:r>
            <w:r>
              <w:rPr>
                <w:rFonts w:hint="eastAsia"/>
                <w:color w:val="auto"/>
                <w:sz w:val="21"/>
                <w:szCs w:val="21"/>
              </w:rPr>
              <w:t>“</w:t>
            </w:r>
            <w:r>
              <w:rPr>
                <w:rFonts w:hint="eastAsia"/>
                <w:color w:val="auto"/>
                <w:sz w:val="21"/>
                <w:szCs w:val="21"/>
                <w:lang w:val="en-US" w:eastAsia="zh-CN"/>
              </w:rPr>
              <w:t>水喷淋+静电净化</w:t>
            </w:r>
            <w:r>
              <w:rPr>
                <w:rFonts w:hint="eastAsia"/>
                <w:color w:val="auto"/>
                <w:sz w:val="21"/>
                <w:szCs w:val="21"/>
              </w:rPr>
              <w:t>”</w:t>
            </w:r>
            <w:r>
              <w:rPr>
                <w:color w:val="auto"/>
                <w:sz w:val="21"/>
                <w:szCs w:val="21"/>
                <w:lang w:val="en-GB"/>
              </w:rPr>
              <w:t>装置</w:t>
            </w:r>
          </w:p>
        </w:tc>
        <w:tc>
          <w:tcPr>
            <w:tcW w:w="1545" w:type="dxa"/>
            <w:vAlign w:val="center"/>
          </w:tcPr>
          <w:p w14:paraId="4D7BAEAE">
            <w:pPr>
              <w:spacing w:line="360" w:lineRule="exact"/>
              <w:jc w:val="center"/>
              <w:rPr>
                <w:rFonts w:hint="default" w:eastAsia="宋体"/>
                <w:color w:val="auto"/>
                <w:sz w:val="21"/>
                <w:szCs w:val="21"/>
                <w:lang w:val="en-US" w:eastAsia="zh-CN"/>
              </w:rPr>
            </w:pPr>
            <w:r>
              <w:rPr>
                <w:rFonts w:hint="eastAsia"/>
                <w:color w:val="auto"/>
                <w:sz w:val="21"/>
                <w:szCs w:val="21"/>
                <w:lang w:val="en-US" w:eastAsia="zh-CN"/>
              </w:rPr>
              <w:t>25</w:t>
            </w:r>
          </w:p>
        </w:tc>
        <w:tc>
          <w:tcPr>
            <w:tcW w:w="1657" w:type="dxa"/>
            <w:vAlign w:val="center"/>
          </w:tcPr>
          <w:p w14:paraId="51E3367E">
            <w:pPr>
              <w:spacing w:line="360" w:lineRule="exact"/>
              <w:jc w:val="center"/>
              <w:rPr>
                <w:color w:val="auto"/>
                <w:sz w:val="21"/>
                <w:szCs w:val="21"/>
              </w:rPr>
            </w:pPr>
            <w:r>
              <w:rPr>
                <w:color w:val="auto"/>
                <w:sz w:val="21"/>
                <w:szCs w:val="21"/>
              </w:rPr>
              <w:t>满足环保要求</w:t>
            </w:r>
          </w:p>
        </w:tc>
        <w:tc>
          <w:tcPr>
            <w:tcW w:w="1461" w:type="dxa"/>
            <w:vMerge w:val="restart"/>
            <w:tcMar>
              <w:left w:w="0" w:type="dxa"/>
              <w:right w:w="0" w:type="dxa"/>
            </w:tcMar>
            <w:vAlign w:val="center"/>
          </w:tcPr>
          <w:p w14:paraId="14DDF8F4">
            <w:pPr>
              <w:pStyle w:val="128"/>
              <w:spacing w:line="360" w:lineRule="exact"/>
              <w:rPr>
                <w:color w:val="auto"/>
                <w:sz w:val="21"/>
                <w:szCs w:val="21"/>
              </w:rPr>
            </w:pPr>
            <w:r>
              <w:rPr>
                <w:color w:val="auto"/>
                <w:sz w:val="21"/>
                <w:szCs w:val="21"/>
              </w:rPr>
              <w:t>与主体工程同时施工、同时投产、同时使用</w:t>
            </w:r>
          </w:p>
        </w:tc>
      </w:tr>
      <w:tr w14:paraId="24AF7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dxa"/>
            <w:vMerge w:val="continue"/>
            <w:tcMar>
              <w:left w:w="0" w:type="dxa"/>
              <w:right w:w="0" w:type="dxa"/>
            </w:tcMar>
            <w:vAlign w:val="center"/>
          </w:tcPr>
          <w:p w14:paraId="14EE9F88">
            <w:pPr>
              <w:autoSpaceDE w:val="0"/>
              <w:autoSpaceDN w:val="0"/>
              <w:adjustRightInd w:val="0"/>
              <w:spacing w:line="360" w:lineRule="exact"/>
              <w:jc w:val="center"/>
              <w:rPr>
                <w:color w:val="auto"/>
                <w:sz w:val="21"/>
                <w:szCs w:val="21"/>
              </w:rPr>
            </w:pPr>
          </w:p>
        </w:tc>
        <w:tc>
          <w:tcPr>
            <w:tcW w:w="2790" w:type="dxa"/>
            <w:tcMar>
              <w:left w:w="0" w:type="dxa"/>
              <w:right w:w="0" w:type="dxa"/>
            </w:tcMar>
            <w:vAlign w:val="center"/>
          </w:tcPr>
          <w:p w14:paraId="62961F6E">
            <w:pPr>
              <w:autoSpaceDE w:val="0"/>
              <w:autoSpaceDN w:val="0"/>
              <w:adjustRightInd w:val="0"/>
              <w:spacing w:line="360" w:lineRule="exact"/>
              <w:jc w:val="center"/>
              <w:rPr>
                <w:rFonts w:hint="default" w:eastAsia="宋体"/>
                <w:color w:val="auto"/>
                <w:sz w:val="21"/>
                <w:szCs w:val="21"/>
                <w:lang w:val="en-US" w:eastAsia="zh-CN"/>
              </w:rPr>
            </w:pPr>
            <w:r>
              <w:rPr>
                <w:rFonts w:hint="eastAsia"/>
                <w:color w:val="auto"/>
                <w:sz w:val="21"/>
                <w:szCs w:val="21"/>
                <w:lang w:val="en-US" w:eastAsia="zh-CN"/>
              </w:rPr>
              <w:t>1套“布袋除尘”装置</w:t>
            </w:r>
          </w:p>
        </w:tc>
        <w:tc>
          <w:tcPr>
            <w:tcW w:w="1545" w:type="dxa"/>
            <w:vAlign w:val="center"/>
          </w:tcPr>
          <w:p w14:paraId="1AC093A9">
            <w:pPr>
              <w:spacing w:line="360" w:lineRule="exact"/>
              <w:jc w:val="center"/>
              <w:rPr>
                <w:rFonts w:hint="default"/>
                <w:color w:val="auto"/>
                <w:sz w:val="21"/>
                <w:szCs w:val="21"/>
                <w:lang w:val="en-US" w:eastAsia="zh-CN"/>
              </w:rPr>
            </w:pPr>
            <w:r>
              <w:rPr>
                <w:rFonts w:hint="eastAsia"/>
                <w:color w:val="auto"/>
                <w:sz w:val="21"/>
                <w:szCs w:val="21"/>
                <w:lang w:val="en-US" w:eastAsia="zh-CN"/>
              </w:rPr>
              <w:t>15</w:t>
            </w:r>
          </w:p>
        </w:tc>
        <w:tc>
          <w:tcPr>
            <w:tcW w:w="1657" w:type="dxa"/>
            <w:vAlign w:val="center"/>
          </w:tcPr>
          <w:p w14:paraId="0F8DA223">
            <w:pPr>
              <w:spacing w:line="360" w:lineRule="exact"/>
              <w:jc w:val="center"/>
              <w:rPr>
                <w:color w:val="auto"/>
                <w:sz w:val="21"/>
                <w:szCs w:val="21"/>
              </w:rPr>
            </w:pPr>
            <w:r>
              <w:rPr>
                <w:color w:val="auto"/>
                <w:sz w:val="21"/>
                <w:szCs w:val="21"/>
              </w:rPr>
              <w:t>满足环保要求</w:t>
            </w:r>
          </w:p>
        </w:tc>
        <w:tc>
          <w:tcPr>
            <w:tcW w:w="1461" w:type="dxa"/>
            <w:vMerge w:val="continue"/>
            <w:tcMar>
              <w:left w:w="0" w:type="dxa"/>
              <w:right w:w="0" w:type="dxa"/>
            </w:tcMar>
            <w:vAlign w:val="center"/>
          </w:tcPr>
          <w:p w14:paraId="70B372A8">
            <w:pPr>
              <w:pStyle w:val="128"/>
              <w:spacing w:line="360" w:lineRule="exact"/>
              <w:rPr>
                <w:color w:val="auto"/>
                <w:sz w:val="21"/>
                <w:szCs w:val="21"/>
              </w:rPr>
            </w:pPr>
          </w:p>
        </w:tc>
      </w:tr>
      <w:tr w14:paraId="30967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dxa"/>
            <w:vMerge w:val="continue"/>
            <w:tcMar>
              <w:left w:w="0" w:type="dxa"/>
              <w:right w:w="0" w:type="dxa"/>
            </w:tcMar>
            <w:vAlign w:val="center"/>
          </w:tcPr>
          <w:p w14:paraId="2B87A726">
            <w:pPr>
              <w:autoSpaceDE w:val="0"/>
              <w:autoSpaceDN w:val="0"/>
              <w:adjustRightInd w:val="0"/>
              <w:spacing w:line="360" w:lineRule="exact"/>
              <w:jc w:val="center"/>
              <w:rPr>
                <w:color w:val="auto"/>
                <w:sz w:val="21"/>
                <w:szCs w:val="21"/>
              </w:rPr>
            </w:pPr>
          </w:p>
        </w:tc>
        <w:tc>
          <w:tcPr>
            <w:tcW w:w="2790" w:type="dxa"/>
            <w:tcMar>
              <w:left w:w="0" w:type="dxa"/>
              <w:right w:w="0" w:type="dxa"/>
            </w:tcMar>
            <w:vAlign w:val="center"/>
          </w:tcPr>
          <w:p w14:paraId="35034456">
            <w:pPr>
              <w:autoSpaceDE w:val="0"/>
              <w:autoSpaceDN w:val="0"/>
              <w:adjustRightInd w:val="0"/>
              <w:spacing w:line="360" w:lineRule="exact"/>
              <w:jc w:val="center"/>
              <w:rPr>
                <w:color w:val="auto"/>
                <w:sz w:val="21"/>
                <w:szCs w:val="21"/>
              </w:rPr>
            </w:pPr>
            <w:r>
              <w:rPr>
                <w:rFonts w:hint="eastAsia"/>
                <w:color w:val="auto"/>
                <w:sz w:val="21"/>
                <w:szCs w:val="21"/>
                <w:lang w:val="en-US" w:eastAsia="zh-CN"/>
              </w:rPr>
              <w:t>2</w:t>
            </w:r>
            <w:r>
              <w:rPr>
                <w:rFonts w:hint="eastAsia"/>
                <w:color w:val="auto"/>
                <w:sz w:val="21"/>
                <w:szCs w:val="21"/>
              </w:rPr>
              <w:t>套“</w:t>
            </w:r>
            <w:r>
              <w:rPr>
                <w:rFonts w:hint="eastAsia"/>
                <w:color w:val="auto"/>
                <w:sz w:val="21"/>
                <w:szCs w:val="21"/>
                <w:lang w:val="en-US" w:eastAsia="zh-CN"/>
              </w:rPr>
              <w:t>低氮燃烧+SNCR+石灰喷雾干燥+余热回收+旋风除尘+布袋除尘+水幕除尘</w:t>
            </w:r>
            <w:r>
              <w:rPr>
                <w:rFonts w:hint="eastAsia"/>
                <w:color w:val="auto"/>
                <w:sz w:val="21"/>
                <w:szCs w:val="21"/>
              </w:rPr>
              <w:t>”装置</w:t>
            </w:r>
          </w:p>
        </w:tc>
        <w:tc>
          <w:tcPr>
            <w:tcW w:w="1545" w:type="dxa"/>
            <w:vAlign w:val="center"/>
          </w:tcPr>
          <w:p w14:paraId="3C9F0EA2">
            <w:pPr>
              <w:spacing w:line="360" w:lineRule="exact"/>
              <w:jc w:val="center"/>
              <w:rPr>
                <w:rFonts w:hint="default" w:eastAsia="宋体"/>
                <w:color w:val="auto"/>
                <w:sz w:val="21"/>
                <w:szCs w:val="21"/>
                <w:lang w:val="en-US" w:eastAsia="zh-CN"/>
              </w:rPr>
            </w:pPr>
            <w:r>
              <w:rPr>
                <w:rFonts w:hint="eastAsia"/>
                <w:color w:val="auto"/>
                <w:sz w:val="21"/>
                <w:szCs w:val="21"/>
                <w:lang w:val="en-US" w:eastAsia="zh-CN"/>
              </w:rPr>
              <w:t>40</w:t>
            </w:r>
          </w:p>
        </w:tc>
        <w:tc>
          <w:tcPr>
            <w:tcW w:w="1657" w:type="dxa"/>
            <w:vAlign w:val="center"/>
          </w:tcPr>
          <w:p w14:paraId="5E568B64">
            <w:pPr>
              <w:spacing w:line="360" w:lineRule="exact"/>
              <w:jc w:val="center"/>
              <w:rPr>
                <w:color w:val="auto"/>
                <w:sz w:val="21"/>
                <w:szCs w:val="21"/>
              </w:rPr>
            </w:pPr>
            <w:r>
              <w:rPr>
                <w:color w:val="auto"/>
                <w:sz w:val="21"/>
                <w:szCs w:val="21"/>
              </w:rPr>
              <w:t>满足环保要求</w:t>
            </w:r>
          </w:p>
        </w:tc>
        <w:tc>
          <w:tcPr>
            <w:tcW w:w="1461" w:type="dxa"/>
            <w:vMerge w:val="continue"/>
            <w:tcMar>
              <w:left w:w="0" w:type="dxa"/>
              <w:right w:w="0" w:type="dxa"/>
            </w:tcMar>
            <w:vAlign w:val="center"/>
          </w:tcPr>
          <w:p w14:paraId="3769C3C1">
            <w:pPr>
              <w:pStyle w:val="128"/>
              <w:spacing w:line="360" w:lineRule="exact"/>
              <w:rPr>
                <w:color w:val="auto"/>
                <w:sz w:val="21"/>
                <w:szCs w:val="21"/>
              </w:rPr>
            </w:pPr>
          </w:p>
        </w:tc>
      </w:tr>
      <w:tr w14:paraId="51974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50" w:type="dxa"/>
            <w:gridSpan w:val="2"/>
            <w:tcMar>
              <w:left w:w="0" w:type="dxa"/>
              <w:right w:w="0" w:type="dxa"/>
            </w:tcMar>
            <w:vAlign w:val="center"/>
          </w:tcPr>
          <w:p w14:paraId="19DEAF85">
            <w:pPr>
              <w:autoSpaceDE w:val="0"/>
              <w:autoSpaceDN w:val="0"/>
              <w:adjustRightInd w:val="0"/>
              <w:spacing w:line="360" w:lineRule="exact"/>
              <w:jc w:val="center"/>
              <w:rPr>
                <w:color w:val="auto"/>
                <w:sz w:val="21"/>
                <w:szCs w:val="21"/>
              </w:rPr>
            </w:pPr>
            <w:r>
              <w:rPr>
                <w:color w:val="auto"/>
                <w:sz w:val="21"/>
                <w:szCs w:val="21"/>
              </w:rPr>
              <w:t>合计</w:t>
            </w:r>
          </w:p>
        </w:tc>
        <w:tc>
          <w:tcPr>
            <w:tcW w:w="1545" w:type="dxa"/>
            <w:vAlign w:val="center"/>
          </w:tcPr>
          <w:p w14:paraId="148DC716">
            <w:pPr>
              <w:spacing w:line="360" w:lineRule="exact"/>
              <w:jc w:val="center"/>
              <w:rPr>
                <w:rFonts w:hint="default" w:eastAsia="宋体"/>
                <w:color w:val="auto"/>
                <w:sz w:val="21"/>
                <w:szCs w:val="21"/>
                <w:lang w:val="en-US" w:eastAsia="zh-CN"/>
              </w:rPr>
            </w:pPr>
            <w:r>
              <w:rPr>
                <w:rFonts w:hint="eastAsia"/>
                <w:color w:val="auto"/>
                <w:sz w:val="21"/>
                <w:szCs w:val="21"/>
                <w:lang w:val="en-US" w:eastAsia="zh-CN"/>
              </w:rPr>
              <w:t>80</w:t>
            </w:r>
          </w:p>
        </w:tc>
        <w:tc>
          <w:tcPr>
            <w:tcW w:w="1657" w:type="dxa"/>
            <w:vAlign w:val="center"/>
          </w:tcPr>
          <w:p w14:paraId="1CE1219B">
            <w:pPr>
              <w:spacing w:line="360" w:lineRule="exact"/>
              <w:jc w:val="center"/>
              <w:rPr>
                <w:color w:val="auto"/>
                <w:sz w:val="21"/>
                <w:szCs w:val="21"/>
              </w:rPr>
            </w:pPr>
            <w:r>
              <w:rPr>
                <w:color w:val="auto"/>
                <w:sz w:val="21"/>
                <w:szCs w:val="21"/>
              </w:rPr>
              <w:t>占总投资的</w:t>
            </w:r>
            <w:r>
              <w:rPr>
                <w:rFonts w:hint="eastAsia"/>
                <w:color w:val="auto"/>
                <w:sz w:val="21"/>
                <w:szCs w:val="21"/>
                <w:lang w:val="en-US" w:eastAsia="zh-CN"/>
              </w:rPr>
              <w:t>1</w:t>
            </w:r>
            <w:r>
              <w:rPr>
                <w:color w:val="auto"/>
                <w:sz w:val="21"/>
                <w:szCs w:val="21"/>
              </w:rPr>
              <w:t>%</w:t>
            </w:r>
          </w:p>
        </w:tc>
        <w:tc>
          <w:tcPr>
            <w:tcW w:w="1461" w:type="dxa"/>
            <w:tcMar>
              <w:left w:w="0" w:type="dxa"/>
              <w:right w:w="0" w:type="dxa"/>
            </w:tcMar>
            <w:vAlign w:val="center"/>
          </w:tcPr>
          <w:p w14:paraId="5548CE65">
            <w:pPr>
              <w:pStyle w:val="128"/>
              <w:rPr>
                <w:color w:val="auto"/>
                <w:sz w:val="21"/>
                <w:szCs w:val="21"/>
              </w:rPr>
            </w:pPr>
            <w:r>
              <w:rPr>
                <w:color w:val="auto"/>
                <w:sz w:val="21"/>
                <w:szCs w:val="21"/>
              </w:rPr>
              <w:t>--</w:t>
            </w:r>
          </w:p>
        </w:tc>
      </w:tr>
    </w:tbl>
    <w:p w14:paraId="388FC296">
      <w:pPr>
        <w:pStyle w:val="2"/>
        <w:adjustRightInd w:val="0"/>
        <w:snapToGrid w:val="0"/>
        <w:spacing w:line="460" w:lineRule="exact"/>
        <w:rPr>
          <w:rFonts w:eastAsia="宋体"/>
          <w:color w:val="auto"/>
          <w:sz w:val="30"/>
          <w:szCs w:val="30"/>
        </w:rPr>
      </w:pPr>
      <w:bookmarkStart w:id="99" w:name="_Toc32426"/>
      <w:bookmarkStart w:id="100" w:name="_Toc28549"/>
      <w:r>
        <w:rPr>
          <w:rFonts w:hint="eastAsia" w:eastAsia="宋体"/>
          <w:color w:val="auto"/>
          <w:sz w:val="30"/>
          <w:szCs w:val="30"/>
        </w:rPr>
        <w:t>6</w:t>
      </w:r>
      <w:r>
        <w:rPr>
          <w:rFonts w:eastAsia="宋体"/>
          <w:color w:val="auto"/>
          <w:sz w:val="30"/>
          <w:szCs w:val="30"/>
        </w:rPr>
        <w:t>环境管理与监测计划</w:t>
      </w:r>
      <w:bookmarkEnd w:id="99"/>
      <w:bookmarkEnd w:id="100"/>
    </w:p>
    <w:p w14:paraId="59238630">
      <w:pPr>
        <w:pStyle w:val="3"/>
        <w:spacing w:before="0" w:after="0" w:line="460" w:lineRule="exact"/>
        <w:rPr>
          <w:rFonts w:eastAsia="宋体"/>
          <w:color w:val="auto"/>
          <w:kern w:val="0"/>
          <w:szCs w:val="28"/>
        </w:rPr>
      </w:pPr>
      <w:bookmarkStart w:id="101" w:name="_Toc20638"/>
      <w:bookmarkStart w:id="102" w:name="_Toc22484"/>
      <w:bookmarkStart w:id="103" w:name="_Toc521536110"/>
      <w:bookmarkStart w:id="104" w:name="_Toc19313"/>
      <w:bookmarkStart w:id="105" w:name="_Toc16566"/>
      <w:bookmarkStart w:id="106" w:name="_Toc30478"/>
      <w:bookmarkStart w:id="107" w:name="_Toc27160"/>
      <w:bookmarkStart w:id="108" w:name="_Toc533774063"/>
      <w:bookmarkStart w:id="109" w:name="_Toc17795"/>
      <w:bookmarkStart w:id="110" w:name="_Toc9605568"/>
      <w:r>
        <w:rPr>
          <w:rFonts w:hint="eastAsia" w:eastAsia="宋体"/>
          <w:color w:val="auto"/>
          <w:kern w:val="0"/>
          <w:szCs w:val="28"/>
        </w:rPr>
        <w:t>6</w:t>
      </w:r>
      <w:r>
        <w:rPr>
          <w:rFonts w:eastAsia="宋体"/>
          <w:color w:val="auto"/>
          <w:kern w:val="0"/>
          <w:szCs w:val="28"/>
        </w:rPr>
        <w:t>.1环境管理</w:t>
      </w:r>
      <w:bookmarkEnd w:id="101"/>
      <w:bookmarkEnd w:id="102"/>
    </w:p>
    <w:bookmarkEnd w:id="103"/>
    <w:bookmarkEnd w:id="104"/>
    <w:bookmarkEnd w:id="105"/>
    <w:bookmarkEnd w:id="106"/>
    <w:bookmarkEnd w:id="107"/>
    <w:bookmarkEnd w:id="108"/>
    <w:bookmarkEnd w:id="109"/>
    <w:bookmarkEnd w:id="110"/>
    <w:p w14:paraId="6728A5F6">
      <w:pPr>
        <w:spacing w:line="460" w:lineRule="exact"/>
        <w:ind w:firstLine="480" w:firstLineChars="200"/>
        <w:rPr>
          <w:color w:val="auto"/>
          <w:sz w:val="24"/>
          <w:szCs w:val="24"/>
        </w:rPr>
      </w:pPr>
      <w:r>
        <w:rPr>
          <w:rFonts w:hint="eastAsia"/>
          <w:color w:val="auto"/>
          <w:sz w:val="24"/>
          <w:szCs w:val="24"/>
        </w:rPr>
        <w:t>建设单位须加强废气设施管理，落实专人负责，制订相应的操作规程，配备相应的物资，如活性炭等，做好相关台帐记录和排污许可执行报告，确保废气治理 设施稳定达标运行。</w:t>
      </w:r>
    </w:p>
    <w:p w14:paraId="4AFFF6F2">
      <w:pPr>
        <w:spacing w:line="460" w:lineRule="exact"/>
        <w:ind w:firstLine="480" w:firstLineChars="200"/>
        <w:rPr>
          <w:color w:val="auto"/>
          <w:sz w:val="24"/>
          <w:szCs w:val="24"/>
        </w:rPr>
      </w:pPr>
      <w:r>
        <w:rPr>
          <w:color w:val="auto"/>
          <w:sz w:val="24"/>
          <w:szCs w:val="24"/>
        </w:rPr>
        <w:t>项目废气排放口必须进行规范化建设，按要求装好标志牌，废气排气筒高度应符合国家大气污染物排放标准的有关规定。本项目中生产工序产生的废气应设置新增</w:t>
      </w:r>
      <w:r>
        <w:rPr>
          <w:rFonts w:hint="eastAsia"/>
          <w:color w:val="auto"/>
          <w:sz w:val="24"/>
          <w:szCs w:val="24"/>
          <w:lang w:val="en-US" w:eastAsia="zh-CN"/>
        </w:rPr>
        <w:t>1</w:t>
      </w:r>
      <w:r>
        <w:rPr>
          <w:color w:val="auto"/>
          <w:sz w:val="24"/>
          <w:szCs w:val="24"/>
        </w:rPr>
        <w:t>个</w:t>
      </w:r>
      <w:r>
        <w:rPr>
          <w:rFonts w:hint="eastAsia"/>
          <w:color w:val="auto"/>
          <w:sz w:val="24"/>
          <w:szCs w:val="24"/>
          <w:lang w:val="en-US" w:eastAsia="zh-CN"/>
        </w:rPr>
        <w:t>15</w:t>
      </w:r>
      <w:r>
        <w:rPr>
          <w:color w:val="auto"/>
          <w:sz w:val="24"/>
          <w:szCs w:val="24"/>
        </w:rPr>
        <w:t>m高的排气筒</w:t>
      </w:r>
      <w:r>
        <w:rPr>
          <w:rFonts w:hint="eastAsia"/>
          <w:color w:val="auto"/>
          <w:sz w:val="24"/>
          <w:szCs w:val="24"/>
          <w:lang w:val="en-US" w:eastAsia="zh-CN"/>
        </w:rPr>
        <w:t>DA001，两个35m高的排气筒DA002和DA003</w:t>
      </w:r>
      <w:r>
        <w:rPr>
          <w:color w:val="auto"/>
          <w:sz w:val="24"/>
          <w:szCs w:val="24"/>
        </w:rPr>
        <w:t>，并按要求设计采样平台和采样孔，标明排气筒高度、出口内径、排放污染物种类等，需符合相应规范。</w:t>
      </w:r>
    </w:p>
    <w:p w14:paraId="482CE518">
      <w:pPr>
        <w:spacing w:line="460" w:lineRule="exact"/>
        <w:ind w:firstLine="480" w:firstLineChars="200"/>
        <w:rPr>
          <w:color w:val="auto"/>
          <w:sz w:val="24"/>
          <w:szCs w:val="24"/>
        </w:rPr>
      </w:pPr>
      <w:r>
        <w:rPr>
          <w:color w:val="auto"/>
          <w:sz w:val="24"/>
          <w:szCs w:val="24"/>
        </w:rPr>
        <w:t>标志牌设置位置在排污口(采样口)附近且醒目处，高度为标志牌上端离地面2米。图形标志牌、计量装置、监控装置等属环保设施，排污单位必须负责日常的维护保养，任何单位和个人不得擅自拆除。</w:t>
      </w:r>
    </w:p>
    <w:p w14:paraId="0CB28130">
      <w:pPr>
        <w:pStyle w:val="3"/>
        <w:spacing w:before="0" w:after="0" w:line="460" w:lineRule="exact"/>
        <w:rPr>
          <w:rFonts w:eastAsia="宋体"/>
          <w:color w:val="auto"/>
          <w:kern w:val="0"/>
          <w:szCs w:val="28"/>
        </w:rPr>
      </w:pPr>
      <w:bookmarkStart w:id="111" w:name="_Toc27240"/>
      <w:bookmarkStart w:id="112" w:name="_Toc20383"/>
      <w:r>
        <w:rPr>
          <w:rFonts w:hint="eastAsia" w:eastAsia="宋体"/>
          <w:color w:val="auto"/>
          <w:kern w:val="0"/>
          <w:szCs w:val="28"/>
        </w:rPr>
        <w:t>6</w:t>
      </w:r>
      <w:r>
        <w:rPr>
          <w:rFonts w:eastAsia="宋体"/>
          <w:color w:val="auto"/>
          <w:kern w:val="0"/>
          <w:szCs w:val="28"/>
        </w:rPr>
        <w:t>.2</w:t>
      </w:r>
      <w:r>
        <w:rPr>
          <w:rFonts w:hint="eastAsia" w:eastAsia="宋体"/>
          <w:color w:val="auto"/>
          <w:kern w:val="0"/>
          <w:szCs w:val="28"/>
        </w:rPr>
        <w:t>大气污染源</w:t>
      </w:r>
      <w:r>
        <w:rPr>
          <w:rFonts w:eastAsia="宋体"/>
          <w:color w:val="auto"/>
          <w:kern w:val="0"/>
          <w:szCs w:val="28"/>
        </w:rPr>
        <w:t>环境监测</w:t>
      </w:r>
      <w:bookmarkEnd w:id="111"/>
      <w:bookmarkEnd w:id="112"/>
    </w:p>
    <w:p w14:paraId="0E3DAED3">
      <w:pPr>
        <w:pStyle w:val="4"/>
        <w:spacing w:before="0" w:after="0" w:line="460" w:lineRule="exact"/>
        <w:rPr>
          <w:color w:val="auto"/>
          <w:sz w:val="24"/>
          <w:szCs w:val="24"/>
        </w:rPr>
      </w:pPr>
      <w:bookmarkStart w:id="113" w:name="_Toc28057"/>
      <w:bookmarkStart w:id="114" w:name="_Ref396831940"/>
      <w:bookmarkStart w:id="115" w:name="_Ref396167368"/>
      <w:r>
        <w:rPr>
          <w:rFonts w:hint="eastAsia"/>
          <w:color w:val="auto"/>
          <w:sz w:val="24"/>
          <w:szCs w:val="24"/>
        </w:rPr>
        <w:t>6.2.1</w:t>
      </w:r>
      <w:r>
        <w:rPr>
          <w:color w:val="auto"/>
          <w:sz w:val="24"/>
          <w:szCs w:val="24"/>
        </w:rPr>
        <w:t xml:space="preserve"> 污染源监测</w:t>
      </w:r>
      <w:bookmarkEnd w:id="113"/>
    </w:p>
    <w:bookmarkEnd w:id="114"/>
    <w:bookmarkEnd w:id="115"/>
    <w:p w14:paraId="00D0007C">
      <w:pPr>
        <w:spacing w:line="460" w:lineRule="exact"/>
        <w:ind w:firstLine="480" w:firstLineChars="200"/>
        <w:rPr>
          <w:rFonts w:hint="eastAsia"/>
          <w:color w:val="auto"/>
          <w:sz w:val="24"/>
          <w:szCs w:val="24"/>
        </w:rPr>
      </w:pPr>
      <w:bookmarkStart w:id="116" w:name="_Toc2277"/>
      <w:r>
        <w:rPr>
          <w:rFonts w:hint="eastAsia"/>
          <w:color w:val="auto"/>
          <w:sz w:val="24"/>
          <w:szCs w:val="24"/>
        </w:rPr>
        <w:t>对照</w:t>
      </w:r>
      <w:r>
        <w:rPr>
          <w:color w:val="auto"/>
          <w:sz w:val="24"/>
          <w:szCs w:val="24"/>
        </w:rPr>
        <w:t>《排污单位自行监测技术指南 总则》（HJ819-2017）、《</w:t>
      </w:r>
      <w:r>
        <w:rPr>
          <w:rFonts w:hint="eastAsia"/>
          <w:color w:val="auto"/>
          <w:sz w:val="24"/>
          <w:szCs w:val="24"/>
        </w:rPr>
        <w:t xml:space="preserve">排污单位自行监测技术指南 </w:t>
      </w:r>
      <w:r>
        <w:rPr>
          <w:rFonts w:hint="eastAsia"/>
          <w:color w:val="auto"/>
          <w:sz w:val="24"/>
          <w:szCs w:val="24"/>
          <w:lang w:val="en-US" w:eastAsia="zh-CN"/>
        </w:rPr>
        <w:t>纺织印染</w:t>
      </w:r>
      <w:r>
        <w:rPr>
          <w:rFonts w:hint="eastAsia"/>
          <w:color w:val="auto"/>
          <w:sz w:val="24"/>
          <w:szCs w:val="24"/>
        </w:rPr>
        <w:t>工业</w:t>
      </w:r>
      <w:r>
        <w:rPr>
          <w:color w:val="auto"/>
          <w:sz w:val="24"/>
          <w:szCs w:val="24"/>
        </w:rPr>
        <w:t>》（HJ</w:t>
      </w:r>
      <w:r>
        <w:rPr>
          <w:rFonts w:hint="eastAsia"/>
          <w:color w:val="auto"/>
          <w:sz w:val="24"/>
          <w:szCs w:val="24"/>
          <w:lang w:val="en-US" w:eastAsia="zh-CN"/>
        </w:rPr>
        <w:t>879</w:t>
      </w:r>
      <w:r>
        <w:rPr>
          <w:rFonts w:hint="eastAsia"/>
          <w:color w:val="auto"/>
          <w:sz w:val="24"/>
          <w:szCs w:val="24"/>
        </w:rPr>
        <w:t>-20</w:t>
      </w:r>
      <w:r>
        <w:rPr>
          <w:rFonts w:hint="eastAsia"/>
          <w:color w:val="auto"/>
          <w:sz w:val="24"/>
          <w:szCs w:val="24"/>
          <w:lang w:val="en-US" w:eastAsia="zh-CN"/>
        </w:rPr>
        <w:t>17</w:t>
      </w:r>
      <w:r>
        <w:rPr>
          <w:color w:val="auto"/>
          <w:sz w:val="24"/>
          <w:szCs w:val="24"/>
        </w:rPr>
        <w:t>）</w:t>
      </w:r>
      <w:r>
        <w:rPr>
          <w:rFonts w:hint="eastAsia"/>
          <w:color w:val="auto"/>
          <w:sz w:val="24"/>
          <w:szCs w:val="24"/>
          <w:lang w:val="en-US" w:eastAsia="zh-CN"/>
        </w:rPr>
        <w:t>和</w:t>
      </w:r>
      <w:r>
        <w:rPr>
          <w:color w:val="auto"/>
          <w:sz w:val="24"/>
          <w:szCs w:val="24"/>
        </w:rPr>
        <w:t>《</w:t>
      </w:r>
      <w:r>
        <w:rPr>
          <w:rFonts w:hint="eastAsia"/>
          <w:color w:val="auto"/>
          <w:sz w:val="24"/>
          <w:szCs w:val="24"/>
        </w:rPr>
        <w:t>排污单位自行监测技术指南</w:t>
      </w:r>
      <w:r>
        <w:rPr>
          <w:rFonts w:hint="eastAsia"/>
          <w:color w:val="auto"/>
          <w:sz w:val="24"/>
          <w:szCs w:val="24"/>
          <w:lang w:val="en-US" w:eastAsia="zh-CN"/>
        </w:rPr>
        <w:t>火力发电及锅炉</w:t>
      </w:r>
      <w:r>
        <w:rPr>
          <w:color w:val="auto"/>
          <w:sz w:val="24"/>
          <w:szCs w:val="24"/>
        </w:rPr>
        <w:t>》（HJ</w:t>
      </w:r>
      <w:r>
        <w:rPr>
          <w:rFonts w:hint="eastAsia"/>
          <w:color w:val="auto"/>
          <w:sz w:val="24"/>
          <w:szCs w:val="24"/>
          <w:lang w:val="en-US" w:eastAsia="zh-CN"/>
        </w:rPr>
        <w:t>8720</w:t>
      </w:r>
      <w:r>
        <w:rPr>
          <w:rFonts w:hint="eastAsia"/>
          <w:color w:val="auto"/>
          <w:sz w:val="24"/>
          <w:szCs w:val="24"/>
        </w:rPr>
        <w:t>-20</w:t>
      </w:r>
      <w:r>
        <w:rPr>
          <w:rFonts w:hint="eastAsia"/>
          <w:color w:val="auto"/>
          <w:sz w:val="24"/>
          <w:szCs w:val="24"/>
          <w:lang w:val="en-US" w:eastAsia="zh-CN"/>
        </w:rPr>
        <w:t>17</w:t>
      </w:r>
      <w:r>
        <w:rPr>
          <w:color w:val="auto"/>
          <w:sz w:val="24"/>
          <w:szCs w:val="24"/>
        </w:rPr>
        <w:t>）</w:t>
      </w:r>
      <w:r>
        <w:rPr>
          <w:rFonts w:hint="eastAsia"/>
          <w:color w:val="auto"/>
          <w:sz w:val="24"/>
          <w:szCs w:val="24"/>
        </w:rPr>
        <w:t>相关要求，本项目废</w:t>
      </w:r>
      <w:r>
        <w:rPr>
          <w:rFonts w:hint="eastAsia"/>
          <w:color w:val="auto"/>
          <w:sz w:val="24"/>
          <w:szCs w:val="24"/>
          <w:lang w:val="en-US" w:eastAsia="zh-CN"/>
        </w:rPr>
        <w:t>气</w:t>
      </w:r>
      <w:r>
        <w:rPr>
          <w:rFonts w:hint="eastAsia"/>
          <w:color w:val="auto"/>
          <w:sz w:val="24"/>
          <w:szCs w:val="24"/>
        </w:rPr>
        <w:t>监测项目及监测频次见下表</w:t>
      </w:r>
      <w:r>
        <w:rPr>
          <w:rFonts w:hint="eastAsia"/>
          <w:color w:val="auto"/>
          <w:sz w:val="24"/>
          <w:szCs w:val="24"/>
          <w:lang w:val="en-US" w:eastAsia="zh-CN"/>
        </w:rPr>
        <w:t>6-1</w:t>
      </w:r>
      <w:r>
        <w:rPr>
          <w:rFonts w:hint="eastAsia"/>
          <w:color w:val="auto"/>
          <w:sz w:val="24"/>
          <w:szCs w:val="24"/>
        </w:rPr>
        <w:t>。</w:t>
      </w:r>
    </w:p>
    <w:p w14:paraId="17114082">
      <w:pPr>
        <w:adjustRightInd w:val="0"/>
        <w:snapToGrid w:val="0"/>
        <w:spacing w:line="460" w:lineRule="exact"/>
        <w:jc w:val="center"/>
        <w:rPr>
          <w:rFonts w:hint="eastAsia"/>
          <w:b/>
          <w:color w:val="auto"/>
          <w:sz w:val="24"/>
          <w:szCs w:val="24"/>
          <w:lang w:val="en-US" w:eastAsia="zh-CN"/>
        </w:rPr>
      </w:pPr>
      <w:r>
        <w:rPr>
          <w:rFonts w:hint="eastAsia"/>
          <w:b/>
          <w:color w:val="auto"/>
          <w:sz w:val="24"/>
          <w:szCs w:val="24"/>
          <w:lang w:val="en-US" w:eastAsia="zh-CN"/>
        </w:rPr>
        <w:t>表6-1  污染源监测计划表</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16"/>
        <w:gridCol w:w="1939"/>
        <w:gridCol w:w="752"/>
        <w:gridCol w:w="3471"/>
        <w:gridCol w:w="1129"/>
      </w:tblGrid>
      <w:tr w14:paraId="0ED72F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1" w:type="pct"/>
            <w:noWrap w:val="0"/>
            <w:vAlign w:val="center"/>
          </w:tcPr>
          <w:p w14:paraId="2BBFB920">
            <w:pPr>
              <w:pStyle w:val="128"/>
              <w:spacing w:line="320" w:lineRule="exact"/>
              <w:rPr>
                <w:b/>
                <w:bCs/>
                <w:sz w:val="21"/>
                <w:szCs w:val="21"/>
                <w:highlight w:val="none"/>
              </w:rPr>
            </w:pPr>
            <w:r>
              <w:rPr>
                <w:b/>
                <w:bCs/>
                <w:sz w:val="21"/>
                <w:szCs w:val="21"/>
                <w:highlight w:val="none"/>
              </w:rPr>
              <w:t>类别</w:t>
            </w:r>
          </w:p>
        </w:tc>
        <w:tc>
          <w:tcPr>
            <w:tcW w:w="1167" w:type="pct"/>
            <w:noWrap w:val="0"/>
            <w:vAlign w:val="center"/>
          </w:tcPr>
          <w:p w14:paraId="12E7242B">
            <w:pPr>
              <w:pStyle w:val="128"/>
              <w:spacing w:line="320" w:lineRule="exact"/>
              <w:rPr>
                <w:b/>
                <w:bCs/>
                <w:sz w:val="21"/>
                <w:szCs w:val="21"/>
                <w:highlight w:val="none"/>
              </w:rPr>
            </w:pPr>
            <w:r>
              <w:rPr>
                <w:b/>
                <w:bCs/>
                <w:sz w:val="21"/>
                <w:szCs w:val="21"/>
                <w:highlight w:val="none"/>
              </w:rPr>
              <w:t>监测位置</w:t>
            </w:r>
          </w:p>
        </w:tc>
        <w:tc>
          <w:tcPr>
            <w:tcW w:w="452" w:type="pct"/>
            <w:noWrap w:val="0"/>
            <w:vAlign w:val="center"/>
          </w:tcPr>
          <w:p w14:paraId="1687E954">
            <w:pPr>
              <w:pStyle w:val="128"/>
              <w:spacing w:line="320" w:lineRule="exact"/>
              <w:rPr>
                <w:b/>
                <w:bCs/>
                <w:sz w:val="21"/>
                <w:szCs w:val="21"/>
                <w:highlight w:val="none"/>
              </w:rPr>
            </w:pPr>
            <w:r>
              <w:rPr>
                <w:b/>
                <w:bCs/>
                <w:sz w:val="21"/>
                <w:szCs w:val="21"/>
                <w:highlight w:val="none"/>
              </w:rPr>
              <w:t>监测点数</w:t>
            </w:r>
          </w:p>
        </w:tc>
        <w:tc>
          <w:tcPr>
            <w:tcW w:w="2089" w:type="pct"/>
            <w:noWrap w:val="0"/>
            <w:vAlign w:val="center"/>
          </w:tcPr>
          <w:p w14:paraId="26189B34">
            <w:pPr>
              <w:pStyle w:val="128"/>
              <w:spacing w:line="320" w:lineRule="exact"/>
              <w:rPr>
                <w:b/>
                <w:bCs/>
                <w:sz w:val="21"/>
                <w:szCs w:val="21"/>
                <w:highlight w:val="none"/>
              </w:rPr>
            </w:pPr>
            <w:r>
              <w:rPr>
                <w:b/>
                <w:bCs/>
                <w:sz w:val="21"/>
                <w:szCs w:val="21"/>
                <w:highlight w:val="none"/>
              </w:rPr>
              <w:t>监测项目</w:t>
            </w:r>
          </w:p>
        </w:tc>
        <w:tc>
          <w:tcPr>
            <w:tcW w:w="679" w:type="pct"/>
            <w:noWrap w:val="0"/>
            <w:vAlign w:val="center"/>
          </w:tcPr>
          <w:p w14:paraId="6E029A44">
            <w:pPr>
              <w:pStyle w:val="128"/>
              <w:spacing w:line="320" w:lineRule="exact"/>
              <w:rPr>
                <w:b/>
                <w:bCs/>
                <w:sz w:val="21"/>
                <w:szCs w:val="21"/>
                <w:highlight w:val="none"/>
              </w:rPr>
            </w:pPr>
            <w:r>
              <w:rPr>
                <w:b/>
                <w:bCs/>
                <w:sz w:val="21"/>
                <w:szCs w:val="21"/>
                <w:highlight w:val="none"/>
              </w:rPr>
              <w:t>监测频率</w:t>
            </w:r>
          </w:p>
        </w:tc>
      </w:tr>
      <w:tr w14:paraId="3BF9DA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7" w:hRule="atLeast"/>
        </w:trPr>
        <w:tc>
          <w:tcPr>
            <w:tcW w:w="611" w:type="pct"/>
            <w:vMerge w:val="restart"/>
            <w:noWrap w:val="0"/>
            <w:vAlign w:val="center"/>
          </w:tcPr>
          <w:p w14:paraId="320B4A1F">
            <w:pPr>
              <w:pStyle w:val="128"/>
              <w:spacing w:line="320" w:lineRule="exact"/>
              <w:rPr>
                <w:rFonts w:hint="eastAsia" w:eastAsia="宋体"/>
                <w:sz w:val="21"/>
                <w:szCs w:val="21"/>
                <w:highlight w:val="none"/>
                <w:lang w:val="en-US" w:eastAsia="zh-CN"/>
              </w:rPr>
            </w:pPr>
            <w:r>
              <w:rPr>
                <w:sz w:val="21"/>
                <w:szCs w:val="21"/>
                <w:highlight w:val="none"/>
              </w:rPr>
              <w:t>有组织</w:t>
            </w:r>
            <w:r>
              <w:rPr>
                <w:rFonts w:hint="eastAsia"/>
                <w:sz w:val="21"/>
                <w:szCs w:val="21"/>
                <w:highlight w:val="none"/>
                <w:lang w:val="en-US" w:eastAsia="zh-CN"/>
              </w:rPr>
              <w:t>废气</w:t>
            </w:r>
          </w:p>
        </w:tc>
        <w:tc>
          <w:tcPr>
            <w:tcW w:w="1167" w:type="pct"/>
            <w:vMerge w:val="restart"/>
            <w:noWrap w:val="0"/>
            <w:vAlign w:val="center"/>
          </w:tcPr>
          <w:p w14:paraId="644F2214">
            <w:pPr>
              <w:spacing w:line="320" w:lineRule="exact"/>
              <w:jc w:val="center"/>
              <w:rPr>
                <w:rFonts w:hint="eastAsia" w:eastAsia="宋体"/>
                <w:kern w:val="2"/>
                <w:sz w:val="21"/>
                <w:szCs w:val="21"/>
                <w:highlight w:val="none"/>
                <w:lang w:val="en-US" w:eastAsia="zh-CN" w:bidi="ar-SA"/>
              </w:rPr>
            </w:pPr>
            <w:r>
              <w:rPr>
                <w:rFonts w:hint="eastAsia"/>
                <w:sz w:val="21"/>
                <w:szCs w:val="21"/>
                <w:highlight w:val="none"/>
                <w:lang w:val="en-US" w:eastAsia="zh-CN"/>
              </w:rPr>
              <w:t>DA001</w:t>
            </w:r>
            <w:r>
              <w:rPr>
                <w:sz w:val="21"/>
                <w:szCs w:val="21"/>
                <w:highlight w:val="none"/>
              </w:rPr>
              <w:t>排气筒</w:t>
            </w:r>
            <w:r>
              <w:rPr>
                <w:rFonts w:hint="eastAsia"/>
                <w:sz w:val="21"/>
                <w:szCs w:val="21"/>
                <w:highlight w:val="none"/>
                <w:lang w:val="en-US" w:eastAsia="zh-CN"/>
              </w:rPr>
              <w:t>出口</w:t>
            </w:r>
          </w:p>
        </w:tc>
        <w:tc>
          <w:tcPr>
            <w:tcW w:w="452" w:type="pct"/>
            <w:vMerge w:val="restart"/>
            <w:noWrap w:val="0"/>
            <w:vAlign w:val="center"/>
          </w:tcPr>
          <w:p w14:paraId="55ACD4AD">
            <w:pPr>
              <w:pStyle w:val="128"/>
              <w:spacing w:line="320" w:lineRule="exact"/>
              <w:rPr>
                <w:rFonts w:hint="default"/>
                <w:kern w:val="0"/>
                <w:sz w:val="21"/>
                <w:szCs w:val="21"/>
                <w:highlight w:val="none"/>
                <w:lang w:val="en-US" w:eastAsia="zh-CN" w:bidi="ar-SA"/>
              </w:rPr>
            </w:pPr>
            <w:r>
              <w:rPr>
                <w:rFonts w:hint="eastAsia"/>
                <w:sz w:val="21"/>
                <w:szCs w:val="21"/>
                <w:highlight w:val="none"/>
                <w:lang w:val="en-US" w:eastAsia="zh-CN"/>
              </w:rPr>
              <w:t>1</w:t>
            </w:r>
          </w:p>
        </w:tc>
        <w:tc>
          <w:tcPr>
            <w:tcW w:w="2089" w:type="pct"/>
            <w:noWrap w:val="0"/>
            <w:vAlign w:val="center"/>
          </w:tcPr>
          <w:p w14:paraId="3C9CB166">
            <w:pPr>
              <w:pStyle w:val="128"/>
              <w:spacing w:line="320" w:lineRule="exact"/>
              <w:rPr>
                <w:rFonts w:hint="eastAsia"/>
                <w:kern w:val="0"/>
                <w:sz w:val="21"/>
                <w:szCs w:val="21"/>
                <w:highlight w:val="none"/>
                <w:lang w:val="en-US" w:eastAsia="zh-CN" w:bidi="ar-SA"/>
              </w:rPr>
            </w:pPr>
            <w:r>
              <w:rPr>
                <w:rFonts w:hint="eastAsia"/>
                <w:kern w:val="0"/>
                <w:sz w:val="21"/>
                <w:szCs w:val="21"/>
                <w:highlight w:val="none"/>
                <w:lang w:val="en-US" w:eastAsia="zh-CN"/>
              </w:rPr>
              <w:t>颗粒物</w:t>
            </w:r>
          </w:p>
        </w:tc>
        <w:tc>
          <w:tcPr>
            <w:tcW w:w="679" w:type="pct"/>
            <w:noWrap w:val="0"/>
            <w:vAlign w:val="center"/>
          </w:tcPr>
          <w:p w14:paraId="57396B2B">
            <w:pPr>
              <w:spacing w:line="320" w:lineRule="exact"/>
              <w:jc w:val="center"/>
              <w:rPr>
                <w:bCs/>
                <w:sz w:val="21"/>
                <w:szCs w:val="21"/>
                <w:highlight w:val="none"/>
              </w:rPr>
            </w:pPr>
            <w:r>
              <w:rPr>
                <w:bCs/>
                <w:sz w:val="21"/>
                <w:szCs w:val="21"/>
                <w:highlight w:val="none"/>
              </w:rPr>
              <w:t>1次/</w:t>
            </w:r>
            <w:r>
              <w:rPr>
                <w:rFonts w:hint="eastAsia"/>
                <w:bCs/>
                <w:sz w:val="21"/>
                <w:szCs w:val="21"/>
                <w:highlight w:val="none"/>
              </w:rPr>
              <w:t>半</w:t>
            </w:r>
            <w:r>
              <w:rPr>
                <w:bCs/>
                <w:sz w:val="21"/>
                <w:szCs w:val="21"/>
                <w:highlight w:val="none"/>
              </w:rPr>
              <w:t>年</w:t>
            </w:r>
          </w:p>
        </w:tc>
      </w:tr>
      <w:tr w14:paraId="749DC4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7" w:hRule="atLeast"/>
        </w:trPr>
        <w:tc>
          <w:tcPr>
            <w:tcW w:w="611" w:type="pct"/>
            <w:vMerge w:val="continue"/>
            <w:noWrap w:val="0"/>
            <w:vAlign w:val="center"/>
          </w:tcPr>
          <w:p w14:paraId="0C738104">
            <w:pPr>
              <w:spacing w:line="320" w:lineRule="exact"/>
              <w:jc w:val="center"/>
              <w:rPr>
                <w:sz w:val="21"/>
                <w:szCs w:val="21"/>
              </w:rPr>
            </w:pPr>
          </w:p>
        </w:tc>
        <w:tc>
          <w:tcPr>
            <w:tcW w:w="1167" w:type="pct"/>
            <w:vMerge w:val="continue"/>
            <w:noWrap w:val="0"/>
            <w:vAlign w:val="center"/>
          </w:tcPr>
          <w:p w14:paraId="6BE2514A">
            <w:pPr>
              <w:spacing w:line="320" w:lineRule="exact"/>
              <w:jc w:val="center"/>
              <w:rPr>
                <w:sz w:val="21"/>
                <w:szCs w:val="21"/>
              </w:rPr>
            </w:pPr>
          </w:p>
        </w:tc>
        <w:tc>
          <w:tcPr>
            <w:tcW w:w="452" w:type="pct"/>
            <w:vMerge w:val="continue"/>
            <w:noWrap w:val="0"/>
            <w:vAlign w:val="center"/>
          </w:tcPr>
          <w:p w14:paraId="78FDD296">
            <w:pPr>
              <w:spacing w:line="320" w:lineRule="exact"/>
              <w:jc w:val="center"/>
              <w:rPr>
                <w:sz w:val="21"/>
                <w:szCs w:val="21"/>
              </w:rPr>
            </w:pPr>
          </w:p>
        </w:tc>
        <w:tc>
          <w:tcPr>
            <w:tcW w:w="2089" w:type="pct"/>
            <w:noWrap w:val="0"/>
            <w:vAlign w:val="center"/>
          </w:tcPr>
          <w:p w14:paraId="3866E393">
            <w:pPr>
              <w:spacing w:line="320" w:lineRule="exact"/>
              <w:jc w:val="center"/>
              <w:rPr>
                <w:rFonts w:hint="eastAsia"/>
                <w:kern w:val="0"/>
                <w:sz w:val="21"/>
                <w:szCs w:val="21"/>
                <w:highlight w:val="none"/>
                <w:lang w:val="en-US" w:eastAsia="zh-CN"/>
              </w:rPr>
            </w:pPr>
            <w:r>
              <w:rPr>
                <w:rFonts w:hint="eastAsia"/>
                <w:kern w:val="0"/>
                <w:sz w:val="21"/>
                <w:szCs w:val="21"/>
                <w:highlight w:val="none"/>
                <w:lang w:val="en-US" w:eastAsia="zh-CN"/>
              </w:rPr>
              <w:t>非甲烷总烃</w:t>
            </w:r>
          </w:p>
        </w:tc>
        <w:tc>
          <w:tcPr>
            <w:tcW w:w="679" w:type="pct"/>
            <w:noWrap w:val="0"/>
            <w:vAlign w:val="center"/>
          </w:tcPr>
          <w:p w14:paraId="1FD317CE">
            <w:pPr>
              <w:spacing w:line="320" w:lineRule="exact"/>
              <w:jc w:val="center"/>
              <w:rPr>
                <w:rFonts w:hint="default"/>
                <w:kern w:val="0"/>
                <w:sz w:val="21"/>
                <w:szCs w:val="21"/>
                <w:highlight w:val="none"/>
                <w:lang w:val="en-US" w:eastAsia="zh-CN"/>
              </w:rPr>
            </w:pPr>
            <w:r>
              <w:rPr>
                <w:rFonts w:hint="eastAsia"/>
                <w:kern w:val="0"/>
                <w:sz w:val="21"/>
                <w:szCs w:val="21"/>
                <w:highlight w:val="none"/>
                <w:lang w:val="en-US" w:eastAsia="zh-CN"/>
              </w:rPr>
              <w:t>1次/季度</w:t>
            </w:r>
          </w:p>
        </w:tc>
      </w:tr>
      <w:tr w14:paraId="4D62EC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 w:hRule="atLeast"/>
        </w:trPr>
        <w:tc>
          <w:tcPr>
            <w:tcW w:w="611" w:type="pct"/>
            <w:vMerge w:val="continue"/>
            <w:noWrap w:val="0"/>
            <w:vAlign w:val="center"/>
          </w:tcPr>
          <w:p w14:paraId="15BC9DDD">
            <w:pPr>
              <w:pStyle w:val="128"/>
              <w:spacing w:line="320" w:lineRule="exact"/>
              <w:rPr>
                <w:sz w:val="21"/>
                <w:szCs w:val="21"/>
                <w:highlight w:val="none"/>
              </w:rPr>
            </w:pPr>
          </w:p>
        </w:tc>
        <w:tc>
          <w:tcPr>
            <w:tcW w:w="1167" w:type="pct"/>
            <w:shd w:val="clear" w:color="auto" w:fill="auto"/>
            <w:noWrap w:val="0"/>
            <w:vAlign w:val="center"/>
          </w:tcPr>
          <w:p w14:paraId="7BF5C0E4">
            <w:pPr>
              <w:spacing w:line="320" w:lineRule="exact"/>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DA002排气筒出口</w:t>
            </w:r>
          </w:p>
        </w:tc>
        <w:tc>
          <w:tcPr>
            <w:tcW w:w="452" w:type="pct"/>
            <w:shd w:val="clear" w:color="auto" w:fill="auto"/>
            <w:noWrap w:val="0"/>
            <w:vAlign w:val="center"/>
          </w:tcPr>
          <w:p w14:paraId="47E55F9D">
            <w:pPr>
              <w:pStyle w:val="128"/>
              <w:spacing w:line="320" w:lineRule="exact"/>
              <w:rPr>
                <w:rFonts w:hint="eastAsia" w:ascii="Times New Roman" w:hAnsi="Times New Roman" w:eastAsia="宋体" w:cs="Times New Roman"/>
                <w:kern w:val="0"/>
                <w:sz w:val="21"/>
                <w:szCs w:val="21"/>
                <w:highlight w:val="none"/>
                <w:lang w:val="en-US" w:eastAsia="zh-CN" w:bidi="ar-SA"/>
              </w:rPr>
            </w:pPr>
            <w:r>
              <w:rPr>
                <w:rFonts w:hint="eastAsia"/>
                <w:sz w:val="21"/>
                <w:szCs w:val="21"/>
                <w:highlight w:val="none"/>
                <w:lang w:val="en-US" w:eastAsia="zh-CN"/>
              </w:rPr>
              <w:t>1</w:t>
            </w:r>
          </w:p>
        </w:tc>
        <w:tc>
          <w:tcPr>
            <w:tcW w:w="2089" w:type="pct"/>
            <w:shd w:val="clear" w:color="auto" w:fill="auto"/>
            <w:noWrap w:val="0"/>
            <w:vAlign w:val="center"/>
          </w:tcPr>
          <w:p w14:paraId="5E45C48A">
            <w:pPr>
              <w:pStyle w:val="128"/>
              <w:spacing w:line="320" w:lineRule="exact"/>
              <w:rPr>
                <w:rFonts w:hint="eastAsia" w:ascii="Times New Roman" w:hAnsi="Times New Roman" w:eastAsia="宋体" w:cs="Times New Roman"/>
                <w:kern w:val="0"/>
                <w:sz w:val="21"/>
                <w:szCs w:val="21"/>
                <w:highlight w:val="none"/>
                <w:lang w:val="en-US" w:eastAsia="zh-CN" w:bidi="ar-SA"/>
              </w:rPr>
            </w:pPr>
            <w:r>
              <w:rPr>
                <w:rFonts w:hint="eastAsia"/>
                <w:kern w:val="0"/>
                <w:sz w:val="21"/>
                <w:szCs w:val="21"/>
                <w:highlight w:val="none"/>
                <w:lang w:val="en-US" w:eastAsia="zh-CN"/>
              </w:rPr>
              <w:t>颗粒物、SO</w:t>
            </w:r>
            <w:r>
              <w:rPr>
                <w:rFonts w:hint="eastAsia"/>
                <w:kern w:val="0"/>
                <w:sz w:val="21"/>
                <w:szCs w:val="21"/>
                <w:highlight w:val="none"/>
                <w:vertAlign w:val="subscript"/>
                <w:lang w:val="en-US" w:eastAsia="zh-CN"/>
              </w:rPr>
              <w:t>2</w:t>
            </w:r>
            <w:r>
              <w:rPr>
                <w:rFonts w:hint="eastAsia"/>
                <w:kern w:val="0"/>
                <w:sz w:val="21"/>
                <w:szCs w:val="21"/>
                <w:highlight w:val="none"/>
                <w:lang w:val="en-US" w:eastAsia="zh-CN"/>
              </w:rPr>
              <w:t>、NO</w:t>
            </w:r>
            <w:r>
              <w:rPr>
                <w:rFonts w:hint="eastAsia"/>
                <w:kern w:val="0"/>
                <w:sz w:val="21"/>
                <w:szCs w:val="21"/>
                <w:highlight w:val="none"/>
                <w:vertAlign w:val="subscript"/>
                <w:lang w:val="en-US" w:eastAsia="zh-CN"/>
              </w:rPr>
              <w:t>x</w:t>
            </w:r>
            <w:r>
              <w:rPr>
                <w:rFonts w:hint="eastAsia"/>
                <w:kern w:val="0"/>
                <w:sz w:val="21"/>
                <w:szCs w:val="21"/>
                <w:highlight w:val="none"/>
                <w:lang w:val="en-US" w:eastAsia="zh-CN"/>
              </w:rPr>
              <w:t>、汞及其化合物</w:t>
            </w:r>
          </w:p>
        </w:tc>
        <w:tc>
          <w:tcPr>
            <w:tcW w:w="679" w:type="pct"/>
            <w:shd w:val="clear" w:color="auto" w:fill="auto"/>
            <w:noWrap w:val="0"/>
            <w:vAlign w:val="center"/>
          </w:tcPr>
          <w:p w14:paraId="4CB33B52">
            <w:pPr>
              <w:spacing w:line="320" w:lineRule="exact"/>
              <w:jc w:val="center"/>
              <w:rPr>
                <w:rFonts w:hint="eastAsia" w:ascii="Times New Roman" w:hAnsi="Times New Roman" w:eastAsia="宋体" w:cs="Times New Roman"/>
                <w:bCs/>
                <w:kern w:val="2"/>
                <w:sz w:val="21"/>
                <w:szCs w:val="21"/>
                <w:highlight w:val="none"/>
                <w:lang w:val="en-US" w:eastAsia="zh-CN" w:bidi="ar-SA"/>
              </w:rPr>
            </w:pPr>
            <w:r>
              <w:rPr>
                <w:bCs/>
                <w:sz w:val="21"/>
                <w:szCs w:val="21"/>
                <w:highlight w:val="none"/>
              </w:rPr>
              <w:t>1次/</w:t>
            </w:r>
            <w:r>
              <w:rPr>
                <w:rFonts w:hint="eastAsia"/>
                <w:bCs/>
                <w:sz w:val="21"/>
                <w:szCs w:val="21"/>
                <w:highlight w:val="none"/>
                <w:lang w:val="en-US" w:eastAsia="zh-CN"/>
              </w:rPr>
              <w:t>月</w:t>
            </w:r>
          </w:p>
        </w:tc>
      </w:tr>
      <w:tr w14:paraId="14EFCC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 w:hRule="atLeast"/>
        </w:trPr>
        <w:tc>
          <w:tcPr>
            <w:tcW w:w="611" w:type="pct"/>
            <w:vMerge w:val="continue"/>
            <w:noWrap w:val="0"/>
            <w:vAlign w:val="center"/>
          </w:tcPr>
          <w:p w14:paraId="67F95A52">
            <w:pPr>
              <w:pStyle w:val="128"/>
              <w:spacing w:line="320" w:lineRule="exact"/>
              <w:rPr>
                <w:sz w:val="21"/>
                <w:szCs w:val="21"/>
                <w:highlight w:val="none"/>
              </w:rPr>
            </w:pPr>
          </w:p>
        </w:tc>
        <w:tc>
          <w:tcPr>
            <w:tcW w:w="1167" w:type="pct"/>
            <w:noWrap w:val="0"/>
            <w:vAlign w:val="center"/>
          </w:tcPr>
          <w:p w14:paraId="6E540986">
            <w:pPr>
              <w:spacing w:line="320" w:lineRule="exact"/>
              <w:jc w:val="center"/>
              <w:rPr>
                <w:rFonts w:hint="default"/>
                <w:sz w:val="21"/>
                <w:szCs w:val="21"/>
                <w:highlight w:val="none"/>
                <w:lang w:val="en-US" w:eastAsia="zh-CN"/>
              </w:rPr>
            </w:pPr>
            <w:r>
              <w:rPr>
                <w:rFonts w:hint="eastAsia"/>
                <w:sz w:val="21"/>
                <w:szCs w:val="21"/>
                <w:highlight w:val="none"/>
                <w:lang w:val="en-US" w:eastAsia="zh-CN"/>
              </w:rPr>
              <w:t>DA003排气筒出口</w:t>
            </w:r>
          </w:p>
        </w:tc>
        <w:tc>
          <w:tcPr>
            <w:tcW w:w="452" w:type="pct"/>
            <w:noWrap w:val="0"/>
            <w:vAlign w:val="center"/>
          </w:tcPr>
          <w:p w14:paraId="5A0CC4C0">
            <w:pPr>
              <w:pStyle w:val="128"/>
              <w:spacing w:line="320" w:lineRule="exact"/>
              <w:rPr>
                <w:rFonts w:hint="default"/>
                <w:sz w:val="21"/>
                <w:szCs w:val="21"/>
                <w:highlight w:val="none"/>
                <w:lang w:val="en-US" w:eastAsia="zh-CN"/>
              </w:rPr>
            </w:pPr>
            <w:r>
              <w:rPr>
                <w:rFonts w:hint="eastAsia"/>
                <w:sz w:val="21"/>
                <w:szCs w:val="21"/>
                <w:highlight w:val="none"/>
                <w:lang w:val="en-US" w:eastAsia="zh-CN"/>
              </w:rPr>
              <w:t>1</w:t>
            </w:r>
          </w:p>
        </w:tc>
        <w:tc>
          <w:tcPr>
            <w:tcW w:w="2089" w:type="pct"/>
            <w:noWrap w:val="0"/>
            <w:vAlign w:val="center"/>
          </w:tcPr>
          <w:p w14:paraId="69E801EC">
            <w:pPr>
              <w:pStyle w:val="128"/>
              <w:spacing w:line="320" w:lineRule="exact"/>
              <w:rPr>
                <w:rFonts w:hint="default"/>
                <w:kern w:val="0"/>
                <w:sz w:val="21"/>
                <w:szCs w:val="21"/>
                <w:highlight w:val="none"/>
                <w:lang w:val="en-US" w:eastAsia="zh-CN"/>
              </w:rPr>
            </w:pPr>
            <w:r>
              <w:rPr>
                <w:rFonts w:hint="eastAsia"/>
                <w:kern w:val="0"/>
                <w:sz w:val="21"/>
                <w:szCs w:val="21"/>
                <w:highlight w:val="none"/>
                <w:lang w:val="en-US" w:eastAsia="zh-CN"/>
              </w:rPr>
              <w:t>颗粒物、SO</w:t>
            </w:r>
            <w:r>
              <w:rPr>
                <w:rFonts w:hint="eastAsia"/>
                <w:kern w:val="0"/>
                <w:sz w:val="21"/>
                <w:szCs w:val="21"/>
                <w:highlight w:val="none"/>
                <w:vertAlign w:val="subscript"/>
                <w:lang w:val="en-US" w:eastAsia="zh-CN"/>
              </w:rPr>
              <w:t>2</w:t>
            </w:r>
            <w:r>
              <w:rPr>
                <w:rFonts w:hint="eastAsia"/>
                <w:kern w:val="0"/>
                <w:sz w:val="21"/>
                <w:szCs w:val="21"/>
                <w:highlight w:val="none"/>
                <w:lang w:val="en-US" w:eastAsia="zh-CN"/>
              </w:rPr>
              <w:t>、NO</w:t>
            </w:r>
            <w:r>
              <w:rPr>
                <w:rFonts w:hint="eastAsia"/>
                <w:kern w:val="0"/>
                <w:sz w:val="21"/>
                <w:szCs w:val="21"/>
                <w:highlight w:val="none"/>
                <w:vertAlign w:val="subscript"/>
                <w:lang w:val="en-US" w:eastAsia="zh-CN"/>
              </w:rPr>
              <w:t>x</w:t>
            </w:r>
            <w:r>
              <w:rPr>
                <w:rFonts w:hint="eastAsia"/>
                <w:kern w:val="0"/>
                <w:sz w:val="21"/>
                <w:szCs w:val="21"/>
                <w:highlight w:val="none"/>
                <w:lang w:val="en-US" w:eastAsia="zh-CN"/>
              </w:rPr>
              <w:t>、汞及其化合物</w:t>
            </w:r>
          </w:p>
        </w:tc>
        <w:tc>
          <w:tcPr>
            <w:tcW w:w="679" w:type="pct"/>
            <w:noWrap w:val="0"/>
            <w:vAlign w:val="center"/>
          </w:tcPr>
          <w:p w14:paraId="4DD4EA92">
            <w:pPr>
              <w:spacing w:line="320" w:lineRule="exact"/>
              <w:jc w:val="center"/>
              <w:rPr>
                <w:rFonts w:hint="eastAsia" w:eastAsia="宋体"/>
                <w:bCs/>
                <w:sz w:val="21"/>
                <w:szCs w:val="21"/>
                <w:highlight w:val="none"/>
                <w:lang w:eastAsia="zh-CN"/>
              </w:rPr>
            </w:pPr>
            <w:r>
              <w:rPr>
                <w:bCs/>
                <w:sz w:val="21"/>
                <w:szCs w:val="21"/>
                <w:highlight w:val="none"/>
              </w:rPr>
              <w:t>1次/</w:t>
            </w:r>
            <w:r>
              <w:rPr>
                <w:rFonts w:hint="eastAsia"/>
                <w:bCs/>
                <w:sz w:val="21"/>
                <w:szCs w:val="21"/>
                <w:highlight w:val="none"/>
                <w:lang w:val="en-US" w:eastAsia="zh-CN"/>
              </w:rPr>
              <w:t>月</w:t>
            </w:r>
          </w:p>
        </w:tc>
      </w:tr>
      <w:tr w14:paraId="69310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0" w:hRule="atLeast"/>
        </w:trPr>
        <w:tc>
          <w:tcPr>
            <w:tcW w:w="611" w:type="pct"/>
            <w:vMerge w:val="restart"/>
            <w:noWrap w:val="0"/>
            <w:vAlign w:val="center"/>
          </w:tcPr>
          <w:p w14:paraId="3C618C77">
            <w:pPr>
              <w:pStyle w:val="128"/>
              <w:spacing w:line="320" w:lineRule="exact"/>
              <w:rPr>
                <w:sz w:val="21"/>
                <w:szCs w:val="21"/>
                <w:highlight w:val="none"/>
              </w:rPr>
            </w:pPr>
            <w:r>
              <w:rPr>
                <w:sz w:val="21"/>
                <w:szCs w:val="21"/>
                <w:highlight w:val="none"/>
              </w:rPr>
              <w:t>无组织废气</w:t>
            </w:r>
          </w:p>
        </w:tc>
        <w:tc>
          <w:tcPr>
            <w:tcW w:w="1167" w:type="pct"/>
            <w:noWrap w:val="0"/>
            <w:vAlign w:val="center"/>
          </w:tcPr>
          <w:p w14:paraId="3FFCD068">
            <w:pPr>
              <w:pStyle w:val="128"/>
              <w:spacing w:line="320" w:lineRule="exact"/>
              <w:rPr>
                <w:sz w:val="21"/>
                <w:szCs w:val="21"/>
                <w:highlight w:val="none"/>
              </w:rPr>
            </w:pPr>
            <w:r>
              <w:rPr>
                <w:sz w:val="21"/>
                <w:szCs w:val="21"/>
                <w:highlight w:val="none"/>
              </w:rPr>
              <w:t>厂界</w:t>
            </w:r>
          </w:p>
        </w:tc>
        <w:tc>
          <w:tcPr>
            <w:tcW w:w="452" w:type="pct"/>
            <w:noWrap w:val="0"/>
            <w:vAlign w:val="center"/>
          </w:tcPr>
          <w:p w14:paraId="64981E53">
            <w:pPr>
              <w:pStyle w:val="128"/>
              <w:spacing w:line="320" w:lineRule="exact"/>
              <w:rPr>
                <w:sz w:val="21"/>
                <w:szCs w:val="21"/>
                <w:highlight w:val="none"/>
              </w:rPr>
            </w:pPr>
            <w:r>
              <w:rPr>
                <w:sz w:val="21"/>
                <w:szCs w:val="21"/>
                <w:highlight w:val="none"/>
              </w:rPr>
              <w:t>4</w:t>
            </w:r>
          </w:p>
        </w:tc>
        <w:tc>
          <w:tcPr>
            <w:tcW w:w="2089" w:type="pct"/>
            <w:noWrap w:val="0"/>
            <w:vAlign w:val="center"/>
          </w:tcPr>
          <w:p w14:paraId="2603F1D4">
            <w:pPr>
              <w:spacing w:line="320" w:lineRule="exact"/>
              <w:jc w:val="center"/>
              <w:rPr>
                <w:bCs/>
                <w:sz w:val="21"/>
                <w:szCs w:val="21"/>
                <w:highlight w:val="none"/>
              </w:rPr>
            </w:pPr>
            <w:r>
              <w:rPr>
                <w:rFonts w:hint="eastAsia"/>
                <w:kern w:val="0"/>
                <w:sz w:val="21"/>
                <w:szCs w:val="21"/>
                <w:highlight w:val="none"/>
                <w:lang w:val="en-US" w:eastAsia="zh-CN"/>
              </w:rPr>
              <w:t>颗粒物、</w:t>
            </w:r>
            <w:r>
              <w:rPr>
                <w:rFonts w:hint="eastAsia"/>
                <w:kern w:val="0"/>
                <w:sz w:val="21"/>
                <w:szCs w:val="21"/>
                <w:highlight w:val="none"/>
              </w:rPr>
              <w:t>非甲烷总烃</w:t>
            </w:r>
            <w:r>
              <w:rPr>
                <w:rFonts w:hint="eastAsia"/>
                <w:kern w:val="0"/>
                <w:sz w:val="21"/>
                <w:szCs w:val="21"/>
                <w:highlight w:val="none"/>
                <w:lang w:eastAsia="zh-CN"/>
              </w:rPr>
              <w:t>、</w:t>
            </w:r>
            <w:r>
              <w:rPr>
                <w:rFonts w:hint="eastAsia"/>
                <w:kern w:val="0"/>
                <w:sz w:val="21"/>
                <w:szCs w:val="21"/>
                <w:highlight w:val="none"/>
                <w:lang w:val="en-US" w:eastAsia="zh-CN"/>
              </w:rPr>
              <w:t>氨气、臭气浓度</w:t>
            </w:r>
          </w:p>
        </w:tc>
        <w:tc>
          <w:tcPr>
            <w:tcW w:w="679" w:type="pct"/>
            <w:noWrap w:val="0"/>
            <w:vAlign w:val="center"/>
          </w:tcPr>
          <w:p w14:paraId="0C952FBE">
            <w:pPr>
              <w:spacing w:line="320" w:lineRule="exact"/>
              <w:jc w:val="center"/>
              <w:rPr>
                <w:bCs/>
                <w:sz w:val="21"/>
                <w:szCs w:val="21"/>
                <w:highlight w:val="none"/>
              </w:rPr>
            </w:pPr>
            <w:r>
              <w:rPr>
                <w:bCs/>
                <w:sz w:val="21"/>
                <w:szCs w:val="21"/>
                <w:highlight w:val="none"/>
              </w:rPr>
              <w:t>1次/</w:t>
            </w:r>
            <w:r>
              <w:rPr>
                <w:rFonts w:hint="eastAsia"/>
                <w:bCs/>
                <w:sz w:val="21"/>
                <w:szCs w:val="21"/>
                <w:highlight w:val="none"/>
              </w:rPr>
              <w:t>半</w:t>
            </w:r>
            <w:r>
              <w:rPr>
                <w:bCs/>
                <w:sz w:val="21"/>
                <w:szCs w:val="21"/>
                <w:highlight w:val="none"/>
              </w:rPr>
              <w:t>年</w:t>
            </w:r>
          </w:p>
        </w:tc>
      </w:tr>
      <w:tr w14:paraId="1CC1BE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0" w:hRule="atLeast"/>
        </w:trPr>
        <w:tc>
          <w:tcPr>
            <w:tcW w:w="611" w:type="pct"/>
            <w:vMerge w:val="continue"/>
            <w:noWrap w:val="0"/>
            <w:vAlign w:val="center"/>
          </w:tcPr>
          <w:p w14:paraId="34E0EEC7">
            <w:pPr>
              <w:pStyle w:val="128"/>
              <w:spacing w:line="320" w:lineRule="exact"/>
              <w:rPr>
                <w:sz w:val="21"/>
                <w:szCs w:val="21"/>
                <w:highlight w:val="none"/>
              </w:rPr>
            </w:pPr>
          </w:p>
        </w:tc>
        <w:tc>
          <w:tcPr>
            <w:tcW w:w="1167" w:type="pct"/>
            <w:noWrap w:val="0"/>
            <w:vAlign w:val="center"/>
          </w:tcPr>
          <w:p w14:paraId="63673CBB">
            <w:pPr>
              <w:pStyle w:val="128"/>
              <w:spacing w:line="320" w:lineRule="exact"/>
              <w:rPr>
                <w:sz w:val="21"/>
                <w:szCs w:val="21"/>
                <w:highlight w:val="none"/>
              </w:rPr>
            </w:pPr>
            <w:r>
              <w:rPr>
                <w:sz w:val="21"/>
                <w:szCs w:val="21"/>
                <w:highlight w:val="none"/>
              </w:rPr>
              <w:t>车间外1m</w:t>
            </w:r>
            <w:r>
              <w:rPr>
                <w:rFonts w:hint="eastAsia"/>
                <w:sz w:val="21"/>
                <w:szCs w:val="21"/>
                <w:highlight w:val="none"/>
              </w:rPr>
              <w:t>（厂内）</w:t>
            </w:r>
          </w:p>
        </w:tc>
        <w:tc>
          <w:tcPr>
            <w:tcW w:w="452" w:type="pct"/>
            <w:noWrap w:val="0"/>
            <w:vAlign w:val="center"/>
          </w:tcPr>
          <w:p w14:paraId="29AB2B02">
            <w:pPr>
              <w:pStyle w:val="128"/>
              <w:spacing w:line="320" w:lineRule="exact"/>
              <w:rPr>
                <w:sz w:val="21"/>
                <w:szCs w:val="21"/>
                <w:highlight w:val="none"/>
              </w:rPr>
            </w:pPr>
            <w:r>
              <w:rPr>
                <w:rFonts w:hint="eastAsia"/>
                <w:sz w:val="21"/>
                <w:szCs w:val="21"/>
                <w:highlight w:val="none"/>
              </w:rPr>
              <w:t>4</w:t>
            </w:r>
          </w:p>
        </w:tc>
        <w:tc>
          <w:tcPr>
            <w:tcW w:w="2089" w:type="pct"/>
            <w:noWrap w:val="0"/>
            <w:vAlign w:val="center"/>
          </w:tcPr>
          <w:p w14:paraId="0C9C095F">
            <w:pPr>
              <w:pStyle w:val="128"/>
              <w:spacing w:line="320" w:lineRule="exact"/>
              <w:rPr>
                <w:bCs/>
                <w:sz w:val="21"/>
                <w:szCs w:val="21"/>
                <w:highlight w:val="none"/>
              </w:rPr>
            </w:pPr>
            <w:r>
              <w:rPr>
                <w:rFonts w:hint="eastAsia"/>
                <w:kern w:val="0"/>
                <w:sz w:val="21"/>
                <w:szCs w:val="21"/>
                <w:highlight w:val="none"/>
              </w:rPr>
              <w:t>非甲烷总烃</w:t>
            </w:r>
          </w:p>
        </w:tc>
        <w:tc>
          <w:tcPr>
            <w:tcW w:w="679" w:type="pct"/>
            <w:noWrap w:val="0"/>
            <w:vAlign w:val="center"/>
          </w:tcPr>
          <w:p w14:paraId="1F427A2E">
            <w:pPr>
              <w:spacing w:line="320" w:lineRule="exact"/>
              <w:jc w:val="center"/>
              <w:rPr>
                <w:bCs/>
                <w:sz w:val="21"/>
                <w:szCs w:val="21"/>
                <w:highlight w:val="none"/>
              </w:rPr>
            </w:pPr>
            <w:r>
              <w:rPr>
                <w:bCs/>
                <w:sz w:val="21"/>
                <w:szCs w:val="21"/>
                <w:highlight w:val="none"/>
              </w:rPr>
              <w:t>1次/</w:t>
            </w:r>
            <w:r>
              <w:rPr>
                <w:rFonts w:hint="eastAsia"/>
                <w:bCs/>
                <w:sz w:val="21"/>
                <w:szCs w:val="21"/>
                <w:highlight w:val="none"/>
              </w:rPr>
              <w:t>半</w:t>
            </w:r>
            <w:r>
              <w:rPr>
                <w:bCs/>
                <w:sz w:val="21"/>
                <w:szCs w:val="21"/>
                <w:highlight w:val="none"/>
              </w:rPr>
              <w:t>年</w:t>
            </w:r>
          </w:p>
        </w:tc>
      </w:tr>
    </w:tbl>
    <w:p w14:paraId="342B9FB3">
      <w:pPr>
        <w:keepNext w:val="0"/>
        <w:keepLines w:val="0"/>
        <w:widowControl/>
        <w:suppressLineNumbers w:val="0"/>
        <w:jc w:val="left"/>
        <w:rPr>
          <w:rFonts w:hint="eastAsia" w:ascii="Times New Roman" w:hAnsi="Times New Roman" w:eastAsia="宋体" w:cs="Times New Roman"/>
          <w:color w:val="auto"/>
          <w:kern w:val="0"/>
          <w:szCs w:val="21"/>
          <w:lang w:val="en-US" w:eastAsia="zh-CN"/>
        </w:rPr>
      </w:pPr>
      <w:r>
        <w:rPr>
          <w:rFonts w:hint="eastAsia" w:cs="Times New Roman"/>
          <w:b/>
          <w:bCs/>
          <w:color w:val="auto"/>
          <w:kern w:val="0"/>
          <w:sz w:val="18"/>
          <w:szCs w:val="18"/>
          <w:lang w:val="en-US" w:eastAsia="zh-CN"/>
        </w:rPr>
        <w:t>注：</w:t>
      </w:r>
      <w:r>
        <w:rPr>
          <w:rFonts w:hint="eastAsia"/>
          <w:b/>
          <w:bCs/>
          <w:color w:val="auto"/>
          <w:sz w:val="18"/>
          <w:szCs w:val="18"/>
        </w:rPr>
        <w:t>《大气污染物综合排放标准》（DB32/4041-2021）</w:t>
      </w:r>
      <w:r>
        <w:rPr>
          <w:rFonts w:hint="eastAsia"/>
          <w:b/>
          <w:bCs/>
          <w:color w:val="auto"/>
          <w:sz w:val="18"/>
          <w:szCs w:val="18"/>
          <w:lang w:val="en-US" w:eastAsia="zh-CN"/>
        </w:rPr>
        <w:t>中提到</w:t>
      </w:r>
      <w:r>
        <w:rPr>
          <w:rFonts w:hint="eastAsia" w:ascii="宋体" w:hAnsi="宋体" w:eastAsia="宋体" w:cs="宋体"/>
          <w:b/>
          <w:bCs/>
          <w:color w:val="auto"/>
          <w:kern w:val="0"/>
          <w:sz w:val="18"/>
          <w:szCs w:val="18"/>
          <w:lang w:val="en-US" w:eastAsia="zh-CN" w:bidi="ar"/>
        </w:rPr>
        <w:t>当执行不同排放控制要求的废气合并排气筒排放时，应在废气混合前进行监测，并执行相应的排放控制要求；本项目同一排气筒不同股废气执行同一标准，可在排气筒出口监测。</w:t>
      </w:r>
    </w:p>
    <w:p w14:paraId="2F185C5E">
      <w:pPr>
        <w:pStyle w:val="4"/>
        <w:spacing w:before="0" w:after="0" w:line="460" w:lineRule="exact"/>
        <w:rPr>
          <w:color w:val="auto"/>
          <w:sz w:val="24"/>
          <w:szCs w:val="24"/>
        </w:rPr>
      </w:pPr>
      <w:r>
        <w:rPr>
          <w:rFonts w:hint="eastAsia"/>
          <w:color w:val="auto"/>
          <w:sz w:val="24"/>
          <w:szCs w:val="24"/>
        </w:rPr>
        <w:t>6.2.2 验收监测</w:t>
      </w:r>
      <w:bookmarkEnd w:id="116"/>
    </w:p>
    <w:p w14:paraId="194CC50F">
      <w:pPr>
        <w:autoSpaceDE w:val="0"/>
        <w:autoSpaceDN w:val="0"/>
        <w:adjustRightInd w:val="0"/>
        <w:snapToGrid w:val="0"/>
        <w:spacing w:line="460" w:lineRule="exact"/>
        <w:ind w:firstLine="480" w:firstLineChars="200"/>
        <w:jc w:val="left"/>
        <w:rPr>
          <w:color w:val="auto"/>
          <w:sz w:val="24"/>
          <w:szCs w:val="24"/>
        </w:rPr>
      </w:pPr>
      <w:r>
        <w:rPr>
          <w:color w:val="auto"/>
          <w:sz w:val="24"/>
          <w:szCs w:val="24"/>
        </w:rPr>
        <w:t>（1）各生产装置的实际生产能力是否具备竣工验收条件，如项目分期建设，则“三同时”验收也相应的分期进行。</w:t>
      </w:r>
    </w:p>
    <w:p w14:paraId="15707ACC">
      <w:pPr>
        <w:autoSpaceDE w:val="0"/>
        <w:autoSpaceDN w:val="0"/>
        <w:adjustRightInd w:val="0"/>
        <w:snapToGrid w:val="0"/>
        <w:spacing w:line="460" w:lineRule="exact"/>
        <w:ind w:firstLine="480" w:firstLineChars="200"/>
        <w:jc w:val="left"/>
        <w:rPr>
          <w:color w:val="auto"/>
          <w:sz w:val="24"/>
          <w:szCs w:val="24"/>
        </w:rPr>
      </w:pPr>
      <w:r>
        <w:rPr>
          <w:color w:val="auto"/>
          <w:sz w:val="24"/>
          <w:szCs w:val="24"/>
        </w:rPr>
        <w:t>（2）按照“三同时”要求，各项环保设施是否安装到位，运转是否正常。</w:t>
      </w:r>
    </w:p>
    <w:p w14:paraId="1715D4FA">
      <w:pPr>
        <w:autoSpaceDE w:val="0"/>
        <w:autoSpaceDN w:val="0"/>
        <w:adjustRightInd w:val="0"/>
        <w:snapToGrid w:val="0"/>
        <w:spacing w:line="460" w:lineRule="exact"/>
        <w:ind w:firstLine="480" w:firstLineChars="200"/>
        <w:jc w:val="left"/>
        <w:outlineLvl w:val="9"/>
        <w:rPr>
          <w:color w:val="auto"/>
          <w:sz w:val="24"/>
          <w:szCs w:val="24"/>
        </w:rPr>
      </w:pPr>
      <w:bookmarkStart w:id="117" w:name="_Toc9360"/>
      <w:bookmarkStart w:id="118" w:name="_Toc21436"/>
      <w:bookmarkStart w:id="119" w:name="_Toc21394"/>
      <w:r>
        <w:rPr>
          <w:color w:val="auto"/>
          <w:sz w:val="24"/>
          <w:szCs w:val="24"/>
        </w:rPr>
        <w:t>（3）在厂界下风向布设厂界无组织监控点。</w:t>
      </w:r>
      <w:bookmarkEnd w:id="117"/>
      <w:bookmarkEnd w:id="118"/>
      <w:bookmarkEnd w:id="119"/>
    </w:p>
    <w:p w14:paraId="225F242E">
      <w:pPr>
        <w:autoSpaceDE w:val="0"/>
        <w:autoSpaceDN w:val="0"/>
        <w:adjustRightInd w:val="0"/>
        <w:snapToGrid w:val="0"/>
        <w:spacing w:line="460" w:lineRule="exact"/>
        <w:ind w:firstLine="480" w:firstLineChars="200"/>
        <w:jc w:val="left"/>
        <w:outlineLvl w:val="9"/>
        <w:rPr>
          <w:color w:val="auto"/>
          <w:sz w:val="24"/>
          <w:szCs w:val="24"/>
        </w:rPr>
      </w:pPr>
      <w:bookmarkStart w:id="120" w:name="_Toc15156"/>
      <w:bookmarkStart w:id="121" w:name="_Toc28794"/>
      <w:bookmarkStart w:id="122" w:name="_Toc5646"/>
      <w:r>
        <w:rPr>
          <w:color w:val="auto"/>
          <w:sz w:val="24"/>
          <w:szCs w:val="24"/>
        </w:rPr>
        <w:t>（4）各废气有组织排放口采样监测。</w:t>
      </w:r>
      <w:bookmarkEnd w:id="120"/>
      <w:bookmarkEnd w:id="121"/>
      <w:bookmarkEnd w:id="122"/>
    </w:p>
    <w:p w14:paraId="46653786">
      <w:pPr>
        <w:adjustRightInd w:val="0"/>
        <w:snapToGrid w:val="0"/>
        <w:spacing w:line="460" w:lineRule="exact"/>
        <w:jc w:val="center"/>
        <w:rPr>
          <w:rFonts w:hint="eastAsia"/>
          <w:b/>
          <w:color w:val="auto"/>
          <w:sz w:val="24"/>
          <w:szCs w:val="24"/>
          <w:lang w:val="en-US" w:eastAsia="zh-CN"/>
        </w:rPr>
      </w:pPr>
      <w:bookmarkStart w:id="123" w:name="_Ref47271365"/>
      <w:r>
        <w:rPr>
          <w:rFonts w:hint="eastAsia"/>
          <w:b/>
          <w:color w:val="auto"/>
          <w:sz w:val="24"/>
          <w:szCs w:val="24"/>
          <w:lang w:val="en-US" w:eastAsia="zh-CN"/>
        </w:rPr>
        <w:t>表</w:t>
      </w:r>
      <w:bookmarkEnd w:id="123"/>
      <w:r>
        <w:rPr>
          <w:rFonts w:hint="eastAsia"/>
          <w:b/>
          <w:color w:val="auto"/>
          <w:sz w:val="24"/>
          <w:szCs w:val="24"/>
          <w:lang w:val="en-US" w:eastAsia="zh-CN"/>
        </w:rPr>
        <w:t>6-2  验收监测计划表</w:t>
      </w:r>
    </w:p>
    <w:tbl>
      <w:tblPr>
        <w:tblStyle w:val="37"/>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2303"/>
        <w:gridCol w:w="2155"/>
        <w:gridCol w:w="1627"/>
        <w:gridCol w:w="1708"/>
      </w:tblGrid>
      <w:tr w14:paraId="2CE94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4" w:type="pct"/>
            <w:gridSpan w:val="2"/>
            <w:noWrap w:val="0"/>
            <w:vAlign w:val="center"/>
          </w:tcPr>
          <w:p w14:paraId="06AAEBBE">
            <w:pPr>
              <w:pStyle w:val="128"/>
              <w:spacing w:line="320" w:lineRule="exact"/>
              <w:rPr>
                <w:b/>
                <w:bCs/>
                <w:sz w:val="21"/>
                <w:szCs w:val="21"/>
                <w:highlight w:val="none"/>
              </w:rPr>
            </w:pPr>
            <w:bookmarkStart w:id="124" w:name="_Toc24902"/>
            <w:r>
              <w:rPr>
                <w:b/>
                <w:bCs/>
                <w:sz w:val="21"/>
                <w:szCs w:val="21"/>
                <w:highlight w:val="none"/>
              </w:rPr>
              <w:t>监测点位（编号）</w:t>
            </w:r>
          </w:p>
        </w:tc>
        <w:tc>
          <w:tcPr>
            <w:tcW w:w="1297" w:type="pct"/>
            <w:noWrap w:val="0"/>
            <w:vAlign w:val="center"/>
          </w:tcPr>
          <w:p w14:paraId="1AFCEDB0">
            <w:pPr>
              <w:pStyle w:val="128"/>
              <w:spacing w:line="320" w:lineRule="exact"/>
              <w:rPr>
                <w:b/>
                <w:bCs/>
                <w:sz w:val="21"/>
                <w:szCs w:val="21"/>
                <w:highlight w:val="none"/>
              </w:rPr>
            </w:pPr>
            <w:r>
              <w:rPr>
                <w:b/>
                <w:bCs/>
                <w:sz w:val="21"/>
                <w:szCs w:val="21"/>
                <w:highlight w:val="none"/>
              </w:rPr>
              <w:t>监测因子</w:t>
            </w:r>
          </w:p>
        </w:tc>
        <w:tc>
          <w:tcPr>
            <w:tcW w:w="979" w:type="pct"/>
            <w:noWrap w:val="0"/>
            <w:vAlign w:val="center"/>
          </w:tcPr>
          <w:p w14:paraId="4D9448BD">
            <w:pPr>
              <w:pStyle w:val="128"/>
              <w:spacing w:line="320" w:lineRule="exact"/>
              <w:rPr>
                <w:b/>
                <w:bCs/>
                <w:sz w:val="21"/>
                <w:szCs w:val="21"/>
                <w:highlight w:val="none"/>
              </w:rPr>
            </w:pPr>
            <w:r>
              <w:rPr>
                <w:b/>
                <w:bCs/>
                <w:sz w:val="21"/>
                <w:szCs w:val="21"/>
                <w:highlight w:val="none"/>
              </w:rPr>
              <w:t>监测项目</w:t>
            </w:r>
          </w:p>
        </w:tc>
        <w:tc>
          <w:tcPr>
            <w:tcW w:w="1028" w:type="pct"/>
            <w:noWrap w:val="0"/>
            <w:vAlign w:val="center"/>
          </w:tcPr>
          <w:p w14:paraId="661310CF">
            <w:pPr>
              <w:pStyle w:val="128"/>
              <w:spacing w:line="320" w:lineRule="exact"/>
              <w:rPr>
                <w:b/>
                <w:bCs/>
                <w:sz w:val="21"/>
                <w:szCs w:val="21"/>
                <w:highlight w:val="none"/>
              </w:rPr>
            </w:pPr>
            <w:r>
              <w:rPr>
                <w:b/>
                <w:bCs/>
                <w:sz w:val="21"/>
                <w:szCs w:val="21"/>
                <w:highlight w:val="none"/>
              </w:rPr>
              <w:t>频次</w:t>
            </w:r>
          </w:p>
        </w:tc>
      </w:tr>
      <w:tr w14:paraId="49D5B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8" w:type="pct"/>
            <w:vMerge w:val="restart"/>
            <w:noWrap w:val="0"/>
            <w:vAlign w:val="center"/>
          </w:tcPr>
          <w:p w14:paraId="6FA8C238">
            <w:pPr>
              <w:pStyle w:val="128"/>
              <w:spacing w:line="320" w:lineRule="exact"/>
              <w:rPr>
                <w:sz w:val="21"/>
                <w:szCs w:val="21"/>
                <w:highlight w:val="none"/>
              </w:rPr>
            </w:pPr>
            <w:r>
              <w:rPr>
                <w:rFonts w:hint="eastAsia"/>
                <w:sz w:val="21"/>
                <w:szCs w:val="21"/>
                <w:highlight w:val="none"/>
              </w:rPr>
              <w:t>有组织</w:t>
            </w:r>
          </w:p>
        </w:tc>
        <w:tc>
          <w:tcPr>
            <w:tcW w:w="1386" w:type="pct"/>
            <w:noWrap w:val="0"/>
            <w:vAlign w:val="center"/>
          </w:tcPr>
          <w:p w14:paraId="4C58E2DB">
            <w:pPr>
              <w:spacing w:line="320" w:lineRule="exact"/>
              <w:jc w:val="center"/>
              <w:rPr>
                <w:rFonts w:hint="eastAsia" w:eastAsia="宋体"/>
                <w:kern w:val="2"/>
                <w:sz w:val="21"/>
                <w:szCs w:val="21"/>
                <w:highlight w:val="none"/>
                <w:lang w:val="en-US" w:eastAsia="zh-CN" w:bidi="ar-SA"/>
              </w:rPr>
            </w:pPr>
            <w:r>
              <w:rPr>
                <w:rFonts w:hint="eastAsia"/>
                <w:sz w:val="21"/>
                <w:szCs w:val="21"/>
                <w:highlight w:val="none"/>
                <w:lang w:val="en-US" w:eastAsia="zh-CN"/>
              </w:rPr>
              <w:t>DA001</w:t>
            </w:r>
            <w:r>
              <w:rPr>
                <w:sz w:val="21"/>
                <w:szCs w:val="21"/>
                <w:highlight w:val="none"/>
              </w:rPr>
              <w:t>排气筒</w:t>
            </w:r>
            <w:r>
              <w:rPr>
                <w:rFonts w:hint="eastAsia"/>
                <w:sz w:val="21"/>
                <w:szCs w:val="21"/>
                <w:highlight w:val="none"/>
                <w:lang w:eastAsia="zh-CN"/>
              </w:rPr>
              <w:t>（</w:t>
            </w:r>
            <w:r>
              <w:rPr>
                <w:rFonts w:hint="eastAsia"/>
                <w:sz w:val="21"/>
                <w:szCs w:val="21"/>
                <w:highlight w:val="none"/>
                <w:lang w:val="en-US" w:eastAsia="zh-CN"/>
              </w:rPr>
              <w:t>进、出口</w:t>
            </w:r>
            <w:r>
              <w:rPr>
                <w:rFonts w:hint="eastAsia"/>
                <w:sz w:val="21"/>
                <w:szCs w:val="21"/>
                <w:highlight w:val="none"/>
                <w:lang w:eastAsia="zh-CN"/>
              </w:rPr>
              <w:t>）</w:t>
            </w:r>
          </w:p>
        </w:tc>
        <w:tc>
          <w:tcPr>
            <w:tcW w:w="1297" w:type="pct"/>
            <w:noWrap w:val="0"/>
            <w:vAlign w:val="center"/>
          </w:tcPr>
          <w:p w14:paraId="0FFAF446">
            <w:pPr>
              <w:pStyle w:val="128"/>
              <w:spacing w:line="320" w:lineRule="exact"/>
              <w:rPr>
                <w:rFonts w:hint="eastAsia"/>
                <w:kern w:val="0"/>
                <w:sz w:val="21"/>
                <w:szCs w:val="21"/>
                <w:highlight w:val="none"/>
                <w:lang w:val="en-US" w:eastAsia="zh-CN" w:bidi="ar-SA"/>
              </w:rPr>
            </w:pPr>
            <w:r>
              <w:rPr>
                <w:rFonts w:hint="eastAsia"/>
                <w:kern w:val="0"/>
                <w:sz w:val="21"/>
                <w:szCs w:val="21"/>
                <w:highlight w:val="none"/>
                <w:lang w:val="en-US" w:eastAsia="zh-CN"/>
              </w:rPr>
              <w:t>颗粒物、非甲烷总烃</w:t>
            </w:r>
          </w:p>
        </w:tc>
        <w:tc>
          <w:tcPr>
            <w:tcW w:w="979" w:type="pct"/>
            <w:vMerge w:val="restart"/>
            <w:noWrap w:val="0"/>
            <w:vAlign w:val="center"/>
          </w:tcPr>
          <w:p w14:paraId="091F0AD1">
            <w:pPr>
              <w:pStyle w:val="128"/>
              <w:spacing w:line="320" w:lineRule="exact"/>
              <w:rPr>
                <w:sz w:val="21"/>
                <w:szCs w:val="21"/>
                <w:highlight w:val="none"/>
              </w:rPr>
            </w:pPr>
            <w:r>
              <w:rPr>
                <w:rFonts w:hint="eastAsia"/>
                <w:sz w:val="21"/>
                <w:szCs w:val="21"/>
                <w:highlight w:val="none"/>
              </w:rPr>
              <w:t>产生速率，产生浓度、排放速率、排放浓度、</w:t>
            </w:r>
            <w:r>
              <w:rPr>
                <w:rFonts w:hint="eastAsia"/>
                <w:bCs/>
                <w:sz w:val="21"/>
                <w:szCs w:val="21"/>
                <w:highlight w:val="none"/>
              </w:rPr>
              <w:t>处理效率</w:t>
            </w:r>
          </w:p>
        </w:tc>
        <w:tc>
          <w:tcPr>
            <w:tcW w:w="1028" w:type="pct"/>
            <w:vMerge w:val="restart"/>
            <w:noWrap w:val="0"/>
            <w:vAlign w:val="center"/>
          </w:tcPr>
          <w:p w14:paraId="575F201D">
            <w:pPr>
              <w:pStyle w:val="128"/>
              <w:spacing w:line="320" w:lineRule="exact"/>
              <w:rPr>
                <w:sz w:val="21"/>
                <w:szCs w:val="21"/>
                <w:highlight w:val="none"/>
              </w:rPr>
            </w:pPr>
            <w:r>
              <w:rPr>
                <w:rFonts w:hint="eastAsia"/>
                <w:sz w:val="21"/>
                <w:szCs w:val="21"/>
                <w:highlight w:val="none"/>
              </w:rPr>
              <w:t>连续监测</w:t>
            </w:r>
            <w:r>
              <w:rPr>
                <w:sz w:val="21"/>
                <w:szCs w:val="21"/>
                <w:highlight w:val="none"/>
              </w:rPr>
              <w:t>2</w:t>
            </w:r>
            <w:r>
              <w:rPr>
                <w:rFonts w:hint="eastAsia"/>
                <w:sz w:val="21"/>
                <w:szCs w:val="21"/>
                <w:highlight w:val="none"/>
              </w:rPr>
              <w:t>天，每天</w:t>
            </w:r>
            <w:r>
              <w:rPr>
                <w:sz w:val="21"/>
                <w:szCs w:val="21"/>
                <w:highlight w:val="none"/>
              </w:rPr>
              <w:t>3</w:t>
            </w:r>
            <w:r>
              <w:rPr>
                <w:rFonts w:hint="eastAsia"/>
                <w:sz w:val="21"/>
                <w:szCs w:val="21"/>
                <w:highlight w:val="none"/>
              </w:rPr>
              <w:t>个平行样（以项目竣工验收监测方案为准）</w:t>
            </w:r>
          </w:p>
        </w:tc>
      </w:tr>
      <w:tr w14:paraId="52795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8" w:type="pct"/>
            <w:vMerge w:val="continue"/>
            <w:noWrap w:val="0"/>
            <w:vAlign w:val="center"/>
          </w:tcPr>
          <w:p w14:paraId="298D5445">
            <w:pPr>
              <w:pStyle w:val="128"/>
              <w:spacing w:line="320" w:lineRule="exact"/>
              <w:rPr>
                <w:sz w:val="21"/>
                <w:szCs w:val="21"/>
              </w:rPr>
            </w:pPr>
          </w:p>
        </w:tc>
        <w:tc>
          <w:tcPr>
            <w:tcW w:w="1386" w:type="pct"/>
            <w:shd w:val="clear" w:color="auto" w:fill="auto"/>
            <w:noWrap w:val="0"/>
            <w:vAlign w:val="center"/>
          </w:tcPr>
          <w:p w14:paraId="5C165CF6">
            <w:pPr>
              <w:spacing w:line="320" w:lineRule="exact"/>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DA002排气筒</w:t>
            </w:r>
            <w:r>
              <w:rPr>
                <w:rFonts w:hint="eastAsia"/>
                <w:sz w:val="21"/>
                <w:szCs w:val="21"/>
                <w:highlight w:val="none"/>
                <w:lang w:eastAsia="zh-CN"/>
              </w:rPr>
              <w:t>（</w:t>
            </w:r>
            <w:r>
              <w:rPr>
                <w:rFonts w:hint="eastAsia"/>
                <w:sz w:val="21"/>
                <w:szCs w:val="21"/>
                <w:highlight w:val="none"/>
                <w:lang w:val="en-US" w:eastAsia="zh-CN"/>
              </w:rPr>
              <w:t>进、出口</w:t>
            </w:r>
            <w:r>
              <w:rPr>
                <w:rFonts w:hint="eastAsia"/>
                <w:sz w:val="21"/>
                <w:szCs w:val="21"/>
                <w:highlight w:val="none"/>
                <w:lang w:eastAsia="zh-CN"/>
              </w:rPr>
              <w:t>）</w:t>
            </w:r>
          </w:p>
        </w:tc>
        <w:tc>
          <w:tcPr>
            <w:tcW w:w="1297" w:type="pct"/>
            <w:shd w:val="clear" w:color="auto" w:fill="auto"/>
            <w:noWrap w:val="0"/>
            <w:vAlign w:val="center"/>
          </w:tcPr>
          <w:p w14:paraId="5059C78D">
            <w:pPr>
              <w:pStyle w:val="128"/>
              <w:spacing w:line="320" w:lineRule="exact"/>
              <w:rPr>
                <w:rFonts w:hint="eastAsia" w:ascii="Times New Roman" w:hAnsi="Times New Roman" w:eastAsia="宋体" w:cs="Times New Roman"/>
                <w:kern w:val="0"/>
                <w:sz w:val="21"/>
                <w:szCs w:val="21"/>
                <w:highlight w:val="none"/>
                <w:lang w:val="en-US" w:eastAsia="zh-CN" w:bidi="ar-SA"/>
              </w:rPr>
            </w:pPr>
            <w:r>
              <w:rPr>
                <w:rFonts w:hint="eastAsia"/>
                <w:kern w:val="0"/>
                <w:sz w:val="21"/>
                <w:szCs w:val="21"/>
                <w:highlight w:val="none"/>
                <w:lang w:val="en-US" w:eastAsia="zh-CN"/>
              </w:rPr>
              <w:t>颗粒物、SO</w:t>
            </w:r>
            <w:r>
              <w:rPr>
                <w:rFonts w:hint="eastAsia"/>
                <w:kern w:val="0"/>
                <w:sz w:val="21"/>
                <w:szCs w:val="21"/>
                <w:highlight w:val="none"/>
                <w:vertAlign w:val="subscript"/>
                <w:lang w:val="en-US" w:eastAsia="zh-CN"/>
              </w:rPr>
              <w:t>2</w:t>
            </w:r>
            <w:r>
              <w:rPr>
                <w:rFonts w:hint="eastAsia"/>
                <w:kern w:val="0"/>
                <w:sz w:val="21"/>
                <w:szCs w:val="21"/>
                <w:highlight w:val="none"/>
                <w:lang w:val="en-US" w:eastAsia="zh-CN"/>
              </w:rPr>
              <w:t>、NO</w:t>
            </w:r>
            <w:r>
              <w:rPr>
                <w:rFonts w:hint="eastAsia"/>
                <w:kern w:val="0"/>
                <w:sz w:val="21"/>
                <w:szCs w:val="21"/>
                <w:highlight w:val="none"/>
                <w:vertAlign w:val="subscript"/>
                <w:lang w:val="en-US" w:eastAsia="zh-CN"/>
              </w:rPr>
              <w:t>x</w:t>
            </w:r>
            <w:r>
              <w:rPr>
                <w:rFonts w:hint="eastAsia"/>
                <w:kern w:val="0"/>
                <w:sz w:val="21"/>
                <w:szCs w:val="21"/>
                <w:highlight w:val="none"/>
                <w:lang w:val="en-US" w:eastAsia="zh-CN"/>
              </w:rPr>
              <w:t>、汞及其化合物</w:t>
            </w:r>
          </w:p>
        </w:tc>
        <w:tc>
          <w:tcPr>
            <w:tcW w:w="979" w:type="pct"/>
            <w:vMerge w:val="continue"/>
            <w:noWrap w:val="0"/>
            <w:vAlign w:val="center"/>
          </w:tcPr>
          <w:p w14:paraId="2DCA19EA">
            <w:pPr>
              <w:pStyle w:val="128"/>
              <w:spacing w:line="320" w:lineRule="exact"/>
              <w:rPr>
                <w:rFonts w:hint="eastAsia"/>
                <w:sz w:val="21"/>
                <w:szCs w:val="21"/>
                <w:highlight w:val="none"/>
                <w:lang w:val="en-US" w:eastAsia="zh-CN"/>
              </w:rPr>
            </w:pPr>
          </w:p>
        </w:tc>
        <w:tc>
          <w:tcPr>
            <w:tcW w:w="1028" w:type="pct"/>
            <w:vMerge w:val="continue"/>
            <w:noWrap w:val="0"/>
            <w:vAlign w:val="center"/>
          </w:tcPr>
          <w:p w14:paraId="0F11E0F9">
            <w:pPr>
              <w:pStyle w:val="128"/>
              <w:spacing w:line="320" w:lineRule="exact"/>
              <w:rPr>
                <w:rFonts w:hint="eastAsia"/>
                <w:sz w:val="21"/>
                <w:szCs w:val="21"/>
                <w:highlight w:val="none"/>
                <w:lang w:val="en-US" w:eastAsia="zh-CN"/>
              </w:rPr>
            </w:pPr>
          </w:p>
        </w:tc>
      </w:tr>
      <w:tr w14:paraId="2BEB9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8" w:type="pct"/>
            <w:vMerge w:val="continue"/>
            <w:noWrap w:val="0"/>
            <w:vAlign w:val="center"/>
          </w:tcPr>
          <w:p w14:paraId="7857464F">
            <w:pPr>
              <w:pStyle w:val="128"/>
              <w:spacing w:line="320" w:lineRule="exact"/>
              <w:rPr>
                <w:sz w:val="21"/>
                <w:szCs w:val="21"/>
              </w:rPr>
            </w:pPr>
          </w:p>
        </w:tc>
        <w:tc>
          <w:tcPr>
            <w:tcW w:w="1386" w:type="pct"/>
            <w:noWrap w:val="0"/>
            <w:vAlign w:val="center"/>
          </w:tcPr>
          <w:p w14:paraId="747F0929">
            <w:pPr>
              <w:spacing w:line="320" w:lineRule="exact"/>
              <w:jc w:val="center"/>
              <w:rPr>
                <w:rFonts w:hint="default"/>
                <w:sz w:val="21"/>
                <w:szCs w:val="21"/>
                <w:highlight w:val="none"/>
                <w:lang w:val="en-US" w:eastAsia="zh-CN"/>
              </w:rPr>
            </w:pPr>
            <w:r>
              <w:rPr>
                <w:rFonts w:hint="eastAsia"/>
                <w:sz w:val="21"/>
                <w:szCs w:val="21"/>
                <w:highlight w:val="none"/>
                <w:lang w:val="en-US" w:eastAsia="zh-CN"/>
              </w:rPr>
              <w:t>DA003排气筒</w:t>
            </w:r>
            <w:r>
              <w:rPr>
                <w:rFonts w:hint="eastAsia"/>
                <w:sz w:val="21"/>
                <w:szCs w:val="21"/>
                <w:highlight w:val="none"/>
                <w:lang w:eastAsia="zh-CN"/>
              </w:rPr>
              <w:t>（</w:t>
            </w:r>
            <w:r>
              <w:rPr>
                <w:rFonts w:hint="eastAsia"/>
                <w:sz w:val="21"/>
                <w:szCs w:val="21"/>
                <w:highlight w:val="none"/>
                <w:lang w:val="en-US" w:eastAsia="zh-CN"/>
              </w:rPr>
              <w:t>进、出口</w:t>
            </w:r>
            <w:r>
              <w:rPr>
                <w:rFonts w:hint="eastAsia"/>
                <w:sz w:val="21"/>
                <w:szCs w:val="21"/>
                <w:highlight w:val="none"/>
                <w:lang w:eastAsia="zh-CN"/>
              </w:rPr>
              <w:t>）</w:t>
            </w:r>
          </w:p>
        </w:tc>
        <w:tc>
          <w:tcPr>
            <w:tcW w:w="1297" w:type="pct"/>
            <w:noWrap w:val="0"/>
            <w:vAlign w:val="center"/>
          </w:tcPr>
          <w:p w14:paraId="180EC2D5">
            <w:pPr>
              <w:pStyle w:val="128"/>
              <w:spacing w:line="320" w:lineRule="exact"/>
              <w:rPr>
                <w:rFonts w:hint="default"/>
                <w:sz w:val="21"/>
                <w:szCs w:val="21"/>
                <w:highlight w:val="none"/>
                <w:lang w:val="en-US" w:eastAsia="zh-CN"/>
              </w:rPr>
            </w:pPr>
            <w:r>
              <w:rPr>
                <w:rFonts w:hint="eastAsia"/>
                <w:kern w:val="0"/>
                <w:sz w:val="21"/>
                <w:szCs w:val="21"/>
                <w:highlight w:val="none"/>
                <w:lang w:val="en-US" w:eastAsia="zh-CN"/>
              </w:rPr>
              <w:t>颗粒物、SO</w:t>
            </w:r>
            <w:r>
              <w:rPr>
                <w:rFonts w:hint="eastAsia"/>
                <w:kern w:val="0"/>
                <w:sz w:val="21"/>
                <w:szCs w:val="21"/>
                <w:highlight w:val="none"/>
                <w:vertAlign w:val="subscript"/>
                <w:lang w:val="en-US" w:eastAsia="zh-CN"/>
              </w:rPr>
              <w:t>2</w:t>
            </w:r>
            <w:r>
              <w:rPr>
                <w:rFonts w:hint="eastAsia"/>
                <w:kern w:val="0"/>
                <w:sz w:val="21"/>
                <w:szCs w:val="21"/>
                <w:highlight w:val="none"/>
                <w:lang w:val="en-US" w:eastAsia="zh-CN"/>
              </w:rPr>
              <w:t>、NO</w:t>
            </w:r>
            <w:r>
              <w:rPr>
                <w:rFonts w:hint="eastAsia"/>
                <w:kern w:val="0"/>
                <w:sz w:val="21"/>
                <w:szCs w:val="21"/>
                <w:highlight w:val="none"/>
                <w:vertAlign w:val="subscript"/>
                <w:lang w:val="en-US" w:eastAsia="zh-CN"/>
              </w:rPr>
              <w:t>x</w:t>
            </w:r>
            <w:r>
              <w:rPr>
                <w:rFonts w:hint="eastAsia"/>
                <w:kern w:val="0"/>
                <w:sz w:val="21"/>
                <w:szCs w:val="21"/>
                <w:highlight w:val="none"/>
                <w:lang w:val="en-US" w:eastAsia="zh-CN"/>
              </w:rPr>
              <w:t>、汞及其化合物</w:t>
            </w:r>
          </w:p>
        </w:tc>
        <w:tc>
          <w:tcPr>
            <w:tcW w:w="979" w:type="pct"/>
            <w:vMerge w:val="continue"/>
            <w:noWrap w:val="0"/>
            <w:vAlign w:val="center"/>
          </w:tcPr>
          <w:p w14:paraId="437D8CBF">
            <w:pPr>
              <w:pStyle w:val="128"/>
              <w:spacing w:line="320" w:lineRule="exact"/>
              <w:rPr>
                <w:rFonts w:hint="eastAsia"/>
                <w:sz w:val="21"/>
                <w:szCs w:val="21"/>
                <w:highlight w:val="none"/>
                <w:lang w:val="en-US" w:eastAsia="zh-CN"/>
              </w:rPr>
            </w:pPr>
          </w:p>
        </w:tc>
        <w:tc>
          <w:tcPr>
            <w:tcW w:w="1028" w:type="pct"/>
            <w:vMerge w:val="continue"/>
            <w:noWrap w:val="0"/>
            <w:vAlign w:val="center"/>
          </w:tcPr>
          <w:p w14:paraId="52E8BC69">
            <w:pPr>
              <w:pStyle w:val="128"/>
              <w:spacing w:line="320" w:lineRule="exact"/>
              <w:rPr>
                <w:rFonts w:hint="eastAsia"/>
                <w:sz w:val="21"/>
                <w:szCs w:val="21"/>
                <w:highlight w:val="none"/>
                <w:lang w:val="en-US" w:eastAsia="zh-CN"/>
              </w:rPr>
            </w:pPr>
          </w:p>
        </w:tc>
      </w:tr>
      <w:tr w14:paraId="352C3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308" w:type="pct"/>
            <w:vMerge w:val="restart"/>
            <w:noWrap w:val="0"/>
            <w:vAlign w:val="center"/>
          </w:tcPr>
          <w:p w14:paraId="78C0E1E5">
            <w:pPr>
              <w:pStyle w:val="128"/>
              <w:spacing w:line="320" w:lineRule="exact"/>
              <w:rPr>
                <w:sz w:val="21"/>
                <w:szCs w:val="21"/>
                <w:highlight w:val="none"/>
              </w:rPr>
            </w:pPr>
            <w:r>
              <w:rPr>
                <w:rFonts w:hint="eastAsia"/>
                <w:sz w:val="21"/>
                <w:szCs w:val="21"/>
                <w:highlight w:val="none"/>
              </w:rPr>
              <w:t>无组织</w:t>
            </w:r>
          </w:p>
        </w:tc>
        <w:tc>
          <w:tcPr>
            <w:tcW w:w="1386" w:type="pct"/>
            <w:noWrap w:val="0"/>
            <w:vAlign w:val="center"/>
          </w:tcPr>
          <w:p w14:paraId="54C92713">
            <w:pPr>
              <w:pStyle w:val="128"/>
              <w:spacing w:line="320" w:lineRule="exact"/>
              <w:rPr>
                <w:sz w:val="21"/>
                <w:szCs w:val="21"/>
                <w:highlight w:val="none"/>
              </w:rPr>
            </w:pPr>
            <w:r>
              <w:rPr>
                <w:sz w:val="21"/>
                <w:szCs w:val="21"/>
                <w:highlight w:val="none"/>
              </w:rPr>
              <w:t>厂界</w:t>
            </w:r>
            <w:r>
              <w:rPr>
                <w:rFonts w:hint="eastAsia"/>
                <w:sz w:val="21"/>
                <w:szCs w:val="21"/>
                <w:highlight w:val="none"/>
              </w:rPr>
              <w:t>上</w:t>
            </w:r>
            <w:r>
              <w:rPr>
                <w:sz w:val="21"/>
                <w:szCs w:val="21"/>
                <w:highlight w:val="none"/>
              </w:rPr>
              <w:t>风向</w:t>
            </w:r>
            <w:r>
              <w:rPr>
                <w:rFonts w:hint="eastAsia"/>
                <w:sz w:val="21"/>
                <w:szCs w:val="21"/>
                <w:highlight w:val="none"/>
              </w:rPr>
              <w:t>1个</w:t>
            </w:r>
            <w:r>
              <w:rPr>
                <w:sz w:val="21"/>
                <w:szCs w:val="21"/>
                <w:highlight w:val="none"/>
              </w:rPr>
              <w:t>监控点</w:t>
            </w:r>
            <w:r>
              <w:rPr>
                <w:rFonts w:hint="eastAsia"/>
                <w:sz w:val="21"/>
                <w:szCs w:val="21"/>
                <w:highlight w:val="none"/>
              </w:rPr>
              <w:t>，</w:t>
            </w:r>
            <w:r>
              <w:rPr>
                <w:sz w:val="21"/>
                <w:szCs w:val="21"/>
                <w:highlight w:val="none"/>
              </w:rPr>
              <w:t>下风向</w:t>
            </w:r>
            <w:r>
              <w:rPr>
                <w:rFonts w:hint="eastAsia"/>
                <w:sz w:val="21"/>
                <w:szCs w:val="21"/>
                <w:highlight w:val="none"/>
              </w:rPr>
              <w:t>3个</w:t>
            </w:r>
            <w:r>
              <w:rPr>
                <w:sz w:val="21"/>
                <w:szCs w:val="21"/>
                <w:highlight w:val="none"/>
              </w:rPr>
              <w:t>监控点</w:t>
            </w:r>
          </w:p>
        </w:tc>
        <w:tc>
          <w:tcPr>
            <w:tcW w:w="1297" w:type="pct"/>
            <w:noWrap w:val="0"/>
            <w:vAlign w:val="center"/>
          </w:tcPr>
          <w:p w14:paraId="602C08DE">
            <w:pPr>
              <w:spacing w:line="320" w:lineRule="exact"/>
              <w:jc w:val="center"/>
              <w:rPr>
                <w:rFonts w:hint="eastAsia" w:eastAsia="宋体"/>
                <w:sz w:val="21"/>
                <w:szCs w:val="21"/>
                <w:highlight w:val="none"/>
                <w:lang w:eastAsia="zh-CN"/>
              </w:rPr>
            </w:pPr>
            <w:r>
              <w:rPr>
                <w:rFonts w:hint="eastAsia"/>
                <w:kern w:val="0"/>
                <w:sz w:val="21"/>
                <w:szCs w:val="21"/>
                <w:highlight w:val="none"/>
                <w:lang w:val="en-US" w:eastAsia="zh-CN"/>
              </w:rPr>
              <w:t>颗粒物、</w:t>
            </w:r>
            <w:r>
              <w:rPr>
                <w:rFonts w:hint="eastAsia"/>
                <w:kern w:val="0"/>
                <w:sz w:val="21"/>
                <w:szCs w:val="21"/>
                <w:highlight w:val="none"/>
              </w:rPr>
              <w:t>非甲烷总烃</w:t>
            </w:r>
            <w:r>
              <w:rPr>
                <w:rFonts w:hint="eastAsia"/>
                <w:kern w:val="0"/>
                <w:sz w:val="21"/>
                <w:szCs w:val="21"/>
                <w:highlight w:val="none"/>
                <w:lang w:eastAsia="zh-CN"/>
              </w:rPr>
              <w:t>、</w:t>
            </w:r>
            <w:r>
              <w:rPr>
                <w:rFonts w:hint="eastAsia"/>
                <w:kern w:val="0"/>
                <w:sz w:val="21"/>
                <w:szCs w:val="21"/>
                <w:highlight w:val="none"/>
                <w:lang w:val="en-US" w:eastAsia="zh-CN"/>
              </w:rPr>
              <w:t>氨气、臭气浓度</w:t>
            </w:r>
          </w:p>
        </w:tc>
        <w:tc>
          <w:tcPr>
            <w:tcW w:w="979" w:type="pct"/>
            <w:noWrap w:val="0"/>
            <w:vAlign w:val="center"/>
          </w:tcPr>
          <w:p w14:paraId="7C6F33F6">
            <w:pPr>
              <w:pStyle w:val="128"/>
              <w:spacing w:line="320" w:lineRule="exact"/>
              <w:rPr>
                <w:sz w:val="21"/>
                <w:szCs w:val="21"/>
                <w:highlight w:val="none"/>
              </w:rPr>
            </w:pPr>
            <w:r>
              <w:rPr>
                <w:sz w:val="21"/>
                <w:szCs w:val="21"/>
                <w:highlight w:val="none"/>
              </w:rPr>
              <w:t>厂界监控点</w:t>
            </w:r>
          </w:p>
        </w:tc>
        <w:tc>
          <w:tcPr>
            <w:tcW w:w="1028" w:type="pct"/>
            <w:vMerge w:val="continue"/>
            <w:noWrap w:val="0"/>
            <w:vAlign w:val="center"/>
          </w:tcPr>
          <w:p w14:paraId="05C98A1D">
            <w:pPr>
              <w:adjustRightInd w:val="0"/>
              <w:snapToGrid w:val="0"/>
              <w:jc w:val="center"/>
              <w:rPr>
                <w:sz w:val="21"/>
                <w:szCs w:val="21"/>
                <w:highlight w:val="none"/>
              </w:rPr>
            </w:pPr>
          </w:p>
        </w:tc>
      </w:tr>
      <w:tr w14:paraId="35391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08" w:type="pct"/>
            <w:vMerge w:val="continue"/>
            <w:noWrap w:val="0"/>
            <w:vAlign w:val="center"/>
          </w:tcPr>
          <w:p w14:paraId="4B1F1389">
            <w:pPr>
              <w:pStyle w:val="128"/>
              <w:spacing w:line="320" w:lineRule="exact"/>
              <w:rPr>
                <w:sz w:val="21"/>
                <w:szCs w:val="21"/>
                <w:highlight w:val="none"/>
              </w:rPr>
            </w:pPr>
          </w:p>
        </w:tc>
        <w:tc>
          <w:tcPr>
            <w:tcW w:w="1386" w:type="pct"/>
            <w:noWrap w:val="0"/>
            <w:vAlign w:val="center"/>
          </w:tcPr>
          <w:p w14:paraId="41102AF3">
            <w:pPr>
              <w:pStyle w:val="128"/>
              <w:spacing w:line="320" w:lineRule="exact"/>
              <w:rPr>
                <w:sz w:val="21"/>
                <w:szCs w:val="21"/>
                <w:highlight w:val="none"/>
              </w:rPr>
            </w:pPr>
            <w:r>
              <w:rPr>
                <w:sz w:val="21"/>
                <w:szCs w:val="21"/>
                <w:highlight w:val="none"/>
              </w:rPr>
              <w:t>厂房外1m</w:t>
            </w:r>
            <w:r>
              <w:rPr>
                <w:rFonts w:hint="eastAsia"/>
                <w:sz w:val="21"/>
                <w:szCs w:val="21"/>
                <w:highlight w:val="none"/>
              </w:rPr>
              <w:t>（厂内）</w:t>
            </w:r>
          </w:p>
        </w:tc>
        <w:tc>
          <w:tcPr>
            <w:tcW w:w="1297" w:type="pct"/>
            <w:noWrap w:val="0"/>
            <w:vAlign w:val="center"/>
          </w:tcPr>
          <w:p w14:paraId="0AFC4DCD">
            <w:pPr>
              <w:pStyle w:val="128"/>
              <w:spacing w:line="320" w:lineRule="exact"/>
              <w:rPr>
                <w:sz w:val="21"/>
                <w:szCs w:val="21"/>
                <w:highlight w:val="none"/>
              </w:rPr>
            </w:pPr>
            <w:r>
              <w:rPr>
                <w:rFonts w:hint="eastAsia"/>
                <w:kern w:val="0"/>
                <w:sz w:val="21"/>
                <w:szCs w:val="21"/>
                <w:highlight w:val="none"/>
              </w:rPr>
              <w:t>非甲烷总烃</w:t>
            </w:r>
          </w:p>
        </w:tc>
        <w:tc>
          <w:tcPr>
            <w:tcW w:w="979" w:type="pct"/>
            <w:noWrap w:val="0"/>
            <w:vAlign w:val="center"/>
          </w:tcPr>
          <w:p w14:paraId="0516A724">
            <w:pPr>
              <w:pStyle w:val="128"/>
              <w:spacing w:line="320" w:lineRule="exact"/>
              <w:rPr>
                <w:sz w:val="21"/>
                <w:szCs w:val="21"/>
                <w:highlight w:val="none"/>
              </w:rPr>
            </w:pPr>
            <w:r>
              <w:rPr>
                <w:sz w:val="21"/>
                <w:szCs w:val="21"/>
                <w:highlight w:val="none"/>
              </w:rPr>
              <w:t>监控点</w:t>
            </w:r>
          </w:p>
        </w:tc>
        <w:tc>
          <w:tcPr>
            <w:tcW w:w="1028" w:type="pct"/>
            <w:vMerge w:val="continue"/>
            <w:noWrap w:val="0"/>
            <w:vAlign w:val="center"/>
          </w:tcPr>
          <w:p w14:paraId="020E1781">
            <w:pPr>
              <w:autoSpaceDE w:val="0"/>
              <w:autoSpaceDN w:val="0"/>
              <w:adjustRightInd w:val="0"/>
              <w:jc w:val="left"/>
              <w:rPr>
                <w:sz w:val="21"/>
                <w:szCs w:val="21"/>
                <w:highlight w:val="none"/>
              </w:rPr>
            </w:pPr>
          </w:p>
        </w:tc>
      </w:tr>
    </w:tbl>
    <w:p w14:paraId="75A73A4D">
      <w:pPr>
        <w:pStyle w:val="4"/>
        <w:spacing w:before="0" w:after="0" w:line="460" w:lineRule="exact"/>
        <w:rPr>
          <w:color w:val="auto"/>
          <w:sz w:val="24"/>
          <w:szCs w:val="24"/>
        </w:rPr>
      </w:pPr>
      <w:r>
        <w:rPr>
          <w:rFonts w:hint="eastAsia"/>
          <w:color w:val="auto"/>
          <w:sz w:val="24"/>
          <w:szCs w:val="24"/>
        </w:rPr>
        <w:t>6.2.3应急监测</w:t>
      </w:r>
      <w:bookmarkEnd w:id="124"/>
    </w:p>
    <w:p w14:paraId="44292FE6">
      <w:pPr>
        <w:autoSpaceDE w:val="0"/>
        <w:autoSpaceDN w:val="0"/>
        <w:adjustRightInd w:val="0"/>
        <w:snapToGrid w:val="0"/>
        <w:spacing w:line="460" w:lineRule="exact"/>
        <w:ind w:firstLine="480" w:firstLineChars="200"/>
        <w:jc w:val="left"/>
        <w:outlineLvl w:val="9"/>
        <w:rPr>
          <w:rFonts w:hint="eastAsia"/>
          <w:color w:val="auto"/>
          <w:sz w:val="24"/>
          <w:szCs w:val="24"/>
          <w:lang w:eastAsia="zh-CN"/>
        </w:rPr>
      </w:pPr>
      <w:bookmarkStart w:id="125" w:name="_Toc20527"/>
      <w:bookmarkStart w:id="126" w:name="_Toc31626"/>
      <w:r>
        <w:rPr>
          <w:color w:val="auto"/>
          <w:sz w:val="24"/>
          <w:szCs w:val="24"/>
        </w:rPr>
        <w:t>监测因子：</w:t>
      </w:r>
      <w:r>
        <w:rPr>
          <w:rFonts w:hint="eastAsia"/>
          <w:color w:val="auto"/>
          <w:sz w:val="24"/>
          <w:szCs w:val="24"/>
        </w:rPr>
        <w:t>颗粒物</w:t>
      </w:r>
      <w:r>
        <w:rPr>
          <w:rFonts w:hint="eastAsia"/>
          <w:color w:val="auto"/>
          <w:sz w:val="24"/>
          <w:szCs w:val="24"/>
          <w:lang w:eastAsia="zh-CN"/>
        </w:rPr>
        <w:t>、</w:t>
      </w:r>
      <w:r>
        <w:rPr>
          <w:rFonts w:hint="eastAsia"/>
          <w:color w:val="auto"/>
          <w:sz w:val="24"/>
          <w:szCs w:val="24"/>
          <w:lang w:val="en-US" w:eastAsia="zh-CN"/>
        </w:rPr>
        <w:t>非甲烷总烃、SO</w:t>
      </w:r>
      <w:r>
        <w:rPr>
          <w:rFonts w:hint="eastAsia"/>
          <w:color w:val="auto"/>
          <w:sz w:val="24"/>
          <w:szCs w:val="24"/>
          <w:vertAlign w:val="subscript"/>
          <w:lang w:val="en-US" w:eastAsia="zh-CN"/>
        </w:rPr>
        <w:t>2</w:t>
      </w:r>
      <w:r>
        <w:rPr>
          <w:rFonts w:hint="eastAsia"/>
          <w:color w:val="auto"/>
          <w:sz w:val="24"/>
          <w:szCs w:val="24"/>
          <w:lang w:val="en-US" w:eastAsia="zh-CN"/>
        </w:rPr>
        <w:t>、NO</w:t>
      </w:r>
      <w:r>
        <w:rPr>
          <w:rFonts w:hint="eastAsia"/>
          <w:color w:val="auto"/>
          <w:sz w:val="24"/>
          <w:szCs w:val="24"/>
          <w:vertAlign w:val="subscript"/>
          <w:lang w:val="en-US" w:eastAsia="zh-CN"/>
        </w:rPr>
        <w:t>x</w:t>
      </w:r>
      <w:r>
        <w:rPr>
          <w:rFonts w:hint="eastAsia"/>
          <w:color w:val="auto"/>
          <w:sz w:val="24"/>
          <w:szCs w:val="24"/>
          <w:lang w:val="en-US" w:eastAsia="zh-CN"/>
        </w:rPr>
        <w:t>、汞及其化合物</w:t>
      </w:r>
      <w:r>
        <w:rPr>
          <w:rFonts w:hint="eastAsia"/>
          <w:color w:val="auto"/>
          <w:sz w:val="24"/>
          <w:szCs w:val="24"/>
          <w:lang w:eastAsia="zh-CN"/>
        </w:rPr>
        <w:t>。</w:t>
      </w:r>
      <w:bookmarkEnd w:id="125"/>
    </w:p>
    <w:p w14:paraId="340BFC63">
      <w:pPr>
        <w:autoSpaceDE w:val="0"/>
        <w:autoSpaceDN w:val="0"/>
        <w:adjustRightInd w:val="0"/>
        <w:snapToGrid w:val="0"/>
        <w:spacing w:line="460" w:lineRule="exact"/>
        <w:ind w:firstLine="480" w:firstLineChars="200"/>
        <w:jc w:val="left"/>
        <w:outlineLvl w:val="9"/>
        <w:rPr>
          <w:color w:val="auto"/>
          <w:sz w:val="24"/>
          <w:szCs w:val="24"/>
        </w:rPr>
      </w:pPr>
      <w:bookmarkStart w:id="127" w:name="_Toc7329"/>
      <w:r>
        <w:rPr>
          <w:color w:val="auto"/>
          <w:sz w:val="24"/>
          <w:szCs w:val="24"/>
        </w:rPr>
        <w:t>监测时间和频次：按照事故持续时间决定监测时间，根据事故严重性决定监测频次。</w:t>
      </w:r>
      <w:bookmarkEnd w:id="127"/>
    </w:p>
    <w:p w14:paraId="25BFACF5">
      <w:pPr>
        <w:autoSpaceDE w:val="0"/>
        <w:autoSpaceDN w:val="0"/>
        <w:adjustRightInd w:val="0"/>
        <w:snapToGrid w:val="0"/>
        <w:spacing w:line="460" w:lineRule="exact"/>
        <w:ind w:firstLine="480" w:firstLineChars="200"/>
        <w:jc w:val="left"/>
        <w:outlineLvl w:val="9"/>
        <w:rPr>
          <w:color w:val="auto"/>
          <w:sz w:val="24"/>
          <w:szCs w:val="24"/>
        </w:rPr>
      </w:pPr>
      <w:bookmarkStart w:id="128" w:name="_Toc4806"/>
      <w:r>
        <w:rPr>
          <w:color w:val="auto"/>
          <w:sz w:val="24"/>
          <w:szCs w:val="24"/>
        </w:rPr>
        <w:t>一般情况下每小时取样一次。随事故控制减弱，适当减少监测频次。</w:t>
      </w:r>
      <w:bookmarkEnd w:id="128"/>
    </w:p>
    <w:p w14:paraId="54741AAB">
      <w:pPr>
        <w:autoSpaceDE w:val="0"/>
        <w:autoSpaceDN w:val="0"/>
        <w:adjustRightInd w:val="0"/>
        <w:snapToGrid w:val="0"/>
        <w:spacing w:line="460" w:lineRule="exact"/>
        <w:ind w:firstLine="480" w:firstLineChars="200"/>
        <w:jc w:val="left"/>
        <w:outlineLvl w:val="9"/>
        <w:rPr>
          <w:color w:val="auto"/>
          <w:sz w:val="24"/>
          <w:szCs w:val="24"/>
        </w:rPr>
      </w:pPr>
      <w:bookmarkStart w:id="129" w:name="_Toc856"/>
      <w:r>
        <w:rPr>
          <w:color w:val="auto"/>
          <w:sz w:val="24"/>
          <w:szCs w:val="24"/>
        </w:rPr>
        <w:t>监测布点：事故地点上风向、下风向布点</w:t>
      </w:r>
      <w:r>
        <w:rPr>
          <w:rFonts w:hint="eastAsia"/>
          <w:color w:val="auto"/>
          <w:sz w:val="24"/>
          <w:szCs w:val="24"/>
          <w:lang w:eastAsia="zh-CN"/>
        </w:rPr>
        <w:t>。</w:t>
      </w:r>
      <w:bookmarkEnd w:id="129"/>
    </w:p>
    <w:p w14:paraId="5DEBBE5A">
      <w:pPr>
        <w:pStyle w:val="3"/>
        <w:spacing w:before="0" w:after="0" w:line="460" w:lineRule="exact"/>
        <w:rPr>
          <w:rFonts w:eastAsia="宋体"/>
          <w:color w:val="auto"/>
          <w:kern w:val="0"/>
          <w:szCs w:val="28"/>
        </w:rPr>
      </w:pPr>
      <w:bookmarkStart w:id="130" w:name="_Toc25848"/>
      <w:bookmarkStart w:id="131" w:name="_Toc18512"/>
      <w:r>
        <w:rPr>
          <w:rFonts w:hint="eastAsia" w:eastAsia="宋体"/>
          <w:color w:val="auto"/>
          <w:kern w:val="0"/>
          <w:szCs w:val="28"/>
        </w:rPr>
        <w:t>6.3污染物排放清单及污染物排放管理要求</w:t>
      </w:r>
      <w:bookmarkEnd w:id="126"/>
      <w:bookmarkEnd w:id="130"/>
      <w:bookmarkEnd w:id="131"/>
    </w:p>
    <w:p w14:paraId="491A4157">
      <w:pPr>
        <w:autoSpaceDE w:val="0"/>
        <w:adjustRightInd w:val="0"/>
        <w:snapToGrid w:val="0"/>
        <w:spacing w:line="460" w:lineRule="exact"/>
        <w:ind w:firstLine="480" w:firstLineChars="200"/>
        <w:rPr>
          <w:color w:val="auto"/>
          <w:sz w:val="24"/>
          <w:szCs w:val="24"/>
        </w:rPr>
      </w:pPr>
      <w:r>
        <w:rPr>
          <w:color w:val="auto"/>
          <w:sz w:val="24"/>
          <w:szCs w:val="24"/>
        </w:rPr>
        <w:t>本项目</w:t>
      </w:r>
      <w:r>
        <w:rPr>
          <w:rFonts w:hint="eastAsia"/>
          <w:color w:val="auto"/>
          <w:sz w:val="24"/>
          <w:szCs w:val="24"/>
        </w:rPr>
        <w:t>运营</w:t>
      </w:r>
      <w:r>
        <w:rPr>
          <w:color w:val="auto"/>
          <w:sz w:val="24"/>
          <w:szCs w:val="24"/>
        </w:rPr>
        <w:t>过程各类污染物经相应治理后，排放相对较小，企业</w:t>
      </w:r>
      <w:r>
        <w:rPr>
          <w:rFonts w:hint="eastAsia"/>
          <w:color w:val="auto"/>
          <w:sz w:val="24"/>
          <w:szCs w:val="24"/>
        </w:rPr>
        <w:t>运营</w:t>
      </w:r>
      <w:r>
        <w:rPr>
          <w:color w:val="auto"/>
          <w:sz w:val="24"/>
          <w:szCs w:val="24"/>
        </w:rPr>
        <w:t>期排放清单及管理要求见表</w:t>
      </w:r>
      <w:r>
        <w:rPr>
          <w:rFonts w:hint="eastAsia"/>
          <w:color w:val="auto"/>
          <w:sz w:val="24"/>
          <w:szCs w:val="24"/>
        </w:rPr>
        <w:t>6-3</w:t>
      </w:r>
      <w:r>
        <w:rPr>
          <w:color w:val="auto"/>
          <w:sz w:val="24"/>
          <w:szCs w:val="24"/>
        </w:rPr>
        <w:t>。</w:t>
      </w:r>
    </w:p>
    <w:p w14:paraId="6C76030D">
      <w:pPr>
        <w:autoSpaceDE w:val="0"/>
        <w:adjustRightInd w:val="0"/>
        <w:snapToGrid w:val="0"/>
        <w:spacing w:line="460" w:lineRule="exact"/>
        <w:ind w:firstLine="480" w:firstLineChars="200"/>
        <w:rPr>
          <w:color w:val="auto"/>
          <w:sz w:val="24"/>
          <w:szCs w:val="24"/>
        </w:rPr>
      </w:pPr>
    </w:p>
    <w:p w14:paraId="4D3183C2">
      <w:pPr>
        <w:pStyle w:val="36"/>
        <w:rPr>
          <w:color w:val="auto"/>
        </w:rPr>
        <w:sectPr>
          <w:pgSz w:w="11907" w:h="16839"/>
          <w:pgMar w:top="1440" w:right="1797" w:bottom="1440" w:left="1797" w:header="1134" w:footer="992" w:gutter="0"/>
          <w:pgBorders>
            <w:top w:val="none" w:sz="0" w:space="0"/>
            <w:left w:val="none" w:sz="0" w:space="0"/>
            <w:bottom w:val="none" w:sz="0" w:space="0"/>
            <w:right w:val="none" w:sz="0" w:space="0"/>
          </w:pgBorders>
          <w:cols w:space="720" w:num="1"/>
          <w:docGrid w:linePitch="312" w:charSpace="0"/>
        </w:sectPr>
      </w:pPr>
    </w:p>
    <w:p w14:paraId="3583EAA4">
      <w:pPr>
        <w:adjustRightInd w:val="0"/>
        <w:snapToGrid w:val="0"/>
        <w:jc w:val="center"/>
        <w:rPr>
          <w:b/>
          <w:color w:val="auto"/>
          <w:szCs w:val="21"/>
        </w:rPr>
      </w:pPr>
      <w:r>
        <w:rPr>
          <w:b/>
          <w:color w:val="auto"/>
          <w:sz w:val="24"/>
          <w:szCs w:val="24"/>
        </w:rPr>
        <w:t>表</w:t>
      </w:r>
      <w:r>
        <w:rPr>
          <w:rFonts w:hint="eastAsia"/>
          <w:b/>
          <w:color w:val="auto"/>
          <w:sz w:val="24"/>
          <w:szCs w:val="24"/>
        </w:rPr>
        <w:t>6-3</w:t>
      </w:r>
      <w:r>
        <w:rPr>
          <w:b/>
          <w:color w:val="auto"/>
          <w:sz w:val="24"/>
          <w:szCs w:val="24"/>
        </w:rPr>
        <w:t xml:space="preserve"> </w:t>
      </w:r>
      <w:r>
        <w:rPr>
          <w:rFonts w:hint="eastAsia"/>
          <w:b/>
          <w:color w:val="auto"/>
          <w:sz w:val="24"/>
          <w:szCs w:val="24"/>
        </w:rPr>
        <w:t xml:space="preserve"> </w:t>
      </w:r>
      <w:r>
        <w:rPr>
          <w:b/>
          <w:color w:val="auto"/>
          <w:sz w:val="24"/>
          <w:szCs w:val="24"/>
        </w:rPr>
        <w:t>污染物排放清单及管理要求</w:t>
      </w:r>
    </w:p>
    <w:tbl>
      <w:tblPr>
        <w:tblStyle w:val="3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3"/>
        <w:gridCol w:w="505"/>
        <w:gridCol w:w="1267"/>
        <w:gridCol w:w="1429"/>
        <w:gridCol w:w="2231"/>
        <w:gridCol w:w="1307"/>
        <w:gridCol w:w="1332"/>
        <w:gridCol w:w="1602"/>
        <w:gridCol w:w="1226"/>
        <w:gridCol w:w="1480"/>
        <w:gridCol w:w="1279"/>
      </w:tblGrid>
      <w:tr w14:paraId="7FDCBD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6" w:type="pct"/>
            <w:gridSpan w:val="2"/>
            <w:vMerge w:val="restart"/>
            <w:tcBorders>
              <w:tl2br w:val="nil"/>
              <w:tr2bl w:val="nil"/>
            </w:tcBorders>
            <w:vAlign w:val="center"/>
          </w:tcPr>
          <w:p w14:paraId="40AF861B">
            <w:pPr>
              <w:adjustRightInd w:val="0"/>
              <w:snapToGrid w:val="0"/>
              <w:jc w:val="center"/>
              <w:rPr>
                <w:b/>
                <w:color w:val="auto"/>
                <w:sz w:val="21"/>
                <w:szCs w:val="21"/>
              </w:rPr>
            </w:pPr>
            <w:r>
              <w:rPr>
                <w:b/>
                <w:color w:val="auto"/>
                <w:sz w:val="21"/>
                <w:szCs w:val="21"/>
              </w:rPr>
              <w:t>类别</w:t>
            </w:r>
          </w:p>
        </w:tc>
        <w:tc>
          <w:tcPr>
            <w:tcW w:w="454" w:type="pct"/>
            <w:vMerge w:val="restart"/>
            <w:tcBorders>
              <w:tl2br w:val="nil"/>
              <w:tr2bl w:val="nil"/>
            </w:tcBorders>
            <w:vAlign w:val="center"/>
          </w:tcPr>
          <w:p w14:paraId="631254B2">
            <w:pPr>
              <w:adjustRightInd w:val="0"/>
              <w:snapToGrid w:val="0"/>
              <w:jc w:val="center"/>
              <w:rPr>
                <w:b/>
                <w:color w:val="auto"/>
                <w:sz w:val="21"/>
                <w:szCs w:val="21"/>
              </w:rPr>
            </w:pPr>
            <w:r>
              <w:rPr>
                <w:b/>
                <w:color w:val="auto"/>
                <w:sz w:val="21"/>
                <w:szCs w:val="21"/>
              </w:rPr>
              <w:t>污染源</w:t>
            </w:r>
          </w:p>
        </w:tc>
        <w:tc>
          <w:tcPr>
            <w:tcW w:w="512" w:type="pct"/>
            <w:vMerge w:val="restart"/>
            <w:tcBorders>
              <w:tl2br w:val="nil"/>
              <w:tr2bl w:val="nil"/>
            </w:tcBorders>
            <w:vAlign w:val="center"/>
          </w:tcPr>
          <w:p w14:paraId="5919BFE4">
            <w:pPr>
              <w:adjustRightInd w:val="0"/>
              <w:snapToGrid w:val="0"/>
              <w:jc w:val="center"/>
              <w:rPr>
                <w:b/>
                <w:color w:val="auto"/>
                <w:sz w:val="21"/>
                <w:szCs w:val="21"/>
              </w:rPr>
            </w:pPr>
            <w:r>
              <w:rPr>
                <w:b/>
                <w:color w:val="auto"/>
                <w:sz w:val="21"/>
                <w:szCs w:val="21"/>
              </w:rPr>
              <w:t>污染物名称</w:t>
            </w:r>
          </w:p>
        </w:tc>
        <w:tc>
          <w:tcPr>
            <w:tcW w:w="799" w:type="pct"/>
            <w:vMerge w:val="restart"/>
            <w:tcBorders>
              <w:tl2br w:val="nil"/>
              <w:tr2bl w:val="nil"/>
            </w:tcBorders>
            <w:vAlign w:val="center"/>
          </w:tcPr>
          <w:p w14:paraId="47303A10">
            <w:pPr>
              <w:adjustRightInd w:val="0"/>
              <w:snapToGrid w:val="0"/>
              <w:jc w:val="center"/>
              <w:rPr>
                <w:b/>
                <w:color w:val="auto"/>
                <w:sz w:val="21"/>
                <w:szCs w:val="21"/>
              </w:rPr>
            </w:pPr>
            <w:r>
              <w:rPr>
                <w:b/>
                <w:color w:val="auto"/>
                <w:sz w:val="21"/>
                <w:szCs w:val="21"/>
              </w:rPr>
              <w:t>治理措施</w:t>
            </w:r>
          </w:p>
        </w:tc>
        <w:tc>
          <w:tcPr>
            <w:tcW w:w="1519" w:type="pct"/>
            <w:gridSpan w:val="3"/>
            <w:tcBorders>
              <w:tl2br w:val="nil"/>
              <w:tr2bl w:val="nil"/>
            </w:tcBorders>
            <w:vAlign w:val="center"/>
          </w:tcPr>
          <w:p w14:paraId="63EB6B1F">
            <w:pPr>
              <w:adjustRightInd w:val="0"/>
              <w:snapToGrid w:val="0"/>
              <w:jc w:val="center"/>
              <w:rPr>
                <w:b/>
                <w:color w:val="auto"/>
                <w:sz w:val="21"/>
                <w:szCs w:val="21"/>
              </w:rPr>
            </w:pPr>
            <w:r>
              <w:rPr>
                <w:b/>
                <w:color w:val="auto"/>
                <w:sz w:val="21"/>
                <w:szCs w:val="21"/>
              </w:rPr>
              <w:t>治理后情况</w:t>
            </w:r>
          </w:p>
        </w:tc>
        <w:tc>
          <w:tcPr>
            <w:tcW w:w="439" w:type="pct"/>
            <w:vMerge w:val="restart"/>
            <w:tcBorders>
              <w:tl2br w:val="nil"/>
              <w:tr2bl w:val="nil"/>
            </w:tcBorders>
            <w:vAlign w:val="center"/>
          </w:tcPr>
          <w:p w14:paraId="524B5019">
            <w:pPr>
              <w:adjustRightInd w:val="0"/>
              <w:snapToGrid w:val="0"/>
              <w:jc w:val="center"/>
              <w:rPr>
                <w:b/>
                <w:color w:val="auto"/>
                <w:sz w:val="21"/>
                <w:szCs w:val="21"/>
              </w:rPr>
            </w:pPr>
            <w:r>
              <w:rPr>
                <w:b/>
                <w:color w:val="auto"/>
                <w:sz w:val="21"/>
                <w:szCs w:val="21"/>
              </w:rPr>
              <w:t>排放方式</w:t>
            </w:r>
          </w:p>
        </w:tc>
        <w:tc>
          <w:tcPr>
            <w:tcW w:w="988" w:type="pct"/>
            <w:gridSpan w:val="2"/>
            <w:tcBorders>
              <w:tl2br w:val="nil"/>
              <w:tr2bl w:val="nil"/>
            </w:tcBorders>
            <w:vAlign w:val="center"/>
          </w:tcPr>
          <w:p w14:paraId="152557C9">
            <w:pPr>
              <w:adjustRightInd w:val="0"/>
              <w:snapToGrid w:val="0"/>
              <w:jc w:val="center"/>
              <w:rPr>
                <w:b/>
                <w:color w:val="auto"/>
                <w:sz w:val="21"/>
                <w:szCs w:val="21"/>
              </w:rPr>
            </w:pPr>
            <w:r>
              <w:rPr>
                <w:b/>
                <w:color w:val="auto"/>
                <w:sz w:val="21"/>
                <w:szCs w:val="21"/>
              </w:rPr>
              <w:t>执行标准</w:t>
            </w:r>
          </w:p>
        </w:tc>
      </w:tr>
      <w:tr w14:paraId="2EFA8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86" w:type="pct"/>
            <w:gridSpan w:val="2"/>
            <w:vMerge w:val="continue"/>
            <w:tcBorders>
              <w:tl2br w:val="nil"/>
              <w:tr2bl w:val="nil"/>
            </w:tcBorders>
            <w:vAlign w:val="center"/>
          </w:tcPr>
          <w:p w14:paraId="2F96E90F">
            <w:pPr>
              <w:adjustRightInd w:val="0"/>
              <w:snapToGrid w:val="0"/>
              <w:jc w:val="center"/>
              <w:rPr>
                <w:b/>
                <w:color w:val="auto"/>
                <w:sz w:val="21"/>
                <w:szCs w:val="21"/>
              </w:rPr>
            </w:pPr>
          </w:p>
        </w:tc>
        <w:tc>
          <w:tcPr>
            <w:tcW w:w="454" w:type="pct"/>
            <w:vMerge w:val="continue"/>
            <w:tcBorders>
              <w:tl2br w:val="nil"/>
              <w:tr2bl w:val="nil"/>
            </w:tcBorders>
            <w:vAlign w:val="center"/>
          </w:tcPr>
          <w:p w14:paraId="3B130C66">
            <w:pPr>
              <w:adjustRightInd w:val="0"/>
              <w:snapToGrid w:val="0"/>
              <w:jc w:val="center"/>
              <w:rPr>
                <w:b/>
                <w:color w:val="auto"/>
                <w:sz w:val="21"/>
                <w:szCs w:val="21"/>
              </w:rPr>
            </w:pPr>
          </w:p>
        </w:tc>
        <w:tc>
          <w:tcPr>
            <w:tcW w:w="512" w:type="pct"/>
            <w:vMerge w:val="continue"/>
            <w:tcBorders>
              <w:tl2br w:val="nil"/>
              <w:tr2bl w:val="nil"/>
            </w:tcBorders>
            <w:vAlign w:val="center"/>
          </w:tcPr>
          <w:p w14:paraId="426AD306">
            <w:pPr>
              <w:adjustRightInd w:val="0"/>
              <w:snapToGrid w:val="0"/>
              <w:jc w:val="center"/>
              <w:rPr>
                <w:b/>
                <w:color w:val="auto"/>
                <w:sz w:val="21"/>
                <w:szCs w:val="21"/>
              </w:rPr>
            </w:pPr>
          </w:p>
        </w:tc>
        <w:tc>
          <w:tcPr>
            <w:tcW w:w="799" w:type="pct"/>
            <w:vMerge w:val="continue"/>
            <w:tcBorders>
              <w:tl2br w:val="nil"/>
              <w:tr2bl w:val="nil"/>
            </w:tcBorders>
            <w:vAlign w:val="center"/>
          </w:tcPr>
          <w:p w14:paraId="617BF625">
            <w:pPr>
              <w:adjustRightInd w:val="0"/>
              <w:snapToGrid w:val="0"/>
              <w:jc w:val="center"/>
              <w:rPr>
                <w:b/>
                <w:color w:val="auto"/>
                <w:sz w:val="21"/>
                <w:szCs w:val="21"/>
              </w:rPr>
            </w:pPr>
          </w:p>
        </w:tc>
        <w:tc>
          <w:tcPr>
            <w:tcW w:w="468" w:type="pct"/>
            <w:tcBorders>
              <w:tl2br w:val="nil"/>
              <w:tr2bl w:val="nil"/>
            </w:tcBorders>
            <w:vAlign w:val="center"/>
          </w:tcPr>
          <w:p w14:paraId="5D201E0F">
            <w:pPr>
              <w:adjustRightInd w:val="0"/>
              <w:snapToGrid w:val="0"/>
              <w:jc w:val="center"/>
              <w:rPr>
                <w:b/>
                <w:color w:val="auto"/>
                <w:sz w:val="21"/>
                <w:szCs w:val="21"/>
              </w:rPr>
            </w:pPr>
            <w:r>
              <w:rPr>
                <w:b/>
                <w:color w:val="auto"/>
                <w:sz w:val="21"/>
                <w:szCs w:val="21"/>
              </w:rPr>
              <w:t>浓度</w:t>
            </w:r>
          </w:p>
          <w:p w14:paraId="7F16BFCA">
            <w:pPr>
              <w:adjustRightInd w:val="0"/>
              <w:snapToGrid w:val="0"/>
              <w:jc w:val="center"/>
              <w:rPr>
                <w:b/>
                <w:color w:val="auto"/>
                <w:sz w:val="21"/>
                <w:szCs w:val="21"/>
              </w:rPr>
            </w:pPr>
            <w:r>
              <w:rPr>
                <w:b/>
                <w:color w:val="auto"/>
                <w:sz w:val="21"/>
                <w:szCs w:val="21"/>
              </w:rPr>
              <w:t>(mg/m</w:t>
            </w:r>
            <w:r>
              <w:rPr>
                <w:b/>
                <w:color w:val="auto"/>
                <w:sz w:val="21"/>
                <w:szCs w:val="21"/>
                <w:vertAlign w:val="superscript"/>
              </w:rPr>
              <w:t>3</w:t>
            </w:r>
            <w:r>
              <w:rPr>
                <w:b/>
                <w:color w:val="auto"/>
                <w:sz w:val="21"/>
                <w:szCs w:val="21"/>
              </w:rPr>
              <w:t>)</w:t>
            </w:r>
          </w:p>
        </w:tc>
        <w:tc>
          <w:tcPr>
            <w:tcW w:w="477" w:type="pct"/>
            <w:tcBorders>
              <w:tl2br w:val="nil"/>
              <w:tr2bl w:val="nil"/>
            </w:tcBorders>
            <w:vAlign w:val="center"/>
          </w:tcPr>
          <w:p w14:paraId="76ACB1BB">
            <w:pPr>
              <w:adjustRightInd w:val="0"/>
              <w:snapToGrid w:val="0"/>
              <w:jc w:val="center"/>
              <w:rPr>
                <w:b/>
                <w:color w:val="auto"/>
                <w:sz w:val="21"/>
                <w:szCs w:val="21"/>
              </w:rPr>
            </w:pPr>
            <w:r>
              <w:rPr>
                <w:b/>
                <w:color w:val="auto"/>
                <w:sz w:val="21"/>
                <w:szCs w:val="21"/>
              </w:rPr>
              <w:t>速率</w:t>
            </w:r>
          </w:p>
          <w:p w14:paraId="0FF15566">
            <w:pPr>
              <w:adjustRightInd w:val="0"/>
              <w:snapToGrid w:val="0"/>
              <w:jc w:val="center"/>
              <w:rPr>
                <w:b/>
                <w:color w:val="auto"/>
                <w:sz w:val="21"/>
                <w:szCs w:val="21"/>
              </w:rPr>
            </w:pPr>
            <w:r>
              <w:rPr>
                <w:b/>
                <w:color w:val="auto"/>
                <w:sz w:val="21"/>
                <w:szCs w:val="21"/>
              </w:rPr>
              <w:t>(kg/h)</w:t>
            </w:r>
          </w:p>
        </w:tc>
        <w:tc>
          <w:tcPr>
            <w:tcW w:w="574" w:type="pct"/>
            <w:tcBorders>
              <w:tl2br w:val="nil"/>
              <w:tr2bl w:val="nil"/>
            </w:tcBorders>
            <w:vAlign w:val="center"/>
          </w:tcPr>
          <w:p w14:paraId="34E6B4D3">
            <w:pPr>
              <w:adjustRightInd w:val="0"/>
              <w:snapToGrid w:val="0"/>
              <w:jc w:val="center"/>
              <w:rPr>
                <w:b/>
                <w:color w:val="auto"/>
                <w:sz w:val="21"/>
                <w:szCs w:val="21"/>
              </w:rPr>
            </w:pPr>
            <w:r>
              <w:rPr>
                <w:b/>
                <w:color w:val="auto"/>
                <w:sz w:val="21"/>
                <w:szCs w:val="21"/>
              </w:rPr>
              <w:t>排放量</w:t>
            </w:r>
          </w:p>
          <w:p w14:paraId="4A23F468">
            <w:pPr>
              <w:adjustRightInd w:val="0"/>
              <w:snapToGrid w:val="0"/>
              <w:jc w:val="center"/>
              <w:rPr>
                <w:b/>
                <w:color w:val="auto"/>
                <w:sz w:val="21"/>
                <w:szCs w:val="21"/>
              </w:rPr>
            </w:pPr>
            <w:r>
              <w:rPr>
                <w:b/>
                <w:color w:val="auto"/>
                <w:sz w:val="21"/>
                <w:szCs w:val="21"/>
              </w:rPr>
              <w:t>(t/a)</w:t>
            </w:r>
          </w:p>
        </w:tc>
        <w:tc>
          <w:tcPr>
            <w:tcW w:w="439" w:type="pct"/>
            <w:vMerge w:val="continue"/>
            <w:tcBorders>
              <w:tl2br w:val="nil"/>
              <w:tr2bl w:val="nil"/>
            </w:tcBorders>
            <w:vAlign w:val="center"/>
          </w:tcPr>
          <w:p w14:paraId="39EDD3E6">
            <w:pPr>
              <w:adjustRightInd w:val="0"/>
              <w:snapToGrid w:val="0"/>
              <w:jc w:val="center"/>
              <w:rPr>
                <w:b/>
                <w:color w:val="auto"/>
                <w:sz w:val="21"/>
                <w:szCs w:val="21"/>
              </w:rPr>
            </w:pPr>
          </w:p>
        </w:tc>
        <w:tc>
          <w:tcPr>
            <w:tcW w:w="530" w:type="pct"/>
            <w:tcBorders>
              <w:tl2br w:val="nil"/>
              <w:tr2bl w:val="nil"/>
            </w:tcBorders>
            <w:vAlign w:val="center"/>
          </w:tcPr>
          <w:p w14:paraId="6592AE5D">
            <w:pPr>
              <w:widowControl/>
              <w:adjustRightInd w:val="0"/>
              <w:snapToGrid w:val="0"/>
              <w:jc w:val="center"/>
              <w:rPr>
                <w:b/>
                <w:bCs/>
                <w:color w:val="auto"/>
                <w:kern w:val="0"/>
                <w:sz w:val="21"/>
                <w:szCs w:val="21"/>
              </w:rPr>
            </w:pPr>
            <w:r>
              <w:rPr>
                <w:b/>
                <w:bCs/>
                <w:color w:val="auto"/>
                <w:kern w:val="0"/>
                <w:sz w:val="21"/>
                <w:szCs w:val="21"/>
              </w:rPr>
              <w:t>浓度</w:t>
            </w:r>
          </w:p>
          <w:p w14:paraId="077420D1">
            <w:pPr>
              <w:widowControl/>
              <w:adjustRightInd w:val="0"/>
              <w:snapToGrid w:val="0"/>
              <w:jc w:val="center"/>
              <w:rPr>
                <w:b/>
                <w:color w:val="auto"/>
                <w:sz w:val="21"/>
                <w:szCs w:val="21"/>
              </w:rPr>
            </w:pPr>
            <w:r>
              <w:rPr>
                <w:b/>
                <w:bCs/>
                <w:color w:val="auto"/>
                <w:kern w:val="0"/>
                <w:sz w:val="21"/>
                <w:szCs w:val="21"/>
              </w:rPr>
              <w:t>（mg/m</w:t>
            </w:r>
            <w:r>
              <w:rPr>
                <w:b/>
                <w:bCs/>
                <w:color w:val="auto"/>
                <w:kern w:val="0"/>
                <w:sz w:val="21"/>
                <w:szCs w:val="21"/>
                <w:vertAlign w:val="superscript"/>
              </w:rPr>
              <w:t>3</w:t>
            </w:r>
            <w:r>
              <w:rPr>
                <w:b/>
                <w:bCs/>
                <w:color w:val="auto"/>
                <w:kern w:val="0"/>
                <w:sz w:val="21"/>
                <w:szCs w:val="21"/>
              </w:rPr>
              <w:t>）</w:t>
            </w:r>
          </w:p>
        </w:tc>
        <w:tc>
          <w:tcPr>
            <w:tcW w:w="458" w:type="pct"/>
            <w:tcBorders>
              <w:tl2br w:val="nil"/>
              <w:tr2bl w:val="nil"/>
            </w:tcBorders>
            <w:vAlign w:val="center"/>
          </w:tcPr>
          <w:p w14:paraId="4D8C25A0">
            <w:pPr>
              <w:widowControl/>
              <w:adjustRightInd w:val="0"/>
              <w:snapToGrid w:val="0"/>
              <w:jc w:val="center"/>
              <w:rPr>
                <w:b/>
                <w:bCs/>
                <w:color w:val="auto"/>
                <w:kern w:val="0"/>
                <w:sz w:val="21"/>
                <w:szCs w:val="21"/>
              </w:rPr>
            </w:pPr>
            <w:r>
              <w:rPr>
                <w:b/>
                <w:bCs/>
                <w:color w:val="auto"/>
                <w:kern w:val="0"/>
                <w:sz w:val="21"/>
                <w:szCs w:val="21"/>
              </w:rPr>
              <w:t>速率</w:t>
            </w:r>
          </w:p>
          <w:p w14:paraId="5EB975EA">
            <w:pPr>
              <w:widowControl/>
              <w:adjustRightInd w:val="0"/>
              <w:snapToGrid w:val="0"/>
              <w:jc w:val="center"/>
              <w:rPr>
                <w:b/>
                <w:color w:val="auto"/>
                <w:sz w:val="21"/>
                <w:szCs w:val="21"/>
              </w:rPr>
            </w:pPr>
            <w:r>
              <w:rPr>
                <w:b/>
                <w:bCs/>
                <w:color w:val="auto"/>
                <w:kern w:val="0"/>
                <w:sz w:val="21"/>
                <w:szCs w:val="21"/>
              </w:rPr>
              <w:t>（kg/h）</w:t>
            </w:r>
          </w:p>
        </w:tc>
      </w:tr>
      <w:tr w14:paraId="4E09FA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restart"/>
            <w:vAlign w:val="center"/>
          </w:tcPr>
          <w:p w14:paraId="3CD1FAEA">
            <w:pPr>
              <w:adjustRightInd w:val="0"/>
              <w:snapToGrid w:val="0"/>
              <w:jc w:val="center"/>
              <w:rPr>
                <w:color w:val="auto"/>
                <w:sz w:val="21"/>
                <w:szCs w:val="21"/>
              </w:rPr>
            </w:pPr>
            <w:r>
              <w:rPr>
                <w:color w:val="auto"/>
                <w:sz w:val="21"/>
                <w:szCs w:val="21"/>
              </w:rPr>
              <w:t>废气</w:t>
            </w:r>
          </w:p>
        </w:tc>
        <w:tc>
          <w:tcPr>
            <w:tcW w:w="180" w:type="pct"/>
            <w:vMerge w:val="restart"/>
            <w:vAlign w:val="center"/>
          </w:tcPr>
          <w:p w14:paraId="2905A4A5">
            <w:pPr>
              <w:adjustRightInd w:val="0"/>
              <w:snapToGrid w:val="0"/>
              <w:jc w:val="center"/>
              <w:rPr>
                <w:color w:val="auto"/>
                <w:sz w:val="21"/>
                <w:szCs w:val="21"/>
              </w:rPr>
            </w:pPr>
            <w:r>
              <w:rPr>
                <w:color w:val="auto"/>
                <w:sz w:val="21"/>
                <w:szCs w:val="21"/>
              </w:rPr>
              <w:t>有组织</w:t>
            </w:r>
          </w:p>
        </w:tc>
        <w:tc>
          <w:tcPr>
            <w:tcW w:w="454" w:type="pct"/>
            <w:tcBorders>
              <w:bottom w:val="single" w:color="000000" w:sz="4" w:space="0"/>
            </w:tcBorders>
            <w:vAlign w:val="center"/>
          </w:tcPr>
          <w:p w14:paraId="755F5A69">
            <w:pPr>
              <w:pStyle w:val="105"/>
              <w:spacing w:line="240" w:lineRule="exact"/>
              <w:rPr>
                <w:rFonts w:hint="eastAsia" w:eastAsia="宋体"/>
                <w:color w:val="auto"/>
                <w:sz w:val="21"/>
                <w:szCs w:val="21"/>
                <w:lang w:val="en-US" w:eastAsia="zh-CN"/>
              </w:rPr>
            </w:pPr>
            <w:r>
              <w:rPr>
                <w:rFonts w:hint="eastAsia" w:eastAsia="宋体"/>
                <w:color w:val="auto"/>
                <w:sz w:val="21"/>
                <w:szCs w:val="21"/>
                <w:lang w:val="en-US" w:eastAsia="zh-CN"/>
              </w:rPr>
              <w:t>拉毛、刷呢、剪毛、烫光和摇粒废气</w:t>
            </w:r>
          </w:p>
        </w:tc>
        <w:tc>
          <w:tcPr>
            <w:tcW w:w="512" w:type="pct"/>
            <w:tcBorders>
              <w:bottom w:val="single" w:color="000000" w:sz="4" w:space="0"/>
            </w:tcBorders>
            <w:vAlign w:val="center"/>
          </w:tcPr>
          <w:p w14:paraId="66FFFF93">
            <w:pPr>
              <w:pStyle w:val="105"/>
              <w:spacing w:line="240" w:lineRule="exact"/>
              <w:rPr>
                <w:rFonts w:hint="eastAsia" w:eastAsia="宋体"/>
                <w:color w:val="auto"/>
                <w:sz w:val="21"/>
                <w:szCs w:val="21"/>
                <w:lang w:val="en-US" w:eastAsia="zh-CN"/>
              </w:rPr>
            </w:pPr>
            <w:r>
              <w:rPr>
                <w:rFonts w:hint="eastAsia"/>
                <w:color w:val="auto"/>
                <w:sz w:val="21"/>
                <w:szCs w:val="21"/>
                <w:lang w:val="en-US" w:eastAsia="zh-CN"/>
              </w:rPr>
              <w:t>颗粒物</w:t>
            </w:r>
          </w:p>
        </w:tc>
        <w:tc>
          <w:tcPr>
            <w:tcW w:w="799" w:type="pct"/>
            <w:tcBorders>
              <w:bottom w:val="single" w:color="000000" w:sz="4" w:space="0"/>
            </w:tcBorders>
            <w:vAlign w:val="center"/>
          </w:tcPr>
          <w:p w14:paraId="183975BE">
            <w:pPr>
              <w:widowControl/>
              <w:adjustRightInd w:val="0"/>
              <w:snapToGrid w:val="0"/>
              <w:jc w:val="center"/>
              <w:rPr>
                <w:rFonts w:hint="default"/>
                <w:color w:val="auto"/>
                <w:sz w:val="21"/>
                <w:szCs w:val="21"/>
                <w:lang w:val="en-US" w:eastAsia="zh-CN"/>
              </w:rPr>
            </w:pPr>
            <w:r>
              <w:rPr>
                <w:rFonts w:hint="eastAsia"/>
                <w:color w:val="auto"/>
                <w:sz w:val="21"/>
                <w:szCs w:val="21"/>
                <w:lang w:val="en-US" w:eastAsia="zh-CN"/>
              </w:rPr>
              <w:t>布袋除尘</w:t>
            </w:r>
          </w:p>
        </w:tc>
        <w:tc>
          <w:tcPr>
            <w:tcW w:w="1307" w:type="dxa"/>
            <w:tcBorders>
              <w:bottom w:val="single" w:color="000000" w:sz="4" w:space="0"/>
            </w:tcBorders>
            <w:shd w:val="clear" w:color="auto" w:fill="auto"/>
            <w:vAlign w:val="center"/>
          </w:tcPr>
          <w:p w14:paraId="5DE9B17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0.44</w:t>
            </w:r>
          </w:p>
        </w:tc>
        <w:tc>
          <w:tcPr>
            <w:tcW w:w="1332" w:type="dxa"/>
            <w:tcBorders>
              <w:bottom w:val="single" w:color="000000" w:sz="4" w:space="0"/>
            </w:tcBorders>
            <w:shd w:val="clear" w:color="auto" w:fill="auto"/>
            <w:vAlign w:val="center"/>
          </w:tcPr>
          <w:p w14:paraId="3C8E9D3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w:t>
            </w:r>
          </w:p>
        </w:tc>
        <w:tc>
          <w:tcPr>
            <w:tcW w:w="1602" w:type="dxa"/>
            <w:tcBorders>
              <w:bottom w:val="single" w:color="000000" w:sz="4" w:space="0"/>
            </w:tcBorders>
            <w:shd w:val="clear" w:color="auto" w:fill="auto"/>
            <w:vAlign w:val="center"/>
          </w:tcPr>
          <w:p w14:paraId="0DF9B877">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0.076</w:t>
            </w:r>
          </w:p>
        </w:tc>
        <w:tc>
          <w:tcPr>
            <w:tcW w:w="439" w:type="pct"/>
            <w:vMerge w:val="restart"/>
            <w:vAlign w:val="center"/>
          </w:tcPr>
          <w:p w14:paraId="5442E75C">
            <w:pPr>
              <w:widowControl/>
              <w:adjustRightInd w:val="0"/>
              <w:snapToGrid w:val="0"/>
              <w:jc w:val="center"/>
              <w:rPr>
                <w:color w:val="auto"/>
                <w:kern w:val="0"/>
                <w:sz w:val="21"/>
                <w:szCs w:val="21"/>
              </w:rPr>
            </w:pPr>
            <w:r>
              <w:rPr>
                <w:color w:val="auto"/>
                <w:kern w:val="0"/>
                <w:sz w:val="21"/>
                <w:szCs w:val="21"/>
              </w:rPr>
              <w:t>连续</w:t>
            </w:r>
          </w:p>
        </w:tc>
        <w:tc>
          <w:tcPr>
            <w:tcW w:w="530" w:type="pct"/>
            <w:tcBorders>
              <w:bottom w:val="single" w:color="000000" w:sz="4" w:space="0"/>
            </w:tcBorders>
            <w:shd w:val="clear" w:color="auto" w:fill="auto"/>
            <w:vAlign w:val="center"/>
          </w:tcPr>
          <w:p w14:paraId="6E76C59C">
            <w:pPr>
              <w:pStyle w:val="50"/>
              <w:spacing w:line="24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w:t>
            </w:r>
          </w:p>
        </w:tc>
        <w:tc>
          <w:tcPr>
            <w:tcW w:w="458" w:type="pct"/>
            <w:tcBorders>
              <w:bottom w:val="single" w:color="000000" w:sz="4" w:space="0"/>
            </w:tcBorders>
            <w:shd w:val="clear" w:color="auto" w:fill="auto"/>
            <w:vAlign w:val="center"/>
          </w:tcPr>
          <w:p w14:paraId="11C2A927">
            <w:pPr>
              <w:spacing w:line="32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r>
      <w:tr w14:paraId="672D2A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2F364483">
            <w:pPr>
              <w:adjustRightInd w:val="0"/>
              <w:snapToGrid w:val="0"/>
              <w:jc w:val="center"/>
              <w:rPr>
                <w:color w:val="auto"/>
                <w:sz w:val="21"/>
                <w:szCs w:val="21"/>
              </w:rPr>
            </w:pPr>
          </w:p>
        </w:tc>
        <w:tc>
          <w:tcPr>
            <w:tcW w:w="180" w:type="pct"/>
            <w:vMerge w:val="continue"/>
            <w:vAlign w:val="center"/>
          </w:tcPr>
          <w:p w14:paraId="6F5BC518">
            <w:pPr>
              <w:adjustRightInd w:val="0"/>
              <w:snapToGrid w:val="0"/>
              <w:jc w:val="center"/>
              <w:rPr>
                <w:color w:val="auto"/>
                <w:sz w:val="21"/>
                <w:szCs w:val="21"/>
              </w:rPr>
            </w:pPr>
          </w:p>
        </w:tc>
        <w:tc>
          <w:tcPr>
            <w:tcW w:w="454" w:type="pct"/>
            <w:vMerge w:val="restart"/>
            <w:tcBorders>
              <w:bottom w:val="single" w:color="000000" w:sz="4" w:space="0"/>
            </w:tcBorders>
            <w:vAlign w:val="center"/>
          </w:tcPr>
          <w:p w14:paraId="1BC6CB9A">
            <w:pPr>
              <w:pStyle w:val="105"/>
              <w:spacing w:line="240" w:lineRule="exact"/>
              <w:rPr>
                <w:rFonts w:hint="default" w:eastAsia="宋体"/>
                <w:color w:val="auto"/>
                <w:sz w:val="21"/>
                <w:szCs w:val="21"/>
                <w:lang w:val="en-US" w:eastAsia="zh-CN"/>
              </w:rPr>
            </w:pPr>
            <w:r>
              <w:rPr>
                <w:rFonts w:hint="eastAsia" w:eastAsia="宋体"/>
                <w:color w:val="auto"/>
                <w:sz w:val="21"/>
                <w:szCs w:val="21"/>
                <w:lang w:val="en-US" w:eastAsia="zh-CN"/>
              </w:rPr>
              <w:t>定型和蒸呢废气</w:t>
            </w:r>
          </w:p>
        </w:tc>
        <w:tc>
          <w:tcPr>
            <w:tcW w:w="512" w:type="pct"/>
            <w:tcBorders>
              <w:bottom w:val="single" w:color="000000" w:sz="4" w:space="0"/>
            </w:tcBorders>
            <w:vAlign w:val="center"/>
          </w:tcPr>
          <w:p w14:paraId="00600747">
            <w:pPr>
              <w:pStyle w:val="105"/>
              <w:spacing w:line="240" w:lineRule="exact"/>
              <w:rPr>
                <w:color w:val="auto"/>
                <w:sz w:val="21"/>
                <w:szCs w:val="21"/>
              </w:rPr>
            </w:pPr>
            <w:r>
              <w:rPr>
                <w:rFonts w:hint="eastAsia"/>
                <w:color w:val="auto"/>
                <w:sz w:val="21"/>
                <w:szCs w:val="21"/>
                <w:lang w:val="en-US" w:eastAsia="zh-CN"/>
              </w:rPr>
              <w:t>颗粒物</w:t>
            </w:r>
          </w:p>
        </w:tc>
        <w:tc>
          <w:tcPr>
            <w:tcW w:w="799" w:type="pct"/>
            <w:vMerge w:val="restart"/>
            <w:tcBorders>
              <w:bottom w:val="single" w:color="000000" w:sz="4" w:space="0"/>
            </w:tcBorders>
            <w:vAlign w:val="center"/>
          </w:tcPr>
          <w:p w14:paraId="264651E8">
            <w:pPr>
              <w:widowControl/>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水喷淋+静电净化</w:t>
            </w:r>
          </w:p>
        </w:tc>
        <w:tc>
          <w:tcPr>
            <w:tcW w:w="1307" w:type="dxa"/>
            <w:tcBorders>
              <w:bottom w:val="single" w:color="000000" w:sz="4" w:space="0"/>
            </w:tcBorders>
            <w:shd w:val="clear" w:color="auto" w:fill="auto"/>
            <w:vAlign w:val="center"/>
          </w:tcPr>
          <w:p w14:paraId="0D3A396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0.272</w:t>
            </w:r>
          </w:p>
        </w:tc>
        <w:tc>
          <w:tcPr>
            <w:tcW w:w="1332" w:type="dxa"/>
            <w:tcBorders>
              <w:bottom w:val="single" w:color="000000" w:sz="4" w:space="0"/>
            </w:tcBorders>
            <w:shd w:val="clear" w:color="auto" w:fill="auto"/>
            <w:vAlign w:val="center"/>
          </w:tcPr>
          <w:p w14:paraId="5327188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0.0065</w:t>
            </w:r>
          </w:p>
        </w:tc>
        <w:tc>
          <w:tcPr>
            <w:tcW w:w="1602" w:type="dxa"/>
            <w:tcBorders>
              <w:bottom w:val="single" w:color="000000" w:sz="4" w:space="0"/>
            </w:tcBorders>
            <w:shd w:val="clear" w:color="auto" w:fill="auto"/>
            <w:vAlign w:val="center"/>
          </w:tcPr>
          <w:p w14:paraId="2BC8E94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0.047</w:t>
            </w:r>
          </w:p>
        </w:tc>
        <w:tc>
          <w:tcPr>
            <w:tcW w:w="439" w:type="pct"/>
            <w:vMerge w:val="continue"/>
            <w:vAlign w:val="center"/>
          </w:tcPr>
          <w:p w14:paraId="07406483">
            <w:pPr>
              <w:widowControl/>
              <w:adjustRightInd w:val="0"/>
              <w:snapToGrid w:val="0"/>
              <w:jc w:val="center"/>
              <w:rPr>
                <w:color w:val="auto"/>
                <w:kern w:val="0"/>
                <w:sz w:val="21"/>
                <w:szCs w:val="21"/>
              </w:rPr>
            </w:pPr>
          </w:p>
        </w:tc>
        <w:tc>
          <w:tcPr>
            <w:tcW w:w="530" w:type="pct"/>
            <w:tcBorders>
              <w:bottom w:val="single" w:color="000000" w:sz="4" w:space="0"/>
            </w:tcBorders>
            <w:vAlign w:val="center"/>
          </w:tcPr>
          <w:p w14:paraId="1B01E347">
            <w:pPr>
              <w:pStyle w:val="50"/>
              <w:spacing w:line="240" w:lineRule="exact"/>
              <w:ind w:firstLine="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w:t>
            </w:r>
          </w:p>
        </w:tc>
        <w:tc>
          <w:tcPr>
            <w:tcW w:w="458" w:type="pct"/>
            <w:tcBorders>
              <w:bottom w:val="single" w:color="000000" w:sz="4" w:space="0"/>
            </w:tcBorders>
            <w:vAlign w:val="center"/>
          </w:tcPr>
          <w:p w14:paraId="34F7C1E5">
            <w:pPr>
              <w:pStyle w:val="20"/>
              <w:spacing w:line="320" w:lineRule="exact"/>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w:t>
            </w:r>
          </w:p>
        </w:tc>
      </w:tr>
      <w:tr w14:paraId="077D39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110ADBD0">
            <w:pPr>
              <w:adjustRightInd w:val="0"/>
              <w:snapToGrid w:val="0"/>
              <w:jc w:val="center"/>
              <w:rPr>
                <w:color w:val="auto"/>
                <w:sz w:val="21"/>
                <w:szCs w:val="21"/>
              </w:rPr>
            </w:pPr>
          </w:p>
        </w:tc>
        <w:tc>
          <w:tcPr>
            <w:tcW w:w="180" w:type="pct"/>
            <w:vMerge w:val="continue"/>
            <w:vAlign w:val="center"/>
          </w:tcPr>
          <w:p w14:paraId="7071DFA0">
            <w:pPr>
              <w:adjustRightInd w:val="0"/>
              <w:snapToGrid w:val="0"/>
              <w:jc w:val="center"/>
              <w:rPr>
                <w:color w:val="auto"/>
                <w:sz w:val="21"/>
                <w:szCs w:val="21"/>
              </w:rPr>
            </w:pPr>
          </w:p>
        </w:tc>
        <w:tc>
          <w:tcPr>
            <w:tcW w:w="454" w:type="pct"/>
            <w:vMerge w:val="continue"/>
            <w:tcBorders>
              <w:top w:val="single" w:color="000000" w:sz="4" w:space="0"/>
              <w:bottom w:val="single" w:color="000000" w:sz="4" w:space="0"/>
            </w:tcBorders>
            <w:vAlign w:val="center"/>
          </w:tcPr>
          <w:p w14:paraId="48F50385">
            <w:pPr>
              <w:widowControl/>
              <w:adjustRightInd w:val="0"/>
              <w:snapToGrid w:val="0"/>
              <w:jc w:val="center"/>
              <w:rPr>
                <w:color w:val="auto"/>
                <w:kern w:val="0"/>
                <w:sz w:val="21"/>
                <w:szCs w:val="21"/>
              </w:rPr>
            </w:pPr>
          </w:p>
        </w:tc>
        <w:tc>
          <w:tcPr>
            <w:tcW w:w="512" w:type="pct"/>
            <w:tcBorders>
              <w:top w:val="single" w:color="000000" w:sz="4" w:space="0"/>
              <w:bottom w:val="single" w:color="000000" w:sz="4" w:space="0"/>
            </w:tcBorders>
            <w:vAlign w:val="center"/>
          </w:tcPr>
          <w:p w14:paraId="2BC4267E">
            <w:pPr>
              <w:pStyle w:val="105"/>
              <w:spacing w:line="240" w:lineRule="exact"/>
              <w:rPr>
                <w:rFonts w:hint="eastAsia" w:eastAsia="宋体"/>
                <w:color w:val="auto"/>
                <w:sz w:val="21"/>
                <w:szCs w:val="21"/>
                <w:lang w:val="en-US" w:eastAsia="zh-CN"/>
              </w:rPr>
            </w:pPr>
            <w:r>
              <w:rPr>
                <w:color w:val="auto"/>
                <w:sz w:val="21"/>
                <w:szCs w:val="21"/>
              </w:rPr>
              <w:t>非甲烷总烃</w:t>
            </w:r>
          </w:p>
        </w:tc>
        <w:tc>
          <w:tcPr>
            <w:tcW w:w="799" w:type="pct"/>
            <w:vMerge w:val="continue"/>
            <w:tcBorders>
              <w:top w:val="single" w:color="000000" w:sz="4" w:space="0"/>
              <w:bottom w:val="single" w:color="000000" w:sz="4" w:space="0"/>
            </w:tcBorders>
            <w:vAlign w:val="center"/>
          </w:tcPr>
          <w:p w14:paraId="20BD97B5">
            <w:pPr>
              <w:widowControl/>
              <w:adjustRightInd w:val="0"/>
              <w:snapToGrid w:val="0"/>
              <w:jc w:val="center"/>
              <w:rPr>
                <w:color w:val="auto"/>
                <w:sz w:val="21"/>
                <w:szCs w:val="21"/>
              </w:rPr>
            </w:pPr>
          </w:p>
        </w:tc>
        <w:tc>
          <w:tcPr>
            <w:tcW w:w="1307" w:type="dxa"/>
            <w:tcBorders>
              <w:top w:val="single" w:color="000000" w:sz="4" w:space="0"/>
              <w:bottom w:val="single" w:color="000000" w:sz="4" w:space="0"/>
            </w:tcBorders>
            <w:shd w:val="clear" w:color="auto" w:fill="auto"/>
            <w:vAlign w:val="center"/>
          </w:tcPr>
          <w:p w14:paraId="22492BA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1.78</w:t>
            </w:r>
          </w:p>
        </w:tc>
        <w:tc>
          <w:tcPr>
            <w:tcW w:w="1332" w:type="dxa"/>
            <w:tcBorders>
              <w:top w:val="single" w:color="000000" w:sz="4" w:space="0"/>
              <w:bottom w:val="single" w:color="000000" w:sz="4" w:space="0"/>
            </w:tcBorders>
            <w:shd w:val="clear" w:color="auto" w:fill="auto"/>
            <w:vAlign w:val="center"/>
          </w:tcPr>
          <w:p w14:paraId="7C03907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0.043</w:t>
            </w:r>
          </w:p>
        </w:tc>
        <w:tc>
          <w:tcPr>
            <w:tcW w:w="1602" w:type="dxa"/>
            <w:tcBorders>
              <w:top w:val="single" w:color="000000" w:sz="4" w:space="0"/>
              <w:bottom w:val="single" w:color="000000" w:sz="4" w:space="0"/>
            </w:tcBorders>
            <w:shd w:val="clear" w:color="auto" w:fill="auto"/>
            <w:vAlign w:val="center"/>
          </w:tcPr>
          <w:p w14:paraId="5788C66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0.308</w:t>
            </w:r>
          </w:p>
        </w:tc>
        <w:tc>
          <w:tcPr>
            <w:tcW w:w="439" w:type="pct"/>
            <w:vMerge w:val="continue"/>
            <w:vAlign w:val="center"/>
          </w:tcPr>
          <w:p w14:paraId="4EE7D7FA">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vAlign w:val="center"/>
          </w:tcPr>
          <w:p w14:paraId="44A61AB8">
            <w:pPr>
              <w:pStyle w:val="50"/>
              <w:spacing w:line="240" w:lineRule="exact"/>
              <w:ind w:firstLine="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60</w:t>
            </w:r>
          </w:p>
        </w:tc>
        <w:tc>
          <w:tcPr>
            <w:tcW w:w="458" w:type="pct"/>
            <w:tcBorders>
              <w:top w:val="single" w:color="000000" w:sz="4" w:space="0"/>
              <w:bottom w:val="single" w:color="000000" w:sz="4" w:space="0"/>
            </w:tcBorders>
            <w:vAlign w:val="center"/>
          </w:tcPr>
          <w:p w14:paraId="5D595F1C">
            <w:pPr>
              <w:spacing w:line="320" w:lineRule="exact"/>
              <w:jc w:val="center"/>
              <w:rPr>
                <w:rFonts w:hint="eastAsia" w:eastAsia="宋体"/>
                <w:color w:val="auto"/>
                <w:sz w:val="21"/>
                <w:szCs w:val="21"/>
                <w:lang w:val="en-US" w:eastAsia="zh-CN"/>
              </w:rPr>
            </w:pPr>
            <w:r>
              <w:rPr>
                <w:rFonts w:hint="eastAsia"/>
                <w:color w:val="auto"/>
                <w:sz w:val="21"/>
                <w:szCs w:val="21"/>
                <w:lang w:val="en-US" w:eastAsia="zh-CN"/>
              </w:rPr>
              <w:t>3</w:t>
            </w:r>
          </w:p>
        </w:tc>
      </w:tr>
      <w:tr w14:paraId="0BE8BB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7503F7BD">
            <w:pPr>
              <w:adjustRightInd w:val="0"/>
              <w:snapToGrid w:val="0"/>
              <w:jc w:val="center"/>
              <w:rPr>
                <w:color w:val="auto"/>
                <w:sz w:val="21"/>
                <w:szCs w:val="21"/>
              </w:rPr>
            </w:pPr>
          </w:p>
        </w:tc>
        <w:tc>
          <w:tcPr>
            <w:tcW w:w="180" w:type="pct"/>
            <w:vMerge w:val="continue"/>
            <w:vAlign w:val="center"/>
          </w:tcPr>
          <w:p w14:paraId="5C821159">
            <w:pPr>
              <w:adjustRightInd w:val="0"/>
              <w:snapToGrid w:val="0"/>
              <w:jc w:val="center"/>
              <w:rPr>
                <w:color w:val="auto"/>
                <w:sz w:val="21"/>
                <w:szCs w:val="21"/>
              </w:rPr>
            </w:pPr>
          </w:p>
        </w:tc>
        <w:tc>
          <w:tcPr>
            <w:tcW w:w="454" w:type="pct"/>
            <w:vMerge w:val="restart"/>
            <w:tcBorders>
              <w:top w:val="single" w:color="000000" w:sz="4" w:space="0"/>
              <w:bottom w:val="single" w:color="000000" w:sz="4" w:space="0"/>
            </w:tcBorders>
            <w:vAlign w:val="center"/>
          </w:tcPr>
          <w:p w14:paraId="08CA7B3F">
            <w:pPr>
              <w:pStyle w:val="20"/>
              <w:adjustRightInd w:val="0"/>
              <w:snapToGrid w:val="0"/>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蒸汽锅炉废气</w:t>
            </w:r>
          </w:p>
        </w:tc>
        <w:tc>
          <w:tcPr>
            <w:tcW w:w="512" w:type="pct"/>
            <w:tcBorders>
              <w:top w:val="single" w:color="000000" w:sz="4" w:space="0"/>
              <w:bottom w:val="single" w:color="000000" w:sz="4" w:space="0"/>
            </w:tcBorders>
            <w:vAlign w:val="center"/>
          </w:tcPr>
          <w:p w14:paraId="79BE9EC9">
            <w:pPr>
              <w:pStyle w:val="105"/>
              <w:spacing w:line="240" w:lineRule="exact"/>
              <w:rPr>
                <w:rFonts w:hint="eastAsia" w:eastAsia="宋体"/>
                <w:color w:val="auto"/>
                <w:sz w:val="21"/>
                <w:szCs w:val="21"/>
                <w:lang w:eastAsia="zh-CN"/>
              </w:rPr>
            </w:pPr>
            <w:r>
              <w:rPr>
                <w:rFonts w:hint="eastAsia"/>
                <w:color w:val="auto"/>
                <w:sz w:val="21"/>
                <w:szCs w:val="21"/>
                <w:lang w:val="en-US" w:eastAsia="zh-CN"/>
              </w:rPr>
              <w:t>颗粒物</w:t>
            </w:r>
          </w:p>
        </w:tc>
        <w:tc>
          <w:tcPr>
            <w:tcW w:w="799" w:type="pct"/>
            <w:vMerge w:val="restart"/>
            <w:tcBorders>
              <w:top w:val="single" w:color="000000" w:sz="4" w:space="0"/>
              <w:bottom w:val="single" w:color="000000" w:sz="4" w:space="0"/>
            </w:tcBorders>
            <w:vAlign w:val="center"/>
          </w:tcPr>
          <w:p w14:paraId="07785B1F">
            <w:pPr>
              <w:autoSpaceDE w:val="0"/>
              <w:autoSpaceDN w:val="0"/>
              <w:adjustRightInd w:val="0"/>
              <w:snapToGrid w:val="0"/>
              <w:jc w:val="center"/>
              <w:rPr>
                <w:rFonts w:hint="default"/>
                <w:color w:val="auto"/>
                <w:kern w:val="0"/>
                <w:sz w:val="21"/>
                <w:szCs w:val="21"/>
                <w:lang w:val="en-US"/>
              </w:rPr>
            </w:pPr>
            <w:r>
              <w:rPr>
                <w:rFonts w:hint="eastAsia" w:ascii="Times New Roman" w:hAnsi="Times New Roman" w:eastAsia="宋体" w:cs="Times New Roman"/>
                <w:kern w:val="0"/>
                <w:sz w:val="21"/>
                <w:szCs w:val="21"/>
                <w:lang w:val="en-US" w:eastAsia="zh-CN" w:bidi="ar"/>
              </w:rPr>
              <w:t>低氮燃烧+SNCR+</w:t>
            </w:r>
            <w:r>
              <w:rPr>
                <w:rFonts w:hint="eastAsia" w:cs="Times New Roman"/>
                <w:kern w:val="0"/>
                <w:sz w:val="21"/>
                <w:szCs w:val="21"/>
                <w:lang w:val="en-US" w:eastAsia="zh-CN" w:bidi="ar"/>
              </w:rPr>
              <w:t>石灰喷雾干燥+</w:t>
            </w:r>
            <w:r>
              <w:rPr>
                <w:rFonts w:hint="eastAsia" w:ascii="Times New Roman" w:hAnsi="Times New Roman" w:eastAsia="宋体" w:cs="Times New Roman"/>
                <w:kern w:val="0"/>
                <w:sz w:val="21"/>
                <w:szCs w:val="21"/>
                <w:lang w:val="en-US" w:eastAsia="zh-CN" w:bidi="ar"/>
              </w:rPr>
              <w:t>余热回收+旋风除尘+布袋除尘+水幕除尘</w:t>
            </w:r>
          </w:p>
        </w:tc>
        <w:tc>
          <w:tcPr>
            <w:tcW w:w="1307" w:type="dxa"/>
            <w:tcBorders>
              <w:top w:val="single" w:color="000000" w:sz="4" w:space="0"/>
              <w:bottom w:val="single" w:color="000000" w:sz="4" w:space="0"/>
            </w:tcBorders>
            <w:vAlign w:val="center"/>
          </w:tcPr>
          <w:p w14:paraId="41020FA5">
            <w:pPr>
              <w:keepNext w:val="0"/>
              <w:keepLines w:val="0"/>
              <w:widowControl/>
              <w:suppressLineNumbers w:val="0"/>
              <w:jc w:val="center"/>
              <w:textAlignment w:val="center"/>
              <w:rPr>
                <w:bCs/>
                <w:color w:val="auto"/>
                <w:sz w:val="21"/>
                <w:szCs w:val="21"/>
              </w:rPr>
            </w:pPr>
            <w:r>
              <w:rPr>
                <w:rFonts w:hint="eastAsia" w:cs="Times New Roman"/>
                <w:i w:val="0"/>
                <w:iCs w:val="0"/>
                <w:color w:val="000000"/>
                <w:kern w:val="0"/>
                <w:sz w:val="21"/>
                <w:szCs w:val="21"/>
                <w:u w:val="none"/>
                <w:lang w:val="en-US" w:eastAsia="zh-CN" w:bidi="ar"/>
              </w:rPr>
              <w:t>0.143</w:t>
            </w:r>
          </w:p>
        </w:tc>
        <w:tc>
          <w:tcPr>
            <w:tcW w:w="1332" w:type="dxa"/>
            <w:tcBorders>
              <w:top w:val="single" w:color="000000" w:sz="4" w:space="0"/>
              <w:bottom w:val="single" w:color="000000" w:sz="4" w:space="0"/>
            </w:tcBorders>
            <w:vAlign w:val="center"/>
          </w:tcPr>
          <w:p w14:paraId="78AB5D04">
            <w:pPr>
              <w:keepNext w:val="0"/>
              <w:keepLines w:val="0"/>
              <w:widowControl/>
              <w:suppressLineNumbers w:val="0"/>
              <w:jc w:val="center"/>
              <w:textAlignment w:val="center"/>
              <w:rPr>
                <w:bCs/>
                <w:color w:val="auto"/>
                <w:sz w:val="21"/>
                <w:szCs w:val="21"/>
              </w:rPr>
            </w:pPr>
            <w:r>
              <w:rPr>
                <w:rFonts w:hint="eastAsia" w:cs="Times New Roman"/>
                <w:i w:val="0"/>
                <w:iCs w:val="0"/>
                <w:color w:val="000000"/>
                <w:kern w:val="0"/>
                <w:sz w:val="21"/>
                <w:szCs w:val="21"/>
                <w:u w:val="none"/>
                <w:lang w:val="en-US" w:eastAsia="zh-CN" w:bidi="ar"/>
              </w:rPr>
              <w:t>0.001</w:t>
            </w:r>
          </w:p>
        </w:tc>
        <w:tc>
          <w:tcPr>
            <w:tcW w:w="1602" w:type="dxa"/>
            <w:tcBorders>
              <w:top w:val="single" w:color="000000" w:sz="4" w:space="0"/>
              <w:bottom w:val="single" w:color="000000" w:sz="4" w:space="0"/>
            </w:tcBorders>
            <w:vAlign w:val="center"/>
          </w:tcPr>
          <w:p w14:paraId="0D014B3A">
            <w:pPr>
              <w:keepNext w:val="0"/>
              <w:keepLines w:val="0"/>
              <w:widowControl/>
              <w:suppressLineNumbers w:val="0"/>
              <w:jc w:val="center"/>
              <w:textAlignment w:val="center"/>
              <w:rPr>
                <w:bCs/>
                <w:color w:val="auto"/>
                <w:sz w:val="21"/>
                <w:szCs w:val="21"/>
              </w:rPr>
            </w:pPr>
            <w:r>
              <w:rPr>
                <w:rFonts w:hint="eastAsia" w:cs="Times New Roman"/>
                <w:i w:val="0"/>
                <w:iCs w:val="0"/>
                <w:color w:val="000000"/>
                <w:kern w:val="0"/>
                <w:sz w:val="21"/>
                <w:szCs w:val="21"/>
                <w:u w:val="none"/>
                <w:lang w:val="en-US" w:eastAsia="zh-CN" w:bidi="ar"/>
              </w:rPr>
              <w:t>0.007</w:t>
            </w:r>
          </w:p>
        </w:tc>
        <w:tc>
          <w:tcPr>
            <w:tcW w:w="439" w:type="pct"/>
            <w:vMerge w:val="continue"/>
            <w:vAlign w:val="center"/>
          </w:tcPr>
          <w:p w14:paraId="78AAA48D">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shd w:val="clear" w:color="auto" w:fill="auto"/>
            <w:vAlign w:val="center"/>
          </w:tcPr>
          <w:p w14:paraId="36E228FD">
            <w:pPr>
              <w:adjustRightInd w:val="0"/>
              <w:snapToGrid w:val="0"/>
              <w:jc w:val="center"/>
              <w:rPr>
                <w:rFonts w:hint="eastAsia" w:eastAsia="宋体"/>
                <w:color w:val="auto"/>
                <w:sz w:val="21"/>
                <w:szCs w:val="21"/>
                <w:lang w:val="en-US" w:eastAsia="zh-CN"/>
              </w:rPr>
            </w:pPr>
            <w:r>
              <w:rPr>
                <w:rFonts w:hint="eastAsia" w:eastAsia="宋体"/>
                <w:color w:val="auto"/>
                <w:sz w:val="21"/>
                <w:szCs w:val="21"/>
                <w:lang w:val="en-US" w:eastAsia="zh-CN"/>
              </w:rPr>
              <w:t>10</w:t>
            </w:r>
          </w:p>
        </w:tc>
        <w:tc>
          <w:tcPr>
            <w:tcW w:w="458" w:type="pct"/>
            <w:tcBorders>
              <w:top w:val="single" w:color="000000" w:sz="4" w:space="0"/>
              <w:bottom w:val="single" w:color="000000" w:sz="4" w:space="0"/>
            </w:tcBorders>
            <w:vAlign w:val="center"/>
          </w:tcPr>
          <w:p w14:paraId="311284D7">
            <w:pPr>
              <w:pStyle w:val="20"/>
              <w:spacing w:line="240" w:lineRule="auto"/>
              <w:ind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p>
        </w:tc>
      </w:tr>
      <w:tr w14:paraId="1B659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131AE74E">
            <w:pPr>
              <w:adjustRightInd w:val="0"/>
              <w:snapToGrid w:val="0"/>
              <w:jc w:val="center"/>
              <w:rPr>
                <w:color w:val="auto"/>
                <w:sz w:val="21"/>
                <w:szCs w:val="21"/>
              </w:rPr>
            </w:pPr>
          </w:p>
        </w:tc>
        <w:tc>
          <w:tcPr>
            <w:tcW w:w="180" w:type="pct"/>
            <w:vMerge w:val="continue"/>
            <w:vAlign w:val="center"/>
          </w:tcPr>
          <w:p w14:paraId="6C400F7C">
            <w:pPr>
              <w:adjustRightInd w:val="0"/>
              <w:snapToGrid w:val="0"/>
              <w:jc w:val="center"/>
              <w:rPr>
                <w:color w:val="auto"/>
                <w:sz w:val="21"/>
                <w:szCs w:val="21"/>
              </w:rPr>
            </w:pPr>
          </w:p>
        </w:tc>
        <w:tc>
          <w:tcPr>
            <w:tcW w:w="454" w:type="pct"/>
            <w:vMerge w:val="continue"/>
            <w:tcBorders>
              <w:top w:val="single" w:color="000000" w:sz="4" w:space="0"/>
              <w:bottom w:val="single" w:color="000000" w:sz="4" w:space="0"/>
            </w:tcBorders>
            <w:vAlign w:val="center"/>
          </w:tcPr>
          <w:p w14:paraId="03BBF14D">
            <w:pPr>
              <w:pStyle w:val="20"/>
              <w:adjustRightInd w:val="0"/>
              <w:snapToGrid w:val="0"/>
              <w:spacing w:line="240" w:lineRule="auto"/>
              <w:ind w:firstLine="0" w:firstLineChars="0"/>
              <w:jc w:val="center"/>
              <w:rPr>
                <w:rFonts w:ascii="Times New Roman" w:hAnsi="Times New Roman"/>
                <w:color w:val="auto"/>
                <w:sz w:val="21"/>
                <w:szCs w:val="21"/>
              </w:rPr>
            </w:pPr>
          </w:p>
        </w:tc>
        <w:tc>
          <w:tcPr>
            <w:tcW w:w="512" w:type="pct"/>
            <w:tcBorders>
              <w:top w:val="single" w:color="000000" w:sz="4" w:space="0"/>
              <w:bottom w:val="single" w:color="000000" w:sz="4" w:space="0"/>
            </w:tcBorders>
            <w:vAlign w:val="center"/>
          </w:tcPr>
          <w:p w14:paraId="50BFE864">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799" w:type="pct"/>
            <w:vMerge w:val="continue"/>
            <w:tcBorders>
              <w:top w:val="single" w:color="000000" w:sz="4" w:space="0"/>
              <w:bottom w:val="single" w:color="000000" w:sz="4" w:space="0"/>
            </w:tcBorders>
            <w:vAlign w:val="center"/>
          </w:tcPr>
          <w:p w14:paraId="2B75275D">
            <w:pPr>
              <w:widowControl/>
              <w:adjustRightInd w:val="0"/>
              <w:snapToGrid w:val="0"/>
              <w:jc w:val="center"/>
              <w:rPr>
                <w:color w:val="auto"/>
                <w:sz w:val="21"/>
                <w:szCs w:val="21"/>
              </w:rPr>
            </w:pPr>
          </w:p>
        </w:tc>
        <w:tc>
          <w:tcPr>
            <w:tcW w:w="1307" w:type="dxa"/>
            <w:tcBorders>
              <w:top w:val="single" w:color="000000" w:sz="4" w:space="0"/>
              <w:bottom w:val="single" w:color="000000" w:sz="4" w:space="0"/>
            </w:tcBorders>
            <w:vAlign w:val="center"/>
          </w:tcPr>
          <w:p w14:paraId="7A7AC6E4">
            <w:pPr>
              <w:keepNext w:val="0"/>
              <w:keepLines w:val="0"/>
              <w:widowControl/>
              <w:suppressLineNumbers w:val="0"/>
              <w:jc w:val="center"/>
              <w:textAlignment w:val="center"/>
              <w:rPr>
                <w:rFonts w:hint="eastAsia"/>
                <w:bCs/>
                <w:color w:val="auto"/>
                <w:sz w:val="21"/>
                <w:szCs w:val="21"/>
              </w:rPr>
            </w:pPr>
            <w:r>
              <w:rPr>
                <w:rFonts w:hint="eastAsia" w:cs="Times New Roman"/>
                <w:i w:val="0"/>
                <w:iCs w:val="0"/>
                <w:color w:val="000000"/>
                <w:kern w:val="0"/>
                <w:sz w:val="21"/>
                <w:szCs w:val="21"/>
                <w:u w:val="none"/>
                <w:lang w:val="en-US" w:eastAsia="zh-CN" w:bidi="ar"/>
              </w:rPr>
              <w:t>14.14</w:t>
            </w:r>
          </w:p>
        </w:tc>
        <w:tc>
          <w:tcPr>
            <w:tcW w:w="1332" w:type="dxa"/>
            <w:tcBorders>
              <w:top w:val="single" w:color="000000" w:sz="4" w:space="0"/>
              <w:bottom w:val="single" w:color="000000" w:sz="4" w:space="0"/>
            </w:tcBorders>
            <w:vAlign w:val="center"/>
          </w:tcPr>
          <w:p w14:paraId="181D7396">
            <w:pPr>
              <w:keepNext w:val="0"/>
              <w:keepLines w:val="0"/>
              <w:widowControl/>
              <w:suppressLineNumbers w:val="0"/>
              <w:jc w:val="center"/>
              <w:textAlignment w:val="center"/>
              <w:rPr>
                <w:rFonts w:hint="eastAsia"/>
                <w:bCs/>
                <w:color w:val="auto"/>
                <w:sz w:val="21"/>
                <w:szCs w:val="21"/>
              </w:rPr>
            </w:pPr>
            <w:r>
              <w:rPr>
                <w:rFonts w:hint="eastAsia" w:cs="Times New Roman"/>
                <w:i w:val="0"/>
                <w:iCs w:val="0"/>
                <w:color w:val="000000"/>
                <w:kern w:val="0"/>
                <w:sz w:val="21"/>
                <w:szCs w:val="21"/>
                <w:u w:val="none"/>
                <w:lang w:val="en-US" w:eastAsia="zh-CN" w:bidi="ar"/>
              </w:rPr>
              <w:t>0.099</w:t>
            </w:r>
          </w:p>
        </w:tc>
        <w:tc>
          <w:tcPr>
            <w:tcW w:w="1602" w:type="dxa"/>
            <w:tcBorders>
              <w:top w:val="single" w:color="000000" w:sz="4" w:space="0"/>
              <w:bottom w:val="single" w:color="000000" w:sz="4" w:space="0"/>
            </w:tcBorders>
            <w:vAlign w:val="center"/>
          </w:tcPr>
          <w:p w14:paraId="4EE901C9">
            <w:pPr>
              <w:keepNext w:val="0"/>
              <w:keepLines w:val="0"/>
              <w:widowControl/>
              <w:suppressLineNumbers w:val="0"/>
              <w:jc w:val="center"/>
              <w:textAlignment w:val="center"/>
              <w:rPr>
                <w:rFonts w:hint="eastAsia"/>
                <w:bCs/>
                <w:color w:val="auto"/>
                <w:sz w:val="21"/>
                <w:szCs w:val="21"/>
              </w:rPr>
            </w:pPr>
            <w:r>
              <w:rPr>
                <w:rFonts w:hint="eastAsia" w:cs="Times New Roman"/>
                <w:i w:val="0"/>
                <w:iCs w:val="0"/>
                <w:color w:val="000000"/>
                <w:kern w:val="0"/>
                <w:sz w:val="21"/>
                <w:szCs w:val="21"/>
                <w:u w:val="none"/>
                <w:lang w:val="en-US" w:eastAsia="zh-CN" w:bidi="ar"/>
              </w:rPr>
              <w:t>0.714</w:t>
            </w:r>
          </w:p>
        </w:tc>
        <w:tc>
          <w:tcPr>
            <w:tcW w:w="439" w:type="pct"/>
            <w:vMerge w:val="continue"/>
            <w:vAlign w:val="center"/>
          </w:tcPr>
          <w:p w14:paraId="1738E0DB">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shd w:val="clear" w:color="auto" w:fill="auto"/>
            <w:vAlign w:val="center"/>
          </w:tcPr>
          <w:p w14:paraId="2D5F51F6">
            <w:pPr>
              <w:adjustRightInd w:val="0"/>
              <w:snapToGrid w:val="0"/>
              <w:jc w:val="center"/>
              <w:rPr>
                <w:rFonts w:hint="eastAsia" w:eastAsia="宋体"/>
                <w:color w:val="auto"/>
                <w:sz w:val="21"/>
                <w:szCs w:val="21"/>
                <w:lang w:val="en-US" w:eastAsia="zh-CN"/>
              </w:rPr>
            </w:pPr>
            <w:r>
              <w:rPr>
                <w:rFonts w:hint="eastAsia" w:eastAsia="宋体"/>
                <w:color w:val="auto"/>
                <w:sz w:val="21"/>
                <w:szCs w:val="21"/>
                <w:lang w:val="en-US" w:eastAsia="zh-CN"/>
              </w:rPr>
              <w:t>35</w:t>
            </w:r>
          </w:p>
        </w:tc>
        <w:tc>
          <w:tcPr>
            <w:tcW w:w="458" w:type="pct"/>
            <w:tcBorders>
              <w:top w:val="single" w:color="000000" w:sz="4" w:space="0"/>
              <w:bottom w:val="single" w:color="000000" w:sz="4" w:space="0"/>
            </w:tcBorders>
            <w:vAlign w:val="center"/>
          </w:tcPr>
          <w:p w14:paraId="71AD05C2">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6CD5C1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2B026B64">
            <w:pPr>
              <w:adjustRightInd w:val="0"/>
              <w:snapToGrid w:val="0"/>
              <w:jc w:val="center"/>
              <w:rPr>
                <w:color w:val="auto"/>
                <w:sz w:val="21"/>
                <w:szCs w:val="21"/>
              </w:rPr>
            </w:pPr>
          </w:p>
        </w:tc>
        <w:tc>
          <w:tcPr>
            <w:tcW w:w="180" w:type="pct"/>
            <w:vMerge w:val="continue"/>
            <w:vAlign w:val="center"/>
          </w:tcPr>
          <w:p w14:paraId="7EEF2151">
            <w:pPr>
              <w:adjustRightInd w:val="0"/>
              <w:snapToGrid w:val="0"/>
              <w:jc w:val="center"/>
              <w:rPr>
                <w:color w:val="auto"/>
                <w:sz w:val="21"/>
                <w:szCs w:val="21"/>
              </w:rPr>
            </w:pPr>
          </w:p>
        </w:tc>
        <w:tc>
          <w:tcPr>
            <w:tcW w:w="454" w:type="pct"/>
            <w:vMerge w:val="continue"/>
            <w:tcBorders>
              <w:top w:val="single" w:color="000000" w:sz="4" w:space="0"/>
              <w:bottom w:val="single" w:color="000000" w:sz="4" w:space="0"/>
            </w:tcBorders>
            <w:vAlign w:val="center"/>
          </w:tcPr>
          <w:p w14:paraId="60C29718">
            <w:pPr>
              <w:pStyle w:val="20"/>
              <w:adjustRightInd w:val="0"/>
              <w:snapToGrid w:val="0"/>
              <w:spacing w:line="240" w:lineRule="auto"/>
              <w:ind w:firstLine="0" w:firstLineChars="0"/>
              <w:jc w:val="center"/>
              <w:rPr>
                <w:rFonts w:ascii="Times New Roman" w:hAnsi="Times New Roman"/>
                <w:color w:val="auto"/>
                <w:sz w:val="21"/>
                <w:szCs w:val="21"/>
              </w:rPr>
            </w:pPr>
          </w:p>
        </w:tc>
        <w:tc>
          <w:tcPr>
            <w:tcW w:w="512" w:type="pct"/>
            <w:tcBorders>
              <w:top w:val="single" w:color="000000" w:sz="4" w:space="0"/>
              <w:bottom w:val="single" w:color="000000" w:sz="4" w:space="0"/>
            </w:tcBorders>
            <w:vAlign w:val="center"/>
          </w:tcPr>
          <w:p w14:paraId="66959343">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NO</w:t>
            </w:r>
            <w:r>
              <w:rPr>
                <w:rFonts w:hint="eastAsia"/>
                <w:color w:val="auto"/>
                <w:sz w:val="21"/>
                <w:szCs w:val="21"/>
                <w:vertAlign w:val="subscript"/>
                <w:lang w:val="en-US" w:eastAsia="zh-CN"/>
              </w:rPr>
              <w:t>x</w:t>
            </w:r>
          </w:p>
        </w:tc>
        <w:tc>
          <w:tcPr>
            <w:tcW w:w="799" w:type="pct"/>
            <w:vMerge w:val="continue"/>
            <w:tcBorders>
              <w:top w:val="single" w:color="000000" w:sz="4" w:space="0"/>
              <w:bottom w:val="single" w:color="000000" w:sz="4" w:space="0"/>
            </w:tcBorders>
            <w:vAlign w:val="center"/>
          </w:tcPr>
          <w:p w14:paraId="788B6D8A">
            <w:pPr>
              <w:widowControl/>
              <w:adjustRightInd w:val="0"/>
              <w:snapToGrid w:val="0"/>
              <w:jc w:val="center"/>
              <w:rPr>
                <w:color w:val="auto"/>
                <w:sz w:val="21"/>
                <w:szCs w:val="21"/>
              </w:rPr>
            </w:pPr>
          </w:p>
        </w:tc>
        <w:tc>
          <w:tcPr>
            <w:tcW w:w="1307" w:type="dxa"/>
            <w:tcBorders>
              <w:top w:val="single" w:color="000000" w:sz="4" w:space="0"/>
              <w:bottom w:val="single" w:color="000000" w:sz="4" w:space="0"/>
            </w:tcBorders>
            <w:vAlign w:val="center"/>
          </w:tcPr>
          <w:p w14:paraId="0EBF24A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19.72</w:t>
            </w:r>
          </w:p>
        </w:tc>
        <w:tc>
          <w:tcPr>
            <w:tcW w:w="1332" w:type="dxa"/>
            <w:tcBorders>
              <w:top w:val="single" w:color="000000" w:sz="4" w:space="0"/>
              <w:bottom w:val="single" w:color="000000" w:sz="4" w:space="0"/>
            </w:tcBorders>
            <w:vAlign w:val="center"/>
          </w:tcPr>
          <w:p w14:paraId="00ACF3D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0.138</w:t>
            </w:r>
          </w:p>
        </w:tc>
        <w:tc>
          <w:tcPr>
            <w:tcW w:w="1602" w:type="dxa"/>
            <w:tcBorders>
              <w:top w:val="single" w:color="000000" w:sz="4" w:space="0"/>
              <w:bottom w:val="single" w:color="000000" w:sz="4" w:space="0"/>
            </w:tcBorders>
            <w:vAlign w:val="center"/>
          </w:tcPr>
          <w:p w14:paraId="79743B8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0.994</w:t>
            </w:r>
          </w:p>
        </w:tc>
        <w:tc>
          <w:tcPr>
            <w:tcW w:w="439" w:type="pct"/>
            <w:vMerge w:val="continue"/>
            <w:vAlign w:val="center"/>
          </w:tcPr>
          <w:p w14:paraId="0DABD90D">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shd w:val="clear" w:color="auto" w:fill="auto"/>
            <w:vAlign w:val="center"/>
          </w:tcPr>
          <w:p w14:paraId="0DF6AD30">
            <w:pPr>
              <w:adjustRightInd w:val="0"/>
              <w:snapToGrid w:val="0"/>
              <w:jc w:val="center"/>
              <w:rPr>
                <w:rFonts w:hint="eastAsia" w:eastAsia="宋体"/>
                <w:color w:val="auto"/>
                <w:sz w:val="21"/>
                <w:szCs w:val="21"/>
                <w:lang w:val="en-US" w:eastAsia="zh-CN"/>
              </w:rPr>
            </w:pPr>
            <w:r>
              <w:rPr>
                <w:rFonts w:hint="eastAsia" w:eastAsia="宋体"/>
                <w:color w:val="auto"/>
                <w:sz w:val="21"/>
                <w:szCs w:val="21"/>
                <w:lang w:val="en-US" w:eastAsia="zh-CN"/>
              </w:rPr>
              <w:t>50</w:t>
            </w:r>
          </w:p>
        </w:tc>
        <w:tc>
          <w:tcPr>
            <w:tcW w:w="458" w:type="pct"/>
            <w:tcBorders>
              <w:top w:val="single" w:color="000000" w:sz="4" w:space="0"/>
              <w:bottom w:val="single" w:color="000000" w:sz="4" w:space="0"/>
            </w:tcBorders>
            <w:vAlign w:val="center"/>
          </w:tcPr>
          <w:p w14:paraId="635C3157">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26E644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6FBDE114">
            <w:pPr>
              <w:adjustRightInd w:val="0"/>
              <w:snapToGrid w:val="0"/>
              <w:jc w:val="center"/>
              <w:rPr>
                <w:color w:val="auto"/>
                <w:sz w:val="21"/>
                <w:szCs w:val="21"/>
              </w:rPr>
            </w:pPr>
          </w:p>
        </w:tc>
        <w:tc>
          <w:tcPr>
            <w:tcW w:w="180" w:type="pct"/>
            <w:vMerge w:val="continue"/>
            <w:vAlign w:val="center"/>
          </w:tcPr>
          <w:p w14:paraId="2DEA0DDB">
            <w:pPr>
              <w:adjustRightInd w:val="0"/>
              <w:snapToGrid w:val="0"/>
              <w:jc w:val="center"/>
              <w:rPr>
                <w:color w:val="auto"/>
                <w:sz w:val="21"/>
                <w:szCs w:val="21"/>
              </w:rPr>
            </w:pPr>
          </w:p>
        </w:tc>
        <w:tc>
          <w:tcPr>
            <w:tcW w:w="454" w:type="pct"/>
            <w:vMerge w:val="continue"/>
            <w:tcBorders>
              <w:top w:val="single" w:color="000000" w:sz="4" w:space="0"/>
              <w:bottom w:val="single" w:color="000000" w:sz="4" w:space="0"/>
            </w:tcBorders>
            <w:vAlign w:val="center"/>
          </w:tcPr>
          <w:p w14:paraId="1EEC6003">
            <w:pPr>
              <w:pStyle w:val="20"/>
              <w:adjustRightInd w:val="0"/>
              <w:snapToGrid w:val="0"/>
              <w:spacing w:line="240" w:lineRule="auto"/>
              <w:ind w:firstLine="0" w:firstLineChars="0"/>
              <w:jc w:val="center"/>
              <w:rPr>
                <w:rFonts w:ascii="Times New Roman" w:hAnsi="Times New Roman"/>
                <w:color w:val="auto"/>
                <w:sz w:val="21"/>
                <w:szCs w:val="21"/>
              </w:rPr>
            </w:pPr>
          </w:p>
        </w:tc>
        <w:tc>
          <w:tcPr>
            <w:tcW w:w="512" w:type="pct"/>
            <w:tcBorders>
              <w:top w:val="single" w:color="000000" w:sz="4" w:space="0"/>
              <w:bottom w:val="single" w:color="000000" w:sz="4" w:space="0"/>
            </w:tcBorders>
            <w:vAlign w:val="center"/>
          </w:tcPr>
          <w:p w14:paraId="6C586163">
            <w:pPr>
              <w:pStyle w:val="105"/>
              <w:spacing w:line="240" w:lineRule="exact"/>
              <w:rPr>
                <w:rFonts w:hint="default" w:eastAsia="宋体"/>
                <w:color w:val="auto"/>
                <w:sz w:val="21"/>
                <w:szCs w:val="21"/>
                <w:lang w:val="en-US" w:eastAsia="zh-CN"/>
              </w:rPr>
            </w:pPr>
            <w:r>
              <w:rPr>
                <w:rFonts w:hint="eastAsia"/>
                <w:color w:val="auto"/>
                <w:sz w:val="21"/>
                <w:szCs w:val="21"/>
                <w:lang w:val="en-US" w:eastAsia="zh-CN"/>
              </w:rPr>
              <w:t>汞及其化合物</w:t>
            </w:r>
          </w:p>
        </w:tc>
        <w:tc>
          <w:tcPr>
            <w:tcW w:w="799" w:type="pct"/>
            <w:vMerge w:val="continue"/>
            <w:tcBorders>
              <w:top w:val="single" w:color="000000" w:sz="4" w:space="0"/>
              <w:bottom w:val="single" w:color="000000" w:sz="4" w:space="0"/>
            </w:tcBorders>
            <w:vAlign w:val="center"/>
          </w:tcPr>
          <w:p w14:paraId="3B213733">
            <w:pPr>
              <w:widowControl/>
              <w:adjustRightInd w:val="0"/>
              <w:snapToGrid w:val="0"/>
              <w:jc w:val="center"/>
              <w:rPr>
                <w:color w:val="auto"/>
                <w:sz w:val="21"/>
                <w:szCs w:val="21"/>
              </w:rPr>
            </w:pPr>
          </w:p>
        </w:tc>
        <w:tc>
          <w:tcPr>
            <w:tcW w:w="1307" w:type="dxa"/>
            <w:tcBorders>
              <w:top w:val="single" w:color="000000" w:sz="4" w:space="0"/>
              <w:bottom w:val="single" w:color="000000" w:sz="4" w:space="0"/>
            </w:tcBorders>
            <w:vAlign w:val="center"/>
          </w:tcPr>
          <w:p w14:paraId="36D7BDDD">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0.016</w:t>
            </w:r>
          </w:p>
        </w:tc>
        <w:tc>
          <w:tcPr>
            <w:tcW w:w="1332" w:type="dxa"/>
            <w:tcBorders>
              <w:top w:val="single" w:color="000000" w:sz="4" w:space="0"/>
              <w:bottom w:val="single" w:color="000000" w:sz="4" w:space="0"/>
            </w:tcBorders>
            <w:vAlign w:val="center"/>
          </w:tcPr>
          <w:p w14:paraId="1CEF30D4">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0.00011</w:t>
            </w:r>
          </w:p>
        </w:tc>
        <w:tc>
          <w:tcPr>
            <w:tcW w:w="1602" w:type="dxa"/>
            <w:tcBorders>
              <w:top w:val="single" w:color="000000" w:sz="4" w:space="0"/>
              <w:bottom w:val="single" w:color="000000" w:sz="4" w:space="0"/>
            </w:tcBorders>
            <w:vAlign w:val="center"/>
          </w:tcPr>
          <w:p w14:paraId="3806D97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0.806kg</w:t>
            </w:r>
          </w:p>
        </w:tc>
        <w:tc>
          <w:tcPr>
            <w:tcW w:w="439" w:type="pct"/>
            <w:vMerge w:val="continue"/>
            <w:tcBorders>
              <w:bottom w:val="single" w:color="000000" w:sz="4" w:space="0"/>
            </w:tcBorders>
            <w:vAlign w:val="center"/>
          </w:tcPr>
          <w:p w14:paraId="0DB0DCB9">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shd w:val="clear" w:color="auto" w:fill="auto"/>
            <w:vAlign w:val="center"/>
          </w:tcPr>
          <w:p w14:paraId="3866F75B">
            <w:pPr>
              <w:adjustRightInd w:val="0"/>
              <w:snapToGrid w:val="0"/>
              <w:jc w:val="center"/>
              <w:rPr>
                <w:rFonts w:hint="default" w:eastAsia="宋体"/>
                <w:color w:val="auto"/>
                <w:sz w:val="21"/>
                <w:szCs w:val="21"/>
                <w:lang w:val="en-US" w:eastAsia="zh-CN"/>
              </w:rPr>
            </w:pPr>
            <w:r>
              <w:rPr>
                <w:rFonts w:hint="eastAsia" w:eastAsia="宋体"/>
                <w:color w:val="auto"/>
                <w:sz w:val="21"/>
                <w:szCs w:val="21"/>
                <w:lang w:val="en-US" w:eastAsia="zh-CN"/>
              </w:rPr>
              <w:t>0.03</w:t>
            </w:r>
          </w:p>
        </w:tc>
        <w:tc>
          <w:tcPr>
            <w:tcW w:w="458" w:type="pct"/>
            <w:tcBorders>
              <w:top w:val="single" w:color="000000" w:sz="4" w:space="0"/>
              <w:bottom w:val="single" w:color="000000" w:sz="4" w:space="0"/>
            </w:tcBorders>
            <w:vAlign w:val="center"/>
          </w:tcPr>
          <w:p w14:paraId="379B5F6C">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0D95AB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32F6D8C9">
            <w:pPr>
              <w:adjustRightInd w:val="0"/>
              <w:snapToGrid w:val="0"/>
              <w:jc w:val="center"/>
              <w:rPr>
                <w:color w:val="auto"/>
                <w:sz w:val="21"/>
                <w:szCs w:val="21"/>
              </w:rPr>
            </w:pPr>
          </w:p>
        </w:tc>
        <w:tc>
          <w:tcPr>
            <w:tcW w:w="180" w:type="pct"/>
            <w:vMerge w:val="continue"/>
            <w:vAlign w:val="center"/>
          </w:tcPr>
          <w:p w14:paraId="42AAB6D2">
            <w:pPr>
              <w:adjustRightInd w:val="0"/>
              <w:snapToGrid w:val="0"/>
              <w:jc w:val="center"/>
              <w:rPr>
                <w:color w:val="auto"/>
                <w:sz w:val="21"/>
                <w:szCs w:val="21"/>
              </w:rPr>
            </w:pPr>
          </w:p>
        </w:tc>
        <w:tc>
          <w:tcPr>
            <w:tcW w:w="454" w:type="pct"/>
            <w:vMerge w:val="restart"/>
            <w:tcBorders>
              <w:top w:val="single" w:color="000000" w:sz="4" w:space="0"/>
            </w:tcBorders>
            <w:vAlign w:val="center"/>
          </w:tcPr>
          <w:p w14:paraId="21DD2A79">
            <w:pPr>
              <w:pStyle w:val="20"/>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lang w:val="en-US" w:eastAsia="zh-CN"/>
              </w:rPr>
              <w:t>导热油炉废气</w:t>
            </w:r>
          </w:p>
        </w:tc>
        <w:tc>
          <w:tcPr>
            <w:tcW w:w="512" w:type="pct"/>
            <w:tcBorders>
              <w:top w:val="single" w:color="000000" w:sz="4" w:space="0"/>
              <w:bottom w:val="single" w:color="000000" w:sz="4" w:space="0"/>
            </w:tcBorders>
            <w:shd w:val="clear" w:color="auto" w:fill="auto"/>
            <w:vAlign w:val="center"/>
          </w:tcPr>
          <w:p w14:paraId="23A36387">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颗粒物</w:t>
            </w:r>
          </w:p>
        </w:tc>
        <w:tc>
          <w:tcPr>
            <w:tcW w:w="799" w:type="pct"/>
            <w:vMerge w:val="restart"/>
            <w:tcBorders>
              <w:top w:val="single" w:color="000000" w:sz="4" w:space="0"/>
            </w:tcBorders>
            <w:vAlign w:val="center"/>
          </w:tcPr>
          <w:p w14:paraId="4DD82C82">
            <w:pPr>
              <w:widowControl/>
              <w:adjustRightInd w:val="0"/>
              <w:snapToGrid w:val="0"/>
              <w:jc w:val="center"/>
              <w:rPr>
                <w:color w:val="auto"/>
                <w:sz w:val="21"/>
                <w:szCs w:val="21"/>
              </w:rPr>
            </w:pPr>
            <w:r>
              <w:rPr>
                <w:rFonts w:hint="eastAsia" w:ascii="Times New Roman" w:hAnsi="Times New Roman" w:eastAsia="宋体" w:cs="Times New Roman"/>
                <w:kern w:val="0"/>
                <w:sz w:val="21"/>
                <w:szCs w:val="21"/>
                <w:lang w:val="en-US" w:eastAsia="zh-CN" w:bidi="ar"/>
              </w:rPr>
              <w:t>低氮燃烧+SNCR+</w:t>
            </w:r>
            <w:r>
              <w:rPr>
                <w:rFonts w:hint="eastAsia" w:cs="Times New Roman"/>
                <w:kern w:val="0"/>
                <w:sz w:val="21"/>
                <w:szCs w:val="21"/>
                <w:lang w:val="en-US" w:eastAsia="zh-CN" w:bidi="ar"/>
              </w:rPr>
              <w:t>石灰喷雾干燥+</w:t>
            </w:r>
            <w:r>
              <w:rPr>
                <w:rFonts w:hint="eastAsia" w:ascii="Times New Roman" w:hAnsi="Times New Roman" w:eastAsia="宋体" w:cs="Times New Roman"/>
                <w:kern w:val="0"/>
                <w:sz w:val="21"/>
                <w:szCs w:val="21"/>
                <w:lang w:val="en-US" w:eastAsia="zh-CN" w:bidi="ar"/>
              </w:rPr>
              <w:t>余热回收+旋风除尘+布袋除尘+水幕除尘</w:t>
            </w:r>
          </w:p>
        </w:tc>
        <w:tc>
          <w:tcPr>
            <w:tcW w:w="1307" w:type="dxa"/>
            <w:tcBorders>
              <w:top w:val="single" w:color="000000" w:sz="4" w:space="0"/>
              <w:bottom w:val="single" w:color="000000" w:sz="4" w:space="0"/>
            </w:tcBorders>
            <w:vAlign w:val="center"/>
          </w:tcPr>
          <w:p w14:paraId="55EF8007">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0.143</w:t>
            </w:r>
          </w:p>
        </w:tc>
        <w:tc>
          <w:tcPr>
            <w:tcW w:w="1332" w:type="dxa"/>
            <w:tcBorders>
              <w:top w:val="single" w:color="000000" w:sz="4" w:space="0"/>
              <w:bottom w:val="single" w:color="000000" w:sz="4" w:space="0"/>
            </w:tcBorders>
            <w:vAlign w:val="center"/>
          </w:tcPr>
          <w:p w14:paraId="6716E3D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w:t>
            </w:r>
          </w:p>
        </w:tc>
        <w:tc>
          <w:tcPr>
            <w:tcW w:w="1602" w:type="dxa"/>
            <w:tcBorders>
              <w:top w:val="single" w:color="000000" w:sz="4" w:space="0"/>
              <w:bottom w:val="single" w:color="000000" w:sz="4" w:space="0"/>
            </w:tcBorders>
            <w:vAlign w:val="center"/>
          </w:tcPr>
          <w:p w14:paraId="2004833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0.007</w:t>
            </w:r>
          </w:p>
        </w:tc>
        <w:tc>
          <w:tcPr>
            <w:tcW w:w="439" w:type="pct"/>
            <w:vMerge w:val="restart"/>
            <w:vAlign w:val="center"/>
          </w:tcPr>
          <w:p w14:paraId="43D47AE7">
            <w:pPr>
              <w:widowControl/>
              <w:adjustRightInd w:val="0"/>
              <w:snapToGrid w:val="0"/>
              <w:jc w:val="center"/>
              <w:rPr>
                <w:color w:val="auto"/>
                <w:kern w:val="0"/>
                <w:sz w:val="21"/>
                <w:szCs w:val="21"/>
              </w:rPr>
            </w:pPr>
            <w:r>
              <w:rPr>
                <w:color w:val="auto"/>
                <w:kern w:val="0"/>
                <w:sz w:val="21"/>
                <w:szCs w:val="21"/>
              </w:rPr>
              <w:t>连续</w:t>
            </w:r>
          </w:p>
        </w:tc>
        <w:tc>
          <w:tcPr>
            <w:tcW w:w="530" w:type="pct"/>
            <w:tcBorders>
              <w:top w:val="single" w:color="000000" w:sz="4" w:space="0"/>
              <w:bottom w:val="single" w:color="000000" w:sz="4" w:space="0"/>
            </w:tcBorders>
            <w:shd w:val="clear" w:color="auto" w:fill="auto"/>
            <w:vAlign w:val="center"/>
          </w:tcPr>
          <w:p w14:paraId="2822973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10</w:t>
            </w:r>
          </w:p>
        </w:tc>
        <w:tc>
          <w:tcPr>
            <w:tcW w:w="458" w:type="pct"/>
            <w:tcBorders>
              <w:top w:val="single" w:color="000000" w:sz="4" w:space="0"/>
              <w:bottom w:val="single" w:color="000000" w:sz="4" w:space="0"/>
            </w:tcBorders>
            <w:shd w:val="clear" w:color="auto" w:fill="auto"/>
            <w:vAlign w:val="center"/>
          </w:tcPr>
          <w:p w14:paraId="3C41307D">
            <w:pPr>
              <w:pStyle w:val="2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w:t>
            </w:r>
          </w:p>
        </w:tc>
      </w:tr>
      <w:tr w14:paraId="685201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4B0C3788">
            <w:pPr>
              <w:adjustRightInd w:val="0"/>
              <w:snapToGrid w:val="0"/>
              <w:jc w:val="center"/>
              <w:rPr>
                <w:color w:val="auto"/>
                <w:sz w:val="21"/>
                <w:szCs w:val="21"/>
              </w:rPr>
            </w:pPr>
          </w:p>
        </w:tc>
        <w:tc>
          <w:tcPr>
            <w:tcW w:w="180" w:type="pct"/>
            <w:vMerge w:val="continue"/>
            <w:vAlign w:val="center"/>
          </w:tcPr>
          <w:p w14:paraId="15967526">
            <w:pPr>
              <w:adjustRightInd w:val="0"/>
              <w:snapToGrid w:val="0"/>
              <w:jc w:val="center"/>
              <w:rPr>
                <w:color w:val="auto"/>
                <w:sz w:val="21"/>
                <w:szCs w:val="21"/>
              </w:rPr>
            </w:pPr>
          </w:p>
        </w:tc>
        <w:tc>
          <w:tcPr>
            <w:tcW w:w="454" w:type="pct"/>
            <w:vMerge w:val="continue"/>
            <w:vAlign w:val="center"/>
          </w:tcPr>
          <w:p w14:paraId="6E169C87">
            <w:pPr>
              <w:pStyle w:val="20"/>
              <w:adjustRightInd w:val="0"/>
              <w:snapToGrid w:val="0"/>
              <w:spacing w:line="240" w:lineRule="auto"/>
              <w:ind w:firstLine="0" w:firstLineChars="0"/>
              <w:jc w:val="center"/>
              <w:rPr>
                <w:rFonts w:ascii="Times New Roman" w:hAnsi="Times New Roman"/>
                <w:color w:val="auto"/>
                <w:sz w:val="21"/>
                <w:szCs w:val="21"/>
              </w:rPr>
            </w:pPr>
          </w:p>
        </w:tc>
        <w:tc>
          <w:tcPr>
            <w:tcW w:w="512" w:type="pct"/>
            <w:tcBorders>
              <w:top w:val="single" w:color="000000" w:sz="4" w:space="0"/>
              <w:bottom w:val="single" w:color="000000" w:sz="4" w:space="0"/>
            </w:tcBorders>
            <w:shd w:val="clear" w:color="auto" w:fill="auto"/>
            <w:vAlign w:val="center"/>
          </w:tcPr>
          <w:p w14:paraId="7FF8F716">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799" w:type="pct"/>
            <w:vMerge w:val="continue"/>
            <w:vAlign w:val="center"/>
          </w:tcPr>
          <w:p w14:paraId="3F5818FB">
            <w:pPr>
              <w:widowControl/>
              <w:adjustRightInd w:val="0"/>
              <w:snapToGrid w:val="0"/>
              <w:jc w:val="center"/>
              <w:rPr>
                <w:color w:val="auto"/>
                <w:sz w:val="21"/>
                <w:szCs w:val="21"/>
              </w:rPr>
            </w:pPr>
          </w:p>
        </w:tc>
        <w:tc>
          <w:tcPr>
            <w:tcW w:w="1307" w:type="dxa"/>
            <w:tcBorders>
              <w:top w:val="single" w:color="000000" w:sz="4" w:space="0"/>
              <w:bottom w:val="single" w:color="000000" w:sz="4" w:space="0"/>
            </w:tcBorders>
            <w:vAlign w:val="center"/>
          </w:tcPr>
          <w:p w14:paraId="2D142A2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14.14</w:t>
            </w:r>
          </w:p>
        </w:tc>
        <w:tc>
          <w:tcPr>
            <w:tcW w:w="1332" w:type="dxa"/>
            <w:tcBorders>
              <w:top w:val="single" w:color="000000" w:sz="4" w:space="0"/>
              <w:bottom w:val="single" w:color="000000" w:sz="4" w:space="0"/>
            </w:tcBorders>
            <w:vAlign w:val="center"/>
          </w:tcPr>
          <w:p w14:paraId="63DD25E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0.099</w:t>
            </w:r>
          </w:p>
        </w:tc>
        <w:tc>
          <w:tcPr>
            <w:tcW w:w="1602" w:type="dxa"/>
            <w:tcBorders>
              <w:top w:val="single" w:color="000000" w:sz="4" w:space="0"/>
              <w:bottom w:val="single" w:color="000000" w:sz="4" w:space="0"/>
            </w:tcBorders>
            <w:vAlign w:val="center"/>
          </w:tcPr>
          <w:p w14:paraId="0C0BCA8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0.714</w:t>
            </w:r>
          </w:p>
        </w:tc>
        <w:tc>
          <w:tcPr>
            <w:tcW w:w="439" w:type="pct"/>
            <w:vMerge w:val="continue"/>
            <w:vAlign w:val="center"/>
          </w:tcPr>
          <w:p w14:paraId="5738FD0B">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shd w:val="clear" w:color="auto" w:fill="auto"/>
            <w:vAlign w:val="center"/>
          </w:tcPr>
          <w:p w14:paraId="7C2CA49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35</w:t>
            </w:r>
          </w:p>
        </w:tc>
        <w:tc>
          <w:tcPr>
            <w:tcW w:w="458" w:type="pct"/>
            <w:tcBorders>
              <w:top w:val="single" w:color="000000" w:sz="4" w:space="0"/>
              <w:bottom w:val="single" w:color="000000" w:sz="4" w:space="0"/>
            </w:tcBorders>
            <w:shd w:val="clear" w:color="auto" w:fill="auto"/>
            <w:vAlign w:val="center"/>
          </w:tcPr>
          <w:p w14:paraId="00DEE62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1E3C07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1B1708B1">
            <w:pPr>
              <w:adjustRightInd w:val="0"/>
              <w:snapToGrid w:val="0"/>
              <w:jc w:val="center"/>
              <w:rPr>
                <w:color w:val="auto"/>
                <w:sz w:val="21"/>
                <w:szCs w:val="21"/>
              </w:rPr>
            </w:pPr>
          </w:p>
        </w:tc>
        <w:tc>
          <w:tcPr>
            <w:tcW w:w="180" w:type="pct"/>
            <w:vMerge w:val="continue"/>
            <w:vAlign w:val="center"/>
          </w:tcPr>
          <w:p w14:paraId="57EE227C">
            <w:pPr>
              <w:adjustRightInd w:val="0"/>
              <w:snapToGrid w:val="0"/>
              <w:jc w:val="center"/>
              <w:rPr>
                <w:color w:val="auto"/>
                <w:sz w:val="21"/>
                <w:szCs w:val="21"/>
              </w:rPr>
            </w:pPr>
          </w:p>
        </w:tc>
        <w:tc>
          <w:tcPr>
            <w:tcW w:w="454" w:type="pct"/>
            <w:vMerge w:val="continue"/>
            <w:vAlign w:val="center"/>
          </w:tcPr>
          <w:p w14:paraId="15C44ABC">
            <w:pPr>
              <w:pStyle w:val="20"/>
              <w:adjustRightInd w:val="0"/>
              <w:snapToGrid w:val="0"/>
              <w:spacing w:line="240" w:lineRule="auto"/>
              <w:ind w:firstLine="0" w:firstLineChars="0"/>
              <w:jc w:val="center"/>
              <w:rPr>
                <w:rFonts w:ascii="Times New Roman" w:hAnsi="Times New Roman"/>
                <w:color w:val="auto"/>
                <w:sz w:val="21"/>
                <w:szCs w:val="21"/>
              </w:rPr>
            </w:pPr>
          </w:p>
        </w:tc>
        <w:tc>
          <w:tcPr>
            <w:tcW w:w="512" w:type="pct"/>
            <w:tcBorders>
              <w:top w:val="single" w:color="000000" w:sz="4" w:space="0"/>
              <w:bottom w:val="single" w:color="000000" w:sz="4" w:space="0"/>
            </w:tcBorders>
            <w:shd w:val="clear" w:color="auto" w:fill="auto"/>
            <w:vAlign w:val="center"/>
          </w:tcPr>
          <w:p w14:paraId="4E3961DC">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NO</w:t>
            </w:r>
            <w:r>
              <w:rPr>
                <w:rFonts w:hint="eastAsia"/>
                <w:color w:val="auto"/>
                <w:sz w:val="21"/>
                <w:szCs w:val="21"/>
                <w:vertAlign w:val="subscript"/>
                <w:lang w:val="en-US" w:eastAsia="zh-CN"/>
              </w:rPr>
              <w:t>x</w:t>
            </w:r>
          </w:p>
        </w:tc>
        <w:tc>
          <w:tcPr>
            <w:tcW w:w="799" w:type="pct"/>
            <w:vMerge w:val="continue"/>
            <w:vAlign w:val="center"/>
          </w:tcPr>
          <w:p w14:paraId="6884A21C">
            <w:pPr>
              <w:widowControl/>
              <w:adjustRightInd w:val="0"/>
              <w:snapToGrid w:val="0"/>
              <w:jc w:val="center"/>
              <w:rPr>
                <w:color w:val="auto"/>
                <w:sz w:val="21"/>
                <w:szCs w:val="21"/>
              </w:rPr>
            </w:pPr>
          </w:p>
        </w:tc>
        <w:tc>
          <w:tcPr>
            <w:tcW w:w="1307" w:type="dxa"/>
            <w:tcBorders>
              <w:top w:val="single" w:color="000000" w:sz="4" w:space="0"/>
              <w:bottom w:val="single" w:color="000000" w:sz="4" w:space="0"/>
            </w:tcBorders>
            <w:vAlign w:val="center"/>
          </w:tcPr>
          <w:p w14:paraId="5FAE5F0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19.72</w:t>
            </w:r>
          </w:p>
        </w:tc>
        <w:tc>
          <w:tcPr>
            <w:tcW w:w="1332" w:type="dxa"/>
            <w:tcBorders>
              <w:top w:val="single" w:color="000000" w:sz="4" w:space="0"/>
              <w:bottom w:val="single" w:color="000000" w:sz="4" w:space="0"/>
            </w:tcBorders>
            <w:vAlign w:val="center"/>
          </w:tcPr>
          <w:p w14:paraId="2B3CF64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0.138</w:t>
            </w:r>
          </w:p>
        </w:tc>
        <w:tc>
          <w:tcPr>
            <w:tcW w:w="1602" w:type="dxa"/>
            <w:tcBorders>
              <w:top w:val="single" w:color="000000" w:sz="4" w:space="0"/>
              <w:bottom w:val="single" w:color="000000" w:sz="4" w:space="0"/>
            </w:tcBorders>
            <w:vAlign w:val="center"/>
          </w:tcPr>
          <w:p w14:paraId="660BAB1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0.994</w:t>
            </w:r>
          </w:p>
        </w:tc>
        <w:tc>
          <w:tcPr>
            <w:tcW w:w="439" w:type="pct"/>
            <w:vMerge w:val="continue"/>
            <w:vAlign w:val="center"/>
          </w:tcPr>
          <w:p w14:paraId="75F1545F">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shd w:val="clear" w:color="auto" w:fill="auto"/>
            <w:vAlign w:val="center"/>
          </w:tcPr>
          <w:p w14:paraId="2C6B026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50</w:t>
            </w:r>
          </w:p>
        </w:tc>
        <w:tc>
          <w:tcPr>
            <w:tcW w:w="458" w:type="pct"/>
            <w:tcBorders>
              <w:top w:val="single" w:color="000000" w:sz="4" w:space="0"/>
              <w:bottom w:val="single" w:color="000000" w:sz="4" w:space="0"/>
            </w:tcBorders>
            <w:shd w:val="clear" w:color="auto" w:fill="auto"/>
            <w:vAlign w:val="center"/>
          </w:tcPr>
          <w:p w14:paraId="37C351A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7C08F4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0217F009">
            <w:pPr>
              <w:adjustRightInd w:val="0"/>
              <w:snapToGrid w:val="0"/>
              <w:jc w:val="center"/>
              <w:rPr>
                <w:color w:val="auto"/>
                <w:sz w:val="21"/>
                <w:szCs w:val="21"/>
              </w:rPr>
            </w:pPr>
          </w:p>
        </w:tc>
        <w:tc>
          <w:tcPr>
            <w:tcW w:w="180" w:type="pct"/>
            <w:vMerge w:val="continue"/>
            <w:tcBorders>
              <w:bottom w:val="single" w:color="000000" w:sz="4" w:space="0"/>
            </w:tcBorders>
            <w:vAlign w:val="center"/>
          </w:tcPr>
          <w:p w14:paraId="1DA0E67F">
            <w:pPr>
              <w:adjustRightInd w:val="0"/>
              <w:snapToGrid w:val="0"/>
              <w:jc w:val="center"/>
              <w:rPr>
                <w:color w:val="auto"/>
                <w:sz w:val="21"/>
                <w:szCs w:val="21"/>
              </w:rPr>
            </w:pPr>
          </w:p>
        </w:tc>
        <w:tc>
          <w:tcPr>
            <w:tcW w:w="454" w:type="pct"/>
            <w:vMerge w:val="continue"/>
            <w:tcBorders>
              <w:bottom w:val="single" w:color="000000" w:sz="4" w:space="0"/>
            </w:tcBorders>
            <w:vAlign w:val="center"/>
          </w:tcPr>
          <w:p w14:paraId="43CE8430">
            <w:pPr>
              <w:pStyle w:val="20"/>
              <w:adjustRightInd w:val="0"/>
              <w:snapToGrid w:val="0"/>
              <w:spacing w:line="240" w:lineRule="auto"/>
              <w:ind w:firstLine="0" w:firstLineChars="0"/>
              <w:jc w:val="center"/>
              <w:rPr>
                <w:rFonts w:ascii="Times New Roman" w:hAnsi="Times New Roman"/>
                <w:color w:val="auto"/>
                <w:sz w:val="21"/>
                <w:szCs w:val="21"/>
              </w:rPr>
            </w:pPr>
          </w:p>
        </w:tc>
        <w:tc>
          <w:tcPr>
            <w:tcW w:w="512" w:type="pct"/>
            <w:tcBorders>
              <w:top w:val="single" w:color="000000" w:sz="4" w:space="0"/>
              <w:bottom w:val="single" w:color="000000" w:sz="4" w:space="0"/>
            </w:tcBorders>
            <w:shd w:val="clear" w:color="auto" w:fill="auto"/>
            <w:vAlign w:val="center"/>
          </w:tcPr>
          <w:p w14:paraId="2EA27CC1">
            <w:pPr>
              <w:pStyle w:val="105"/>
              <w:spacing w:line="240" w:lineRule="exact"/>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汞及其化合物</w:t>
            </w:r>
          </w:p>
        </w:tc>
        <w:tc>
          <w:tcPr>
            <w:tcW w:w="799" w:type="pct"/>
            <w:vMerge w:val="continue"/>
            <w:tcBorders>
              <w:bottom w:val="single" w:color="000000" w:sz="4" w:space="0"/>
            </w:tcBorders>
            <w:vAlign w:val="center"/>
          </w:tcPr>
          <w:p w14:paraId="593CA2B4">
            <w:pPr>
              <w:widowControl/>
              <w:adjustRightInd w:val="0"/>
              <w:snapToGrid w:val="0"/>
              <w:jc w:val="center"/>
              <w:rPr>
                <w:color w:val="auto"/>
                <w:sz w:val="21"/>
                <w:szCs w:val="21"/>
              </w:rPr>
            </w:pPr>
          </w:p>
        </w:tc>
        <w:tc>
          <w:tcPr>
            <w:tcW w:w="1307" w:type="dxa"/>
            <w:tcBorders>
              <w:top w:val="single" w:color="000000" w:sz="4" w:space="0"/>
              <w:bottom w:val="single" w:color="000000" w:sz="4" w:space="0"/>
            </w:tcBorders>
            <w:vAlign w:val="center"/>
          </w:tcPr>
          <w:p w14:paraId="5F25275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0.016</w:t>
            </w:r>
          </w:p>
        </w:tc>
        <w:tc>
          <w:tcPr>
            <w:tcW w:w="1332" w:type="dxa"/>
            <w:tcBorders>
              <w:top w:val="single" w:color="000000" w:sz="4" w:space="0"/>
              <w:bottom w:val="single" w:color="000000" w:sz="4" w:space="0"/>
            </w:tcBorders>
            <w:vAlign w:val="center"/>
          </w:tcPr>
          <w:p w14:paraId="4C822CC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0.00011</w:t>
            </w:r>
          </w:p>
        </w:tc>
        <w:tc>
          <w:tcPr>
            <w:tcW w:w="1602" w:type="dxa"/>
            <w:tcBorders>
              <w:top w:val="single" w:color="000000" w:sz="4" w:space="0"/>
              <w:bottom w:val="single" w:color="000000" w:sz="4" w:space="0"/>
            </w:tcBorders>
            <w:vAlign w:val="center"/>
          </w:tcPr>
          <w:p w14:paraId="6CE0889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0.806kg</w:t>
            </w:r>
          </w:p>
        </w:tc>
        <w:tc>
          <w:tcPr>
            <w:tcW w:w="439" w:type="pct"/>
            <w:vMerge w:val="continue"/>
            <w:tcBorders>
              <w:bottom w:val="single" w:color="000000" w:sz="4" w:space="0"/>
            </w:tcBorders>
            <w:vAlign w:val="center"/>
          </w:tcPr>
          <w:p w14:paraId="5A95CA4E">
            <w:pPr>
              <w:widowControl/>
              <w:adjustRightInd w:val="0"/>
              <w:snapToGrid w:val="0"/>
              <w:jc w:val="center"/>
              <w:rPr>
                <w:color w:val="auto"/>
                <w:kern w:val="0"/>
                <w:sz w:val="21"/>
                <w:szCs w:val="21"/>
              </w:rPr>
            </w:pPr>
          </w:p>
        </w:tc>
        <w:tc>
          <w:tcPr>
            <w:tcW w:w="530" w:type="pct"/>
            <w:tcBorders>
              <w:top w:val="single" w:color="000000" w:sz="4" w:space="0"/>
              <w:bottom w:val="single" w:color="000000" w:sz="4" w:space="0"/>
            </w:tcBorders>
            <w:shd w:val="clear" w:color="auto" w:fill="auto"/>
            <w:vAlign w:val="center"/>
          </w:tcPr>
          <w:p w14:paraId="32CD47B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 w:val="21"/>
                <w:szCs w:val="21"/>
                <w:lang w:val="en-US" w:eastAsia="zh-CN"/>
              </w:rPr>
              <w:t>0.03</w:t>
            </w:r>
          </w:p>
        </w:tc>
        <w:tc>
          <w:tcPr>
            <w:tcW w:w="458" w:type="pct"/>
            <w:tcBorders>
              <w:top w:val="single" w:color="000000" w:sz="4" w:space="0"/>
              <w:bottom w:val="single" w:color="000000" w:sz="4" w:space="0"/>
            </w:tcBorders>
            <w:shd w:val="clear" w:color="auto" w:fill="auto"/>
            <w:vAlign w:val="center"/>
          </w:tcPr>
          <w:p w14:paraId="6A4A181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35082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vAlign w:val="center"/>
          </w:tcPr>
          <w:p w14:paraId="42363DE1">
            <w:pPr>
              <w:adjustRightInd w:val="0"/>
              <w:snapToGrid w:val="0"/>
              <w:jc w:val="center"/>
              <w:rPr>
                <w:color w:val="auto"/>
                <w:sz w:val="21"/>
                <w:szCs w:val="21"/>
              </w:rPr>
            </w:pPr>
          </w:p>
        </w:tc>
        <w:tc>
          <w:tcPr>
            <w:tcW w:w="180" w:type="pct"/>
            <w:vMerge w:val="restart"/>
            <w:tcBorders>
              <w:top w:val="single" w:color="000000" w:sz="4" w:space="0"/>
              <w:bottom w:val="single" w:color="000000" w:sz="4" w:space="0"/>
            </w:tcBorders>
            <w:vAlign w:val="center"/>
          </w:tcPr>
          <w:p w14:paraId="66346E7E">
            <w:pPr>
              <w:adjustRightInd w:val="0"/>
              <w:snapToGrid w:val="0"/>
              <w:jc w:val="center"/>
              <w:rPr>
                <w:color w:val="auto"/>
                <w:sz w:val="21"/>
                <w:szCs w:val="21"/>
              </w:rPr>
            </w:pPr>
            <w:r>
              <w:rPr>
                <w:color w:val="auto"/>
                <w:sz w:val="21"/>
                <w:szCs w:val="21"/>
              </w:rPr>
              <w:t>无组织</w:t>
            </w:r>
          </w:p>
        </w:tc>
        <w:tc>
          <w:tcPr>
            <w:tcW w:w="454" w:type="pct"/>
            <w:vMerge w:val="restart"/>
            <w:tcBorders>
              <w:top w:val="single" w:color="000000" w:sz="4" w:space="0"/>
              <w:bottom w:val="single" w:color="000000" w:sz="4" w:space="0"/>
            </w:tcBorders>
            <w:vAlign w:val="center"/>
          </w:tcPr>
          <w:p w14:paraId="5FA33B6D">
            <w:pPr>
              <w:pStyle w:val="11"/>
              <w:widowControl/>
              <w:adjustRightInd w:val="0"/>
              <w:snapToGrid w:val="0"/>
              <w:ind w:firstLine="0" w:firstLineChars="0"/>
              <w:jc w:val="center"/>
              <w:rPr>
                <w:color w:val="auto"/>
                <w:sz w:val="21"/>
                <w:szCs w:val="21"/>
              </w:rPr>
            </w:pPr>
            <w:r>
              <w:rPr>
                <w:rFonts w:hint="eastAsia"/>
                <w:color w:val="auto"/>
                <w:sz w:val="21"/>
                <w:szCs w:val="21"/>
                <w:lang w:val="en-US" w:eastAsia="zh-CN"/>
              </w:rPr>
              <w:t>生产</w:t>
            </w:r>
            <w:r>
              <w:rPr>
                <w:rFonts w:hint="eastAsia"/>
                <w:color w:val="auto"/>
                <w:sz w:val="21"/>
                <w:szCs w:val="21"/>
              </w:rPr>
              <w:t>车间</w:t>
            </w:r>
          </w:p>
        </w:tc>
        <w:tc>
          <w:tcPr>
            <w:tcW w:w="512" w:type="pct"/>
            <w:tcBorders>
              <w:top w:val="single" w:color="000000" w:sz="4" w:space="0"/>
              <w:bottom w:val="single" w:color="000000" w:sz="4" w:space="0"/>
            </w:tcBorders>
            <w:vAlign w:val="center"/>
          </w:tcPr>
          <w:p w14:paraId="14774357">
            <w:pPr>
              <w:pStyle w:val="105"/>
              <w:spacing w:line="240" w:lineRule="exact"/>
              <w:rPr>
                <w:bCs/>
                <w:color w:val="auto"/>
                <w:sz w:val="21"/>
                <w:szCs w:val="21"/>
              </w:rPr>
            </w:pPr>
            <w:r>
              <w:rPr>
                <w:bCs/>
                <w:color w:val="auto"/>
                <w:sz w:val="21"/>
                <w:szCs w:val="21"/>
              </w:rPr>
              <w:t>非甲烷总烃</w:t>
            </w:r>
          </w:p>
        </w:tc>
        <w:tc>
          <w:tcPr>
            <w:tcW w:w="799" w:type="pct"/>
            <w:vMerge w:val="restart"/>
            <w:tcBorders>
              <w:top w:val="single" w:color="000000" w:sz="4" w:space="0"/>
              <w:bottom w:val="single" w:color="000000" w:sz="4" w:space="0"/>
            </w:tcBorders>
            <w:vAlign w:val="center"/>
          </w:tcPr>
          <w:p w14:paraId="0DCEE23A">
            <w:pPr>
              <w:adjustRightInd w:val="0"/>
              <w:snapToGrid w:val="0"/>
              <w:jc w:val="center"/>
              <w:rPr>
                <w:color w:val="auto"/>
                <w:sz w:val="21"/>
                <w:szCs w:val="21"/>
              </w:rPr>
            </w:pPr>
            <w:r>
              <w:rPr>
                <w:rFonts w:hint="eastAsia"/>
                <w:color w:val="auto"/>
                <w:sz w:val="21"/>
                <w:szCs w:val="21"/>
              </w:rPr>
              <w:t>车间通风</w:t>
            </w:r>
          </w:p>
        </w:tc>
        <w:tc>
          <w:tcPr>
            <w:tcW w:w="468" w:type="pct"/>
            <w:tcBorders>
              <w:top w:val="single" w:color="000000" w:sz="4" w:space="0"/>
              <w:bottom w:val="single" w:color="000000" w:sz="4" w:space="0"/>
            </w:tcBorders>
            <w:vAlign w:val="center"/>
          </w:tcPr>
          <w:p w14:paraId="34250F2B">
            <w:pPr>
              <w:pStyle w:val="50"/>
              <w:spacing w:line="240" w:lineRule="exact"/>
              <w:ind w:firstLine="0"/>
              <w:jc w:val="center"/>
              <w:rPr>
                <w:rFonts w:cs="Times New Roman"/>
                <w:color w:val="auto"/>
                <w:sz w:val="21"/>
                <w:szCs w:val="21"/>
              </w:rPr>
            </w:pPr>
            <w:r>
              <w:rPr>
                <w:rFonts w:hint="eastAsia" w:cs="Times New Roman"/>
                <w:color w:val="auto"/>
                <w:sz w:val="21"/>
                <w:szCs w:val="21"/>
              </w:rPr>
              <w:t>/</w:t>
            </w:r>
          </w:p>
        </w:tc>
        <w:tc>
          <w:tcPr>
            <w:tcW w:w="477" w:type="pct"/>
            <w:tcBorders>
              <w:top w:val="single" w:color="000000" w:sz="4" w:space="0"/>
              <w:bottom w:val="single" w:color="000000" w:sz="4" w:space="0"/>
            </w:tcBorders>
            <w:vAlign w:val="center"/>
          </w:tcPr>
          <w:p w14:paraId="5AEA29CA">
            <w:pPr>
              <w:pStyle w:val="105"/>
              <w:kinsoku w:val="0"/>
              <w:overflowPunct w:val="0"/>
              <w:adjustRightInd w:val="0"/>
              <w:snapToGrid w:val="0"/>
              <w:spacing w:before="24" w:after="24"/>
              <w:rPr>
                <w:rFonts w:hint="default" w:eastAsia="宋体"/>
                <w:color w:val="auto"/>
                <w:sz w:val="21"/>
                <w:szCs w:val="21"/>
                <w:lang w:val="en-US" w:eastAsia="zh-CN"/>
              </w:rPr>
            </w:pPr>
            <w:r>
              <w:rPr>
                <w:rFonts w:hint="eastAsia"/>
                <w:color w:val="auto"/>
                <w:sz w:val="21"/>
                <w:szCs w:val="21"/>
                <w:lang w:val="en-US" w:eastAsia="zh-CN"/>
              </w:rPr>
              <w:t>0.011</w:t>
            </w:r>
          </w:p>
        </w:tc>
        <w:tc>
          <w:tcPr>
            <w:tcW w:w="574" w:type="pct"/>
            <w:tcBorders>
              <w:top w:val="single" w:color="000000" w:sz="4" w:space="0"/>
              <w:bottom w:val="single" w:color="000000" w:sz="4" w:space="0"/>
            </w:tcBorders>
            <w:vAlign w:val="center"/>
          </w:tcPr>
          <w:p w14:paraId="3CC66DA7">
            <w:pPr>
              <w:kinsoku w:val="0"/>
              <w:overflowPunct w:val="0"/>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0.081</w:t>
            </w:r>
          </w:p>
        </w:tc>
        <w:tc>
          <w:tcPr>
            <w:tcW w:w="439" w:type="pct"/>
            <w:vMerge w:val="restart"/>
            <w:tcBorders>
              <w:top w:val="single" w:color="000000" w:sz="4" w:space="0"/>
              <w:bottom w:val="single" w:color="000000" w:sz="4" w:space="0"/>
            </w:tcBorders>
            <w:vAlign w:val="center"/>
          </w:tcPr>
          <w:p w14:paraId="44A42B2A">
            <w:pPr>
              <w:widowControl/>
              <w:adjustRightInd w:val="0"/>
              <w:snapToGrid w:val="0"/>
              <w:jc w:val="center"/>
              <w:rPr>
                <w:color w:val="auto"/>
                <w:sz w:val="21"/>
                <w:szCs w:val="21"/>
              </w:rPr>
            </w:pPr>
            <w:r>
              <w:rPr>
                <w:color w:val="auto"/>
                <w:sz w:val="21"/>
                <w:szCs w:val="21"/>
              </w:rPr>
              <w:t>连续</w:t>
            </w:r>
          </w:p>
        </w:tc>
        <w:tc>
          <w:tcPr>
            <w:tcW w:w="530" w:type="pct"/>
            <w:tcBorders>
              <w:top w:val="single" w:color="000000" w:sz="4" w:space="0"/>
              <w:bottom w:val="single" w:color="000000" w:sz="4" w:space="0"/>
            </w:tcBorders>
            <w:vAlign w:val="center"/>
          </w:tcPr>
          <w:p w14:paraId="783C31C3">
            <w:pPr>
              <w:kinsoku w:val="0"/>
              <w:overflowPunct w:val="0"/>
              <w:adjustRightInd w:val="0"/>
              <w:snapToGrid w:val="0"/>
              <w:spacing w:before="24" w:after="24"/>
              <w:jc w:val="center"/>
              <w:rPr>
                <w:color w:val="auto"/>
                <w:sz w:val="21"/>
                <w:szCs w:val="21"/>
              </w:rPr>
            </w:pPr>
            <w:r>
              <w:rPr>
                <w:rFonts w:hint="eastAsia"/>
                <w:color w:val="auto"/>
                <w:sz w:val="21"/>
                <w:szCs w:val="21"/>
              </w:rPr>
              <w:t>4</w:t>
            </w:r>
          </w:p>
        </w:tc>
        <w:tc>
          <w:tcPr>
            <w:tcW w:w="458" w:type="pct"/>
            <w:tcBorders>
              <w:top w:val="single" w:color="000000" w:sz="4" w:space="0"/>
              <w:bottom w:val="single" w:color="000000" w:sz="4" w:space="0"/>
            </w:tcBorders>
            <w:vAlign w:val="center"/>
          </w:tcPr>
          <w:p w14:paraId="6BBDA175">
            <w:pPr>
              <w:adjustRightInd w:val="0"/>
              <w:snapToGrid w:val="0"/>
              <w:jc w:val="center"/>
              <w:rPr>
                <w:color w:val="auto"/>
                <w:sz w:val="21"/>
                <w:szCs w:val="21"/>
              </w:rPr>
            </w:pPr>
            <w:r>
              <w:rPr>
                <w:color w:val="auto"/>
                <w:sz w:val="21"/>
                <w:szCs w:val="21"/>
              </w:rPr>
              <w:t>/</w:t>
            </w:r>
          </w:p>
        </w:tc>
      </w:tr>
      <w:tr w14:paraId="35876E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5" w:type="pct"/>
            <w:vMerge w:val="continue"/>
            <w:tcBorders>
              <w:bottom w:val="single" w:color="000000" w:sz="12" w:space="0"/>
            </w:tcBorders>
            <w:vAlign w:val="center"/>
          </w:tcPr>
          <w:p w14:paraId="15164D6E">
            <w:pPr>
              <w:adjustRightInd w:val="0"/>
              <w:snapToGrid w:val="0"/>
              <w:jc w:val="center"/>
              <w:rPr>
                <w:color w:val="auto"/>
                <w:sz w:val="21"/>
                <w:szCs w:val="21"/>
              </w:rPr>
            </w:pPr>
          </w:p>
        </w:tc>
        <w:tc>
          <w:tcPr>
            <w:tcW w:w="180" w:type="pct"/>
            <w:vMerge w:val="continue"/>
            <w:tcBorders>
              <w:top w:val="single" w:color="000000" w:sz="4" w:space="0"/>
              <w:bottom w:val="single" w:color="000000" w:sz="12" w:space="0"/>
            </w:tcBorders>
            <w:vAlign w:val="center"/>
          </w:tcPr>
          <w:p w14:paraId="1FB86A98">
            <w:pPr>
              <w:adjustRightInd w:val="0"/>
              <w:snapToGrid w:val="0"/>
              <w:jc w:val="center"/>
              <w:rPr>
                <w:color w:val="auto"/>
                <w:sz w:val="21"/>
                <w:szCs w:val="21"/>
              </w:rPr>
            </w:pPr>
          </w:p>
        </w:tc>
        <w:tc>
          <w:tcPr>
            <w:tcW w:w="454" w:type="pct"/>
            <w:vMerge w:val="continue"/>
            <w:tcBorders>
              <w:top w:val="single" w:color="000000" w:sz="4" w:space="0"/>
              <w:bottom w:val="single" w:color="000000" w:sz="12" w:space="0"/>
            </w:tcBorders>
            <w:vAlign w:val="center"/>
          </w:tcPr>
          <w:p w14:paraId="03EE13F7">
            <w:pPr>
              <w:pStyle w:val="11"/>
              <w:widowControl/>
              <w:adjustRightInd w:val="0"/>
              <w:snapToGrid w:val="0"/>
              <w:ind w:firstLine="0" w:firstLineChars="0"/>
              <w:jc w:val="center"/>
              <w:rPr>
                <w:color w:val="auto"/>
                <w:sz w:val="21"/>
                <w:szCs w:val="21"/>
              </w:rPr>
            </w:pPr>
          </w:p>
        </w:tc>
        <w:tc>
          <w:tcPr>
            <w:tcW w:w="0" w:type="auto"/>
            <w:tcBorders>
              <w:top w:val="single" w:color="000000" w:sz="4" w:space="0"/>
              <w:bottom w:val="single" w:color="000000" w:sz="12" w:space="0"/>
            </w:tcBorders>
            <w:vAlign w:val="center"/>
          </w:tcPr>
          <w:p w14:paraId="2E9DCB1A">
            <w:pPr>
              <w:pStyle w:val="105"/>
              <w:spacing w:line="240" w:lineRule="exact"/>
              <w:rPr>
                <w:bCs/>
                <w:color w:val="auto"/>
                <w:sz w:val="21"/>
                <w:szCs w:val="21"/>
              </w:rPr>
            </w:pPr>
            <w:r>
              <w:rPr>
                <w:bCs/>
                <w:color w:val="auto"/>
                <w:sz w:val="21"/>
                <w:szCs w:val="21"/>
              </w:rPr>
              <w:t>颗粒物</w:t>
            </w:r>
          </w:p>
        </w:tc>
        <w:tc>
          <w:tcPr>
            <w:tcW w:w="799" w:type="pct"/>
            <w:vMerge w:val="continue"/>
            <w:tcBorders>
              <w:top w:val="single" w:color="000000" w:sz="4" w:space="0"/>
              <w:bottom w:val="single" w:color="000000" w:sz="12" w:space="0"/>
            </w:tcBorders>
            <w:vAlign w:val="center"/>
          </w:tcPr>
          <w:p w14:paraId="62BF1681">
            <w:pPr>
              <w:adjustRightInd w:val="0"/>
              <w:snapToGrid w:val="0"/>
              <w:jc w:val="center"/>
              <w:rPr>
                <w:color w:val="auto"/>
                <w:sz w:val="21"/>
                <w:szCs w:val="21"/>
              </w:rPr>
            </w:pPr>
          </w:p>
        </w:tc>
        <w:tc>
          <w:tcPr>
            <w:tcW w:w="0" w:type="auto"/>
            <w:tcBorders>
              <w:top w:val="single" w:color="000000" w:sz="4" w:space="0"/>
              <w:bottom w:val="single" w:color="000000" w:sz="12" w:space="0"/>
            </w:tcBorders>
            <w:vAlign w:val="center"/>
          </w:tcPr>
          <w:p w14:paraId="142DE224">
            <w:pPr>
              <w:spacing w:line="240" w:lineRule="exact"/>
              <w:ind w:firstLine="0"/>
              <w:jc w:val="center"/>
              <w:rPr>
                <w:rFonts w:cs="Times New Roman"/>
                <w:color w:val="auto"/>
                <w:sz w:val="21"/>
                <w:szCs w:val="21"/>
              </w:rPr>
            </w:pPr>
            <w:r>
              <w:rPr>
                <w:rFonts w:hint="eastAsia" w:cs="Times New Roman"/>
                <w:color w:val="auto"/>
                <w:sz w:val="21"/>
                <w:szCs w:val="21"/>
              </w:rPr>
              <w:t>/</w:t>
            </w:r>
          </w:p>
        </w:tc>
        <w:tc>
          <w:tcPr>
            <w:tcW w:w="0" w:type="auto"/>
            <w:tcBorders>
              <w:top w:val="single" w:color="000000" w:sz="4" w:space="0"/>
              <w:bottom w:val="single" w:color="000000" w:sz="12" w:space="0"/>
            </w:tcBorders>
            <w:vAlign w:val="center"/>
          </w:tcPr>
          <w:p w14:paraId="3E4FC91B">
            <w:pPr>
              <w:pStyle w:val="105"/>
              <w:kinsoku w:val="0"/>
              <w:overflowPunct w:val="0"/>
              <w:adjustRightInd w:val="0"/>
              <w:snapToGrid w:val="0"/>
              <w:spacing w:before="24" w:after="24"/>
              <w:rPr>
                <w:color w:val="auto"/>
                <w:sz w:val="21"/>
                <w:szCs w:val="21"/>
              </w:rPr>
            </w:pPr>
            <w:r>
              <w:rPr>
                <w:rFonts w:hint="eastAsia"/>
                <w:color w:val="auto"/>
                <w:sz w:val="21"/>
                <w:szCs w:val="21"/>
                <w:lang w:val="en-US" w:eastAsia="zh-CN"/>
              </w:rPr>
              <w:t>0.0113</w:t>
            </w:r>
          </w:p>
        </w:tc>
        <w:tc>
          <w:tcPr>
            <w:tcW w:w="0" w:type="auto"/>
            <w:tcBorders>
              <w:top w:val="single" w:color="000000" w:sz="4" w:space="0"/>
              <w:bottom w:val="single" w:color="000000" w:sz="12" w:space="0"/>
            </w:tcBorders>
            <w:vAlign w:val="center"/>
          </w:tcPr>
          <w:p w14:paraId="128020A8">
            <w:pPr>
              <w:kinsoku w:val="0"/>
              <w:overflowPunct w:val="0"/>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0.0795</w:t>
            </w:r>
          </w:p>
        </w:tc>
        <w:tc>
          <w:tcPr>
            <w:tcW w:w="439" w:type="pct"/>
            <w:vMerge w:val="continue"/>
            <w:tcBorders>
              <w:top w:val="single" w:color="000000" w:sz="4" w:space="0"/>
              <w:bottom w:val="single" w:color="000000" w:sz="12" w:space="0"/>
            </w:tcBorders>
            <w:vAlign w:val="center"/>
          </w:tcPr>
          <w:p w14:paraId="3B70A895">
            <w:pPr>
              <w:widowControl/>
              <w:adjustRightInd w:val="0"/>
              <w:snapToGrid w:val="0"/>
              <w:jc w:val="center"/>
              <w:rPr>
                <w:color w:val="auto"/>
                <w:sz w:val="21"/>
                <w:szCs w:val="21"/>
              </w:rPr>
            </w:pPr>
          </w:p>
        </w:tc>
        <w:tc>
          <w:tcPr>
            <w:tcW w:w="0" w:type="auto"/>
            <w:tcBorders>
              <w:top w:val="single" w:color="000000" w:sz="4" w:space="0"/>
              <w:bottom w:val="single" w:color="000000" w:sz="12" w:space="0"/>
            </w:tcBorders>
            <w:vAlign w:val="center"/>
          </w:tcPr>
          <w:p w14:paraId="6E23A761">
            <w:pPr>
              <w:kinsoku w:val="0"/>
              <w:overflowPunct w:val="0"/>
              <w:adjustRightInd w:val="0"/>
              <w:snapToGrid w:val="0"/>
              <w:jc w:val="center"/>
              <w:rPr>
                <w:color w:val="auto"/>
                <w:sz w:val="21"/>
                <w:szCs w:val="21"/>
              </w:rPr>
            </w:pPr>
            <w:r>
              <w:rPr>
                <w:rFonts w:hint="eastAsia"/>
                <w:color w:val="auto"/>
                <w:sz w:val="21"/>
                <w:szCs w:val="21"/>
              </w:rPr>
              <w:t>0.5</w:t>
            </w:r>
          </w:p>
        </w:tc>
        <w:tc>
          <w:tcPr>
            <w:tcW w:w="0" w:type="auto"/>
            <w:tcBorders>
              <w:top w:val="single" w:color="000000" w:sz="4" w:space="0"/>
              <w:bottom w:val="single" w:color="000000" w:sz="12" w:space="0"/>
            </w:tcBorders>
            <w:vAlign w:val="center"/>
          </w:tcPr>
          <w:p w14:paraId="78512707">
            <w:pPr>
              <w:adjustRightInd w:val="0"/>
              <w:snapToGrid w:val="0"/>
              <w:jc w:val="center"/>
              <w:rPr>
                <w:color w:val="auto"/>
                <w:sz w:val="21"/>
                <w:szCs w:val="21"/>
              </w:rPr>
            </w:pPr>
            <w:r>
              <w:rPr>
                <w:color w:val="auto"/>
                <w:sz w:val="21"/>
                <w:szCs w:val="21"/>
              </w:rPr>
              <w:t>/</w:t>
            </w:r>
          </w:p>
        </w:tc>
      </w:tr>
    </w:tbl>
    <w:p w14:paraId="3AB6382C">
      <w:pPr>
        <w:pStyle w:val="35"/>
        <w:ind w:firstLine="210"/>
        <w:rPr>
          <w:color w:val="auto"/>
        </w:rPr>
        <w:sectPr>
          <w:pgSz w:w="16839" w:h="11907" w:orient="landscape"/>
          <w:pgMar w:top="1797" w:right="1440" w:bottom="1797" w:left="1440" w:header="1134" w:footer="992" w:gutter="0"/>
          <w:pgBorders>
            <w:top w:val="none" w:sz="0" w:space="0"/>
            <w:left w:val="none" w:sz="0" w:space="0"/>
            <w:bottom w:val="none" w:sz="0" w:space="0"/>
            <w:right w:val="none" w:sz="0" w:space="0"/>
          </w:pgBorders>
          <w:cols w:space="720" w:num="1"/>
          <w:docGrid w:linePitch="312" w:charSpace="0"/>
        </w:sectPr>
      </w:pPr>
    </w:p>
    <w:p w14:paraId="0B357889">
      <w:pPr>
        <w:pStyle w:val="2"/>
        <w:adjustRightInd w:val="0"/>
        <w:snapToGrid w:val="0"/>
        <w:rPr>
          <w:rFonts w:eastAsia="宋体"/>
          <w:color w:val="auto"/>
          <w:sz w:val="30"/>
          <w:szCs w:val="30"/>
        </w:rPr>
      </w:pPr>
      <w:bookmarkStart w:id="132" w:name="_Toc24559"/>
      <w:bookmarkStart w:id="133" w:name="_Toc7158"/>
      <w:r>
        <w:rPr>
          <w:rFonts w:hint="eastAsia" w:eastAsia="宋体"/>
          <w:color w:val="auto"/>
          <w:sz w:val="30"/>
          <w:szCs w:val="30"/>
        </w:rPr>
        <w:t>7结论与要求</w:t>
      </w:r>
      <w:bookmarkEnd w:id="132"/>
      <w:bookmarkEnd w:id="133"/>
    </w:p>
    <w:p w14:paraId="204E12E8">
      <w:pPr>
        <w:pStyle w:val="3"/>
        <w:spacing w:before="0" w:after="0" w:line="360" w:lineRule="auto"/>
        <w:rPr>
          <w:rFonts w:eastAsia="宋体"/>
          <w:color w:val="auto"/>
          <w:kern w:val="0"/>
          <w:szCs w:val="28"/>
        </w:rPr>
      </w:pPr>
      <w:bookmarkStart w:id="134" w:name="_Toc8374"/>
      <w:bookmarkStart w:id="135" w:name="_Toc10182"/>
      <w:r>
        <w:rPr>
          <w:rFonts w:hint="eastAsia" w:eastAsia="宋体"/>
          <w:color w:val="auto"/>
          <w:kern w:val="0"/>
          <w:szCs w:val="28"/>
        </w:rPr>
        <w:t>7.1结论</w:t>
      </w:r>
      <w:bookmarkEnd w:id="134"/>
      <w:bookmarkEnd w:id="135"/>
    </w:p>
    <w:p w14:paraId="6AF6467A">
      <w:pPr>
        <w:pStyle w:val="4"/>
        <w:spacing w:before="0" w:after="0" w:line="360" w:lineRule="auto"/>
        <w:rPr>
          <w:color w:val="auto"/>
          <w:sz w:val="24"/>
          <w:szCs w:val="24"/>
        </w:rPr>
      </w:pPr>
      <w:bookmarkStart w:id="136" w:name="_Toc1370"/>
      <w:r>
        <w:rPr>
          <w:rFonts w:hint="eastAsia"/>
          <w:color w:val="auto"/>
          <w:sz w:val="24"/>
          <w:szCs w:val="24"/>
        </w:rPr>
        <w:t>7.1.1 项目概况</w:t>
      </w:r>
      <w:bookmarkEnd w:id="136"/>
    </w:p>
    <w:p w14:paraId="7458870D">
      <w:pPr>
        <w:spacing w:line="360" w:lineRule="auto"/>
        <w:ind w:firstLine="480" w:firstLineChars="200"/>
        <w:rPr>
          <w:rFonts w:hint="eastAsia"/>
          <w:bCs/>
          <w:color w:val="auto"/>
          <w:sz w:val="24"/>
          <w:szCs w:val="24"/>
          <w:lang w:val="en-US" w:eastAsia="zh-CN"/>
        </w:rPr>
      </w:pPr>
      <w:bookmarkStart w:id="137" w:name="_Toc20469"/>
      <w:r>
        <w:rPr>
          <w:rFonts w:hint="eastAsia"/>
          <w:bCs/>
          <w:color w:val="auto"/>
          <w:sz w:val="24"/>
          <w:szCs w:val="24"/>
          <w:lang w:val="en-US" w:eastAsia="zh-CN"/>
        </w:rPr>
        <w:t>南通众隆纺织科技有限公司成立于2022年，是一家从事面料纺织后整理加工、销售的企业。</w:t>
      </w:r>
    </w:p>
    <w:p w14:paraId="5C743530">
      <w:pPr>
        <w:spacing w:line="360" w:lineRule="auto"/>
        <w:ind w:firstLine="480" w:firstLineChars="200"/>
        <w:rPr>
          <w:rFonts w:hint="eastAsia"/>
          <w:bCs/>
          <w:color w:val="auto"/>
          <w:sz w:val="24"/>
          <w:szCs w:val="24"/>
        </w:rPr>
      </w:pPr>
      <w:r>
        <w:rPr>
          <w:rFonts w:hint="eastAsia"/>
          <w:bCs/>
          <w:color w:val="auto"/>
          <w:sz w:val="24"/>
          <w:szCs w:val="24"/>
          <w:lang w:val="en-US" w:eastAsia="zh-CN"/>
        </w:rPr>
        <w:t>为满足市场需要、实现公司战略目标，南通众隆纺织有限公司拟投资8000万元人民币，租用南通华胜数码纺织科技有限公司位于如皋市九华镇马桥村18组现有厂房，购置定型机、摇粒烘干机、360万大卡/h导热油炉、6t/h生物质锅炉（链条炉排锅炉）等设备37台</w:t>
      </w:r>
      <w:r>
        <w:rPr>
          <w:rFonts w:hint="eastAsia"/>
          <w:bCs/>
          <w:color w:val="auto"/>
          <w:sz w:val="24"/>
          <w:szCs w:val="24"/>
        </w:rPr>
        <w:t>，</w:t>
      </w:r>
      <w:r>
        <w:rPr>
          <w:rFonts w:hint="eastAsia"/>
          <w:bCs/>
          <w:color w:val="auto"/>
          <w:sz w:val="24"/>
          <w:szCs w:val="24"/>
          <w:lang w:val="en-US" w:eastAsia="zh-CN"/>
        </w:rPr>
        <w:t>新建年加工1000万米文体用布（桌球布）项目。预计年产值10000万元、利税700万元。</w:t>
      </w:r>
    </w:p>
    <w:p w14:paraId="169D993E">
      <w:pPr>
        <w:pStyle w:val="4"/>
        <w:spacing w:before="0" w:after="0" w:line="360" w:lineRule="auto"/>
        <w:rPr>
          <w:color w:val="auto"/>
          <w:sz w:val="24"/>
          <w:szCs w:val="24"/>
        </w:rPr>
      </w:pPr>
      <w:r>
        <w:rPr>
          <w:rFonts w:hint="eastAsia"/>
          <w:color w:val="auto"/>
          <w:sz w:val="24"/>
          <w:szCs w:val="24"/>
        </w:rPr>
        <w:t>7.1.2工程分析结论</w:t>
      </w:r>
      <w:bookmarkEnd w:id="137"/>
    </w:p>
    <w:p w14:paraId="04D2B59D">
      <w:pPr>
        <w:spacing w:line="360" w:lineRule="auto"/>
        <w:ind w:firstLine="480" w:firstLineChars="200"/>
        <w:rPr>
          <w:rFonts w:hint="eastAsia"/>
          <w:bCs/>
          <w:color w:val="auto"/>
          <w:sz w:val="24"/>
          <w:szCs w:val="24"/>
          <w:lang w:val="en-US" w:eastAsia="zh-CN"/>
        </w:rPr>
      </w:pPr>
      <w:r>
        <w:rPr>
          <w:rFonts w:hint="eastAsia"/>
          <w:bCs/>
          <w:color w:val="auto"/>
          <w:sz w:val="24"/>
          <w:szCs w:val="24"/>
          <w:lang w:val="en-US" w:eastAsia="zh-CN"/>
        </w:rPr>
        <w:t>建设项目拟对生产车间拉毛、刷呢、剪毛、烫光、揺粒工序产生有机废气经收集后由1套“布袋除尘”处理后通过DA001排气筒（15m）排放；定型、蒸呢工序产生有机废气经收集后由1套“水喷淋+静电净化”处理后通过DA001排气筒（15m）排放；生物质蒸汽锅炉燃烧产生的废气收集经1套“低氮燃烧+SNCR+石灰喷雾干燥+余热回收+旋风除尘+布袋除尘+水幕除尘”处理后通过DA002排气筒（35m）排放；生物质导热油炉燃烧产生的废气收集经1套“低氮燃烧+SNCR+石灰喷雾干燥+余热回收+旋风除尘+布袋除尘+水幕除尘”处理后通过DA003排气筒（35m）排放。</w:t>
      </w:r>
    </w:p>
    <w:p w14:paraId="3DB2A6CE">
      <w:pPr>
        <w:pStyle w:val="4"/>
        <w:spacing w:before="0" w:after="0" w:line="360" w:lineRule="auto"/>
        <w:rPr>
          <w:color w:val="auto"/>
          <w:sz w:val="24"/>
          <w:szCs w:val="24"/>
        </w:rPr>
      </w:pPr>
      <w:bookmarkStart w:id="138" w:name="_Toc21243"/>
      <w:r>
        <w:rPr>
          <w:rFonts w:hint="eastAsia"/>
          <w:color w:val="auto"/>
          <w:sz w:val="24"/>
          <w:szCs w:val="24"/>
        </w:rPr>
        <w:t>7.1.3大气环境质量现状结论</w:t>
      </w:r>
      <w:bookmarkEnd w:id="138"/>
    </w:p>
    <w:p w14:paraId="0FE42900">
      <w:pPr>
        <w:tabs>
          <w:tab w:val="left" w:pos="705"/>
        </w:tabs>
        <w:adjustRightInd w:val="0"/>
        <w:snapToGrid w:val="0"/>
        <w:spacing w:line="360" w:lineRule="auto"/>
        <w:ind w:firstLine="480" w:firstLineChars="200"/>
        <w:rPr>
          <w:bCs/>
          <w:color w:val="auto"/>
          <w:sz w:val="24"/>
          <w:szCs w:val="24"/>
        </w:rPr>
      </w:pPr>
      <w:r>
        <w:rPr>
          <w:rFonts w:hint="eastAsia"/>
          <w:bCs/>
          <w:color w:val="auto"/>
          <w:sz w:val="24"/>
          <w:szCs w:val="24"/>
        </w:rPr>
        <w:t>根据202</w:t>
      </w:r>
      <w:r>
        <w:rPr>
          <w:rFonts w:hint="eastAsia"/>
          <w:bCs/>
          <w:color w:val="auto"/>
          <w:sz w:val="24"/>
          <w:szCs w:val="24"/>
          <w:lang w:val="en-US" w:eastAsia="zh-CN"/>
        </w:rPr>
        <w:t>4</w:t>
      </w:r>
      <w:r>
        <w:rPr>
          <w:rFonts w:hint="eastAsia"/>
          <w:bCs/>
          <w:color w:val="auto"/>
          <w:sz w:val="24"/>
          <w:szCs w:val="24"/>
        </w:rPr>
        <w:t>年南通市环境质量</w:t>
      </w:r>
      <w:r>
        <w:rPr>
          <w:rFonts w:hint="eastAsia"/>
          <w:bCs/>
          <w:color w:val="auto"/>
          <w:sz w:val="24"/>
          <w:szCs w:val="24"/>
          <w:lang w:val="en-US" w:eastAsia="zh-CN"/>
        </w:rPr>
        <w:t>公报，项目所在区域属于环境空气质量不达标区。</w:t>
      </w:r>
    </w:p>
    <w:p w14:paraId="392B9158">
      <w:pPr>
        <w:pStyle w:val="4"/>
        <w:spacing w:before="0" w:after="0" w:line="360" w:lineRule="auto"/>
        <w:rPr>
          <w:color w:val="auto"/>
          <w:sz w:val="24"/>
          <w:szCs w:val="24"/>
        </w:rPr>
      </w:pPr>
      <w:bookmarkStart w:id="139" w:name="_Toc31765"/>
      <w:r>
        <w:rPr>
          <w:rFonts w:hint="eastAsia"/>
          <w:color w:val="auto"/>
          <w:sz w:val="24"/>
          <w:szCs w:val="24"/>
        </w:rPr>
        <w:t>7.1.4环境影响预测与分析</w:t>
      </w:r>
      <w:bookmarkEnd w:id="139"/>
    </w:p>
    <w:p w14:paraId="0E43E384">
      <w:pPr>
        <w:spacing w:line="360" w:lineRule="auto"/>
        <w:ind w:firstLine="480" w:firstLineChars="200"/>
        <w:rPr>
          <w:color w:val="auto"/>
          <w:sz w:val="24"/>
          <w:szCs w:val="24"/>
        </w:rPr>
      </w:pPr>
      <w:r>
        <w:rPr>
          <w:color w:val="auto"/>
          <w:sz w:val="24"/>
          <w:szCs w:val="24"/>
        </w:rPr>
        <w:t>经预测后，本项目废气排放对周围环境空气质量影响不大，不会降低当地环境空气质量功能。</w:t>
      </w:r>
    </w:p>
    <w:p w14:paraId="3133ED19">
      <w:pPr>
        <w:pStyle w:val="4"/>
        <w:spacing w:before="0" w:after="0" w:line="360" w:lineRule="auto"/>
        <w:rPr>
          <w:color w:val="auto"/>
          <w:sz w:val="24"/>
          <w:szCs w:val="24"/>
        </w:rPr>
      </w:pPr>
      <w:bookmarkStart w:id="140" w:name="_Toc6709"/>
      <w:r>
        <w:rPr>
          <w:rFonts w:hint="eastAsia"/>
          <w:color w:val="auto"/>
          <w:sz w:val="24"/>
          <w:szCs w:val="24"/>
        </w:rPr>
        <w:t>7.1.5污染防治措施分析</w:t>
      </w:r>
      <w:bookmarkEnd w:id="140"/>
    </w:p>
    <w:p w14:paraId="6DE1922D">
      <w:pPr>
        <w:spacing w:line="360" w:lineRule="auto"/>
        <w:ind w:firstLine="480" w:firstLineChars="200"/>
        <w:rPr>
          <w:color w:val="auto"/>
          <w:sz w:val="24"/>
          <w:szCs w:val="24"/>
        </w:rPr>
      </w:pPr>
      <w:r>
        <w:rPr>
          <w:color w:val="auto"/>
          <w:sz w:val="24"/>
          <w:szCs w:val="24"/>
        </w:rPr>
        <w:t>该项目所采取废气治理措施</w:t>
      </w:r>
      <w:r>
        <w:rPr>
          <w:rFonts w:hint="eastAsia"/>
          <w:color w:val="auto"/>
          <w:sz w:val="24"/>
          <w:szCs w:val="24"/>
        </w:rPr>
        <w:t>属于可行技术</w:t>
      </w:r>
      <w:r>
        <w:rPr>
          <w:color w:val="auto"/>
          <w:sz w:val="24"/>
          <w:szCs w:val="24"/>
        </w:rPr>
        <w:t>，能够确保污染物达标排放，防治措施可行。</w:t>
      </w:r>
    </w:p>
    <w:p w14:paraId="0A56A1A0">
      <w:pPr>
        <w:pStyle w:val="4"/>
        <w:spacing w:before="0" w:after="0" w:line="360" w:lineRule="auto"/>
        <w:rPr>
          <w:color w:val="auto"/>
          <w:sz w:val="24"/>
          <w:szCs w:val="24"/>
        </w:rPr>
      </w:pPr>
      <w:bookmarkStart w:id="141" w:name="_Toc9146"/>
      <w:r>
        <w:rPr>
          <w:rFonts w:hint="eastAsia"/>
          <w:color w:val="auto"/>
          <w:sz w:val="24"/>
          <w:szCs w:val="24"/>
        </w:rPr>
        <w:t>7.1.6总结论</w:t>
      </w:r>
      <w:bookmarkEnd w:id="141"/>
    </w:p>
    <w:p w14:paraId="4F07C2D6">
      <w:pPr>
        <w:spacing w:line="360" w:lineRule="auto"/>
        <w:ind w:firstLine="480" w:firstLineChars="200"/>
        <w:rPr>
          <w:color w:val="auto"/>
          <w:sz w:val="24"/>
          <w:szCs w:val="24"/>
        </w:rPr>
      </w:pPr>
      <w:r>
        <w:rPr>
          <w:rFonts w:hint="eastAsia"/>
          <w:color w:val="auto"/>
          <w:sz w:val="24"/>
          <w:szCs w:val="24"/>
          <w:lang w:val="en-US" w:eastAsia="zh-CN"/>
        </w:rPr>
        <w:t>本</w:t>
      </w:r>
      <w:r>
        <w:rPr>
          <w:color w:val="auto"/>
          <w:sz w:val="24"/>
          <w:szCs w:val="24"/>
        </w:rPr>
        <w:t>项目采取的大气污染防治措施可行，污染物能够达标排放，且排放量较少，对环境空气质量和敏感目标影响较小；在确保各项污染防治措施落实、污染物达标排放的前提下，从环境角度考虑，项目建设可行。</w:t>
      </w:r>
    </w:p>
    <w:p w14:paraId="1872E866">
      <w:pPr>
        <w:pStyle w:val="3"/>
        <w:spacing w:before="0" w:after="0" w:line="360" w:lineRule="auto"/>
        <w:rPr>
          <w:rFonts w:eastAsia="宋体"/>
          <w:color w:val="auto"/>
          <w:kern w:val="0"/>
          <w:szCs w:val="28"/>
        </w:rPr>
      </w:pPr>
      <w:bookmarkStart w:id="142" w:name="_Toc31739"/>
      <w:bookmarkStart w:id="143" w:name="_Toc2796"/>
      <w:r>
        <w:rPr>
          <w:rFonts w:hint="eastAsia" w:eastAsia="宋体"/>
          <w:color w:val="auto"/>
          <w:kern w:val="0"/>
          <w:szCs w:val="28"/>
        </w:rPr>
        <w:t>7.2要求</w:t>
      </w:r>
      <w:bookmarkEnd w:id="142"/>
      <w:bookmarkEnd w:id="143"/>
    </w:p>
    <w:p w14:paraId="20B4F717">
      <w:pPr>
        <w:spacing w:line="360" w:lineRule="auto"/>
        <w:ind w:firstLine="480" w:firstLineChars="200"/>
        <w:rPr>
          <w:color w:val="auto"/>
          <w:sz w:val="24"/>
          <w:szCs w:val="24"/>
        </w:rPr>
      </w:pPr>
      <w:r>
        <w:rPr>
          <w:color w:val="auto"/>
          <w:sz w:val="24"/>
          <w:szCs w:val="24"/>
        </w:rPr>
        <w:t>1、</w:t>
      </w:r>
      <w:r>
        <w:rPr>
          <w:rFonts w:hint="eastAsia"/>
          <w:color w:val="auto"/>
          <w:sz w:val="24"/>
          <w:szCs w:val="24"/>
        </w:rPr>
        <w:t>落实本报告提出的各项污染防治措施，委托有资质的单位设计，确保各项污染防治措施到位</w:t>
      </w:r>
      <w:r>
        <w:rPr>
          <w:color w:val="auto"/>
          <w:sz w:val="24"/>
          <w:szCs w:val="24"/>
        </w:rPr>
        <w:t>。</w:t>
      </w:r>
    </w:p>
    <w:p w14:paraId="57A6C431">
      <w:pPr>
        <w:spacing w:line="360" w:lineRule="auto"/>
        <w:ind w:firstLine="480" w:firstLineChars="200"/>
        <w:rPr>
          <w:color w:val="auto"/>
          <w:sz w:val="24"/>
          <w:szCs w:val="24"/>
        </w:rPr>
      </w:pPr>
      <w:r>
        <w:rPr>
          <w:color w:val="auto"/>
          <w:sz w:val="24"/>
          <w:szCs w:val="24"/>
        </w:rPr>
        <w:t>2、严格操作规程，</w:t>
      </w:r>
      <w:r>
        <w:rPr>
          <w:rFonts w:hint="eastAsia"/>
          <w:color w:val="auto"/>
          <w:sz w:val="24"/>
          <w:szCs w:val="24"/>
        </w:rPr>
        <w:t>加强日常运行管理和维护</w:t>
      </w:r>
      <w:r>
        <w:rPr>
          <w:color w:val="auto"/>
          <w:sz w:val="24"/>
          <w:szCs w:val="24"/>
        </w:rPr>
        <w:t>，发现问题及时解决，杜绝环境污染事故的发生。</w:t>
      </w:r>
    </w:p>
    <w:p w14:paraId="6B810DBA">
      <w:pPr>
        <w:spacing w:line="360" w:lineRule="auto"/>
        <w:ind w:firstLine="480" w:firstLineChars="200"/>
        <w:rPr>
          <w:color w:val="auto"/>
          <w:sz w:val="24"/>
          <w:szCs w:val="24"/>
        </w:rPr>
      </w:pPr>
      <w:bookmarkStart w:id="144" w:name="_Toc31717"/>
      <w:bookmarkStart w:id="145" w:name="_Toc6533"/>
      <w:r>
        <w:rPr>
          <w:color w:val="auto"/>
          <w:sz w:val="24"/>
          <w:szCs w:val="24"/>
        </w:rPr>
        <w:t>3、</w:t>
      </w:r>
      <w:r>
        <w:rPr>
          <w:rFonts w:hint="eastAsia"/>
          <w:color w:val="auto"/>
          <w:sz w:val="24"/>
          <w:szCs w:val="24"/>
        </w:rPr>
        <w:t>按规范办理调试、环保三同时验收、排污许可等手续</w:t>
      </w:r>
      <w:r>
        <w:rPr>
          <w:color w:val="auto"/>
          <w:sz w:val="24"/>
          <w:szCs w:val="24"/>
        </w:rPr>
        <w:t>。</w:t>
      </w:r>
      <w:bookmarkEnd w:id="144"/>
      <w:bookmarkEnd w:id="145"/>
    </w:p>
    <w:p w14:paraId="3B34D959">
      <w:pPr>
        <w:spacing w:line="460" w:lineRule="exact"/>
        <w:rPr>
          <w:color w:val="auto"/>
        </w:rPr>
      </w:pPr>
    </w:p>
    <w:p w14:paraId="5AFFE993">
      <w:pPr>
        <w:spacing w:line="460" w:lineRule="exact"/>
        <w:ind w:firstLine="482" w:firstLineChars="200"/>
        <w:rPr>
          <w:b/>
          <w:bCs/>
          <w:color w:val="auto"/>
          <w:sz w:val="24"/>
          <w:szCs w:val="24"/>
        </w:rPr>
      </w:pPr>
    </w:p>
    <w:p w14:paraId="1CB11F73">
      <w:pPr>
        <w:spacing w:line="460" w:lineRule="exact"/>
        <w:rPr>
          <w:color w:val="auto"/>
        </w:rPr>
      </w:pPr>
    </w:p>
    <w:p w14:paraId="5FA7394F">
      <w:pPr>
        <w:rPr>
          <w:color w:val="auto"/>
        </w:rPr>
      </w:pPr>
    </w:p>
    <w:sectPr>
      <w:pgSz w:w="11907" w:h="16839"/>
      <w:pgMar w:top="1440" w:right="1797" w:bottom="1440" w:left="1797" w:header="1134"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方正楷体_GBK">
    <w:altName w:val="微软雅黑"/>
    <w:panose1 w:val="00000000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CS中宋">
    <w:altName w:val="宋体"/>
    <w:panose1 w:val="00000000000000000000"/>
    <w:charset w:val="86"/>
    <w:family w:val="modern"/>
    <w:pitch w:val="default"/>
    <w:sig w:usb0="00000000" w:usb1="00000000" w:usb2="00000010" w:usb3="00000000" w:csb0="00040000" w:csb1="00000000"/>
  </w:font>
  <w:font w:name="Franklin Gothic Heavy">
    <w:altName w:val="Yu Gothic UI Semibold"/>
    <w:panose1 w:val="020B0903020102020204"/>
    <w:charset w:val="00"/>
    <w:family w:val="swiss"/>
    <w:pitch w:val="default"/>
    <w:sig w:usb0="00000000" w:usb1="00000000" w:usb2="00000000" w:usb3="00000000" w:csb0="2000009F" w:csb1="DFD70000"/>
  </w:font>
  <w:font w:name="TimesNewRomanPSMT">
    <w:altName w:val="Times New Roman"/>
    <w:panose1 w:val="00000000000000000000"/>
    <w:charset w:val="00"/>
    <w:family w:val="roman"/>
    <w:pitch w:val="default"/>
    <w:sig w:usb0="00000000" w:usb1="00000000" w:usb2="00000010"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0" w:usb3="00000000" w:csb0="4002009F" w:csb1="DFD7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font>
  <w:font w:name="Yu Gothic UI Semibold">
    <w:panose1 w:val="020B07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9994">
    <w:pPr>
      <w:pStyle w:val="23"/>
      <w:jc w:val="center"/>
    </w:pPr>
  </w:p>
  <w:p w14:paraId="26E7D509">
    <w:pPr>
      <w:pStyle w:val="2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EEFD0">
    <w:pPr>
      <w:pStyle w:val="23"/>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2824480</wp:posOffset>
              </wp:positionH>
              <wp:positionV relativeFrom="paragraph">
                <wp:posOffset>0</wp:posOffset>
              </wp:positionV>
              <wp:extent cx="262890" cy="26098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62890" cy="260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0088F">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2.4pt;margin-top:0pt;height:20.55pt;width:20.7pt;mso-position-horizontal-relative:margin;z-index:251660288;mso-width-relative:page;mso-height-relative:page;" filled="f" stroked="f" coordsize="21600,21600" o:gfxdata="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s3kpdUAAAAHAQAADwAAAAAAAAABACAAAAAiAAAAZHJzL2Rvd25yZXYu&#10;eG1sUEsBAhQAFAAAAAgAh07iQAQ62PI3AgAAYQQAAA4AAAAAAAAAAQAgAAAAJAEAAGRycy9lMm9E&#10;b2MueG1sUEsFBgAAAAAGAAYAWQEAAM0FAAAAAA==&#10;">
              <v:fill on="f" focussize="0,0"/>
              <v:stroke on="f" weight="0.5pt"/>
              <v:imagedata o:title=""/>
              <o:lock v:ext="edit" aspectratio="f"/>
              <v:textbox inset="0mm,0mm,0mm,0mm">
                <w:txbxContent>
                  <w:p w14:paraId="1940088F">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p w14:paraId="4F33EDBA">
    <w:pPr>
      <w:pStyle w:val="2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5A9C2">
    <w:pPr>
      <w:pStyle w:val="2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8F6F8">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49</w:t>
                          </w:r>
                          <w:r>
                            <w:rPr>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1D08F6F8">
                    <w:pPr>
                      <w:pStyle w:val="23"/>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49</w:t>
                    </w:r>
                    <w:r>
                      <w:rPr>
                        <w:sz w:val="24"/>
                        <w:szCs w:val="24"/>
                      </w:rPr>
                      <w:fldChar w:fldCharType="end"/>
                    </w:r>
                  </w:p>
                </w:txbxContent>
              </v:textbox>
            </v:shape>
          </w:pict>
        </mc:Fallback>
      </mc:AlternateContent>
    </w:r>
  </w:p>
  <w:p w14:paraId="7CD38CAA">
    <w:pPr>
      <w:pStyle w:val="2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AF40E">
    <w:pPr>
      <w:pStyle w:val="24"/>
      <w:pBdr>
        <w:bottom w:val="single" w:color="auto" w:sz="4" w:space="1"/>
      </w:pBdr>
      <w:rPr>
        <w:b/>
      </w:rPr>
    </w:pPr>
    <w:r>
      <w:rPr>
        <w:rFonts w:hint="eastAsia" w:ascii="Times New Roman" w:hAnsi="Times New Roman" w:eastAsia="宋体" w:cs="Times New Roman"/>
        <w:b/>
        <w:lang w:val="en-US" w:eastAsia="zh-CN"/>
      </w:rPr>
      <w:t>南通众隆纺织科技有限公司年加工1000万米文体用布（桌球布）项目</w:t>
    </w:r>
    <w:r>
      <w:rPr>
        <w:rFonts w:hint="eastAsia" w:ascii="Times New Roman" w:hAnsi="Times New Roman" w:eastAsia="宋体" w:cs="Times New Roman"/>
        <w:b/>
      </w:rPr>
      <w:t>大气环境影响专项评价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C88157"/>
    <w:multiLevelType w:val="singleLevel"/>
    <w:tmpl w:val="0CC88157"/>
    <w:lvl w:ilvl="0" w:tentative="0">
      <w:start w:val="2"/>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x">
    <w15:presenceInfo w15:providerId="WPS Office" w15:userId="2753995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yODU2MGIzOWI4NjJmMjY1YmE5Nzk4YzNkY2Y1ZTUifQ=="/>
  </w:docVars>
  <w:rsids>
    <w:rsidRoot w:val="00172A27"/>
    <w:rsid w:val="00001CBC"/>
    <w:rsid w:val="00001FB4"/>
    <w:rsid w:val="0000294D"/>
    <w:rsid w:val="00012ADF"/>
    <w:rsid w:val="00012C6B"/>
    <w:rsid w:val="000147DF"/>
    <w:rsid w:val="0003517A"/>
    <w:rsid w:val="00056BF0"/>
    <w:rsid w:val="00062D12"/>
    <w:rsid w:val="000631ED"/>
    <w:rsid w:val="000645F6"/>
    <w:rsid w:val="00064CE7"/>
    <w:rsid w:val="000675A2"/>
    <w:rsid w:val="000779FC"/>
    <w:rsid w:val="00081009"/>
    <w:rsid w:val="000A4F60"/>
    <w:rsid w:val="000A68D1"/>
    <w:rsid w:val="000B0092"/>
    <w:rsid w:val="000B3EB1"/>
    <w:rsid w:val="000B5CE7"/>
    <w:rsid w:val="000E2D99"/>
    <w:rsid w:val="000E2E8A"/>
    <w:rsid w:val="000E4E3C"/>
    <w:rsid w:val="000F132E"/>
    <w:rsid w:val="000F2A12"/>
    <w:rsid w:val="000F4691"/>
    <w:rsid w:val="000F5FAE"/>
    <w:rsid w:val="00116640"/>
    <w:rsid w:val="00122B2E"/>
    <w:rsid w:val="00133158"/>
    <w:rsid w:val="001358C7"/>
    <w:rsid w:val="00135DA1"/>
    <w:rsid w:val="00141A0B"/>
    <w:rsid w:val="00146CA2"/>
    <w:rsid w:val="00155B87"/>
    <w:rsid w:val="00166AE9"/>
    <w:rsid w:val="00172A27"/>
    <w:rsid w:val="00173B42"/>
    <w:rsid w:val="0017605E"/>
    <w:rsid w:val="00186C2D"/>
    <w:rsid w:val="001872F5"/>
    <w:rsid w:val="001873D9"/>
    <w:rsid w:val="00190B90"/>
    <w:rsid w:val="00195464"/>
    <w:rsid w:val="001A0B01"/>
    <w:rsid w:val="001A3381"/>
    <w:rsid w:val="001C4A93"/>
    <w:rsid w:val="001C75E5"/>
    <w:rsid w:val="001D0683"/>
    <w:rsid w:val="001D27CE"/>
    <w:rsid w:val="001D2E5E"/>
    <w:rsid w:val="001D3CD5"/>
    <w:rsid w:val="001D556D"/>
    <w:rsid w:val="001D7798"/>
    <w:rsid w:val="001E194C"/>
    <w:rsid w:val="001F1440"/>
    <w:rsid w:val="0020338A"/>
    <w:rsid w:val="002045F1"/>
    <w:rsid w:val="0020591E"/>
    <w:rsid w:val="00205A1D"/>
    <w:rsid w:val="00217ECD"/>
    <w:rsid w:val="00226D8C"/>
    <w:rsid w:val="00226FDC"/>
    <w:rsid w:val="002375A9"/>
    <w:rsid w:val="00240DF0"/>
    <w:rsid w:val="00256318"/>
    <w:rsid w:val="00257647"/>
    <w:rsid w:val="002719A1"/>
    <w:rsid w:val="00272F84"/>
    <w:rsid w:val="002829AC"/>
    <w:rsid w:val="002914C4"/>
    <w:rsid w:val="0029543E"/>
    <w:rsid w:val="002A0C28"/>
    <w:rsid w:val="002A1191"/>
    <w:rsid w:val="002C05D2"/>
    <w:rsid w:val="002C1432"/>
    <w:rsid w:val="002C5629"/>
    <w:rsid w:val="002D54BD"/>
    <w:rsid w:val="002F2988"/>
    <w:rsid w:val="002F40C2"/>
    <w:rsid w:val="00304A83"/>
    <w:rsid w:val="0030700C"/>
    <w:rsid w:val="00314B13"/>
    <w:rsid w:val="003425F0"/>
    <w:rsid w:val="00346CCE"/>
    <w:rsid w:val="003506B9"/>
    <w:rsid w:val="003521FB"/>
    <w:rsid w:val="00352662"/>
    <w:rsid w:val="00354758"/>
    <w:rsid w:val="00360042"/>
    <w:rsid w:val="00364E75"/>
    <w:rsid w:val="00367630"/>
    <w:rsid w:val="00370F3D"/>
    <w:rsid w:val="003722E2"/>
    <w:rsid w:val="00383C11"/>
    <w:rsid w:val="00390F89"/>
    <w:rsid w:val="00391DB4"/>
    <w:rsid w:val="003958E0"/>
    <w:rsid w:val="003A0F8B"/>
    <w:rsid w:val="003A43A6"/>
    <w:rsid w:val="003B032F"/>
    <w:rsid w:val="003B3230"/>
    <w:rsid w:val="003B67DE"/>
    <w:rsid w:val="003C0590"/>
    <w:rsid w:val="003C46F5"/>
    <w:rsid w:val="003D2A3C"/>
    <w:rsid w:val="003D3C60"/>
    <w:rsid w:val="003E15AD"/>
    <w:rsid w:val="003E171C"/>
    <w:rsid w:val="003F2B13"/>
    <w:rsid w:val="003F5292"/>
    <w:rsid w:val="0040501F"/>
    <w:rsid w:val="00411B1A"/>
    <w:rsid w:val="00432094"/>
    <w:rsid w:val="00436D4B"/>
    <w:rsid w:val="00441397"/>
    <w:rsid w:val="004557BB"/>
    <w:rsid w:val="004572E3"/>
    <w:rsid w:val="00461BE3"/>
    <w:rsid w:val="004634DE"/>
    <w:rsid w:val="0046636D"/>
    <w:rsid w:val="0047558C"/>
    <w:rsid w:val="0048186C"/>
    <w:rsid w:val="00485F4E"/>
    <w:rsid w:val="0049087F"/>
    <w:rsid w:val="00490E11"/>
    <w:rsid w:val="004964A2"/>
    <w:rsid w:val="004A060E"/>
    <w:rsid w:val="004A5029"/>
    <w:rsid w:val="004A6C24"/>
    <w:rsid w:val="004C2A8E"/>
    <w:rsid w:val="004C2D8E"/>
    <w:rsid w:val="004C4C23"/>
    <w:rsid w:val="004E262B"/>
    <w:rsid w:val="004E2B60"/>
    <w:rsid w:val="004E6638"/>
    <w:rsid w:val="004F31D2"/>
    <w:rsid w:val="0050044B"/>
    <w:rsid w:val="005022E8"/>
    <w:rsid w:val="00510351"/>
    <w:rsid w:val="00510C23"/>
    <w:rsid w:val="0051112F"/>
    <w:rsid w:val="005123EE"/>
    <w:rsid w:val="00514447"/>
    <w:rsid w:val="00514599"/>
    <w:rsid w:val="00515AF9"/>
    <w:rsid w:val="00522496"/>
    <w:rsid w:val="0052531A"/>
    <w:rsid w:val="005264E1"/>
    <w:rsid w:val="00532668"/>
    <w:rsid w:val="00533912"/>
    <w:rsid w:val="00535884"/>
    <w:rsid w:val="00541356"/>
    <w:rsid w:val="00556748"/>
    <w:rsid w:val="005609DF"/>
    <w:rsid w:val="00574CFB"/>
    <w:rsid w:val="00575B34"/>
    <w:rsid w:val="00576B59"/>
    <w:rsid w:val="00577835"/>
    <w:rsid w:val="005810D5"/>
    <w:rsid w:val="00582D02"/>
    <w:rsid w:val="00584A9E"/>
    <w:rsid w:val="00585D31"/>
    <w:rsid w:val="00586F2C"/>
    <w:rsid w:val="00590757"/>
    <w:rsid w:val="00596829"/>
    <w:rsid w:val="005B0E73"/>
    <w:rsid w:val="005D2EC2"/>
    <w:rsid w:val="005D6209"/>
    <w:rsid w:val="005E1BBC"/>
    <w:rsid w:val="005E2ED7"/>
    <w:rsid w:val="00610B55"/>
    <w:rsid w:val="00613EE7"/>
    <w:rsid w:val="0061547F"/>
    <w:rsid w:val="00621DEC"/>
    <w:rsid w:val="006405BE"/>
    <w:rsid w:val="0064106C"/>
    <w:rsid w:val="0064486E"/>
    <w:rsid w:val="00653ABB"/>
    <w:rsid w:val="00654735"/>
    <w:rsid w:val="0066032F"/>
    <w:rsid w:val="00660F08"/>
    <w:rsid w:val="00662BD1"/>
    <w:rsid w:val="0066795B"/>
    <w:rsid w:val="006702A2"/>
    <w:rsid w:val="00670758"/>
    <w:rsid w:val="00670E01"/>
    <w:rsid w:val="00671E89"/>
    <w:rsid w:val="00680EE5"/>
    <w:rsid w:val="0068380B"/>
    <w:rsid w:val="006838D4"/>
    <w:rsid w:val="006A1530"/>
    <w:rsid w:val="006A596A"/>
    <w:rsid w:val="006B1CCE"/>
    <w:rsid w:val="006C50C8"/>
    <w:rsid w:val="006C5FF7"/>
    <w:rsid w:val="006E1372"/>
    <w:rsid w:val="006F0D52"/>
    <w:rsid w:val="006F4781"/>
    <w:rsid w:val="00700D91"/>
    <w:rsid w:val="0071046C"/>
    <w:rsid w:val="0071168D"/>
    <w:rsid w:val="00711AEB"/>
    <w:rsid w:val="0071474C"/>
    <w:rsid w:val="00730F5B"/>
    <w:rsid w:val="007316D1"/>
    <w:rsid w:val="0074605C"/>
    <w:rsid w:val="00747EB3"/>
    <w:rsid w:val="007576F7"/>
    <w:rsid w:val="00761962"/>
    <w:rsid w:val="007624DB"/>
    <w:rsid w:val="00766525"/>
    <w:rsid w:val="0076707B"/>
    <w:rsid w:val="007808A4"/>
    <w:rsid w:val="00781D02"/>
    <w:rsid w:val="00785FB8"/>
    <w:rsid w:val="00793AEB"/>
    <w:rsid w:val="007955FC"/>
    <w:rsid w:val="0079710A"/>
    <w:rsid w:val="007A3A8C"/>
    <w:rsid w:val="007B5D26"/>
    <w:rsid w:val="007C178A"/>
    <w:rsid w:val="007C655E"/>
    <w:rsid w:val="007C7F0E"/>
    <w:rsid w:val="007D67E3"/>
    <w:rsid w:val="007E4A58"/>
    <w:rsid w:val="007F1853"/>
    <w:rsid w:val="00810F58"/>
    <w:rsid w:val="00821F1D"/>
    <w:rsid w:val="008246CF"/>
    <w:rsid w:val="008261AD"/>
    <w:rsid w:val="00826BCA"/>
    <w:rsid w:val="00830584"/>
    <w:rsid w:val="00836BEF"/>
    <w:rsid w:val="00850B03"/>
    <w:rsid w:val="008569EE"/>
    <w:rsid w:val="00857C8B"/>
    <w:rsid w:val="00870DBA"/>
    <w:rsid w:val="00884745"/>
    <w:rsid w:val="00887189"/>
    <w:rsid w:val="00895243"/>
    <w:rsid w:val="00896991"/>
    <w:rsid w:val="008976F7"/>
    <w:rsid w:val="008A0795"/>
    <w:rsid w:val="008A5070"/>
    <w:rsid w:val="008A6874"/>
    <w:rsid w:val="008B652B"/>
    <w:rsid w:val="008C3141"/>
    <w:rsid w:val="008C4A71"/>
    <w:rsid w:val="008C5786"/>
    <w:rsid w:val="008C5998"/>
    <w:rsid w:val="008D0490"/>
    <w:rsid w:val="008D263C"/>
    <w:rsid w:val="008D2B0A"/>
    <w:rsid w:val="008E5884"/>
    <w:rsid w:val="008E63FD"/>
    <w:rsid w:val="008E6829"/>
    <w:rsid w:val="008F308F"/>
    <w:rsid w:val="008F3E27"/>
    <w:rsid w:val="008F5DA5"/>
    <w:rsid w:val="00900618"/>
    <w:rsid w:val="00903D1E"/>
    <w:rsid w:val="009133E9"/>
    <w:rsid w:val="00926407"/>
    <w:rsid w:val="00927C35"/>
    <w:rsid w:val="00932462"/>
    <w:rsid w:val="00944BC3"/>
    <w:rsid w:val="00951002"/>
    <w:rsid w:val="009527F7"/>
    <w:rsid w:val="009543F6"/>
    <w:rsid w:val="0096535B"/>
    <w:rsid w:val="00981D43"/>
    <w:rsid w:val="009847B0"/>
    <w:rsid w:val="009D310B"/>
    <w:rsid w:val="009E5FEC"/>
    <w:rsid w:val="009F0AC3"/>
    <w:rsid w:val="009F4381"/>
    <w:rsid w:val="00A006C8"/>
    <w:rsid w:val="00A0135E"/>
    <w:rsid w:val="00A0172F"/>
    <w:rsid w:val="00A044D3"/>
    <w:rsid w:val="00A06962"/>
    <w:rsid w:val="00A07687"/>
    <w:rsid w:val="00A170B5"/>
    <w:rsid w:val="00A17E1A"/>
    <w:rsid w:val="00A537F7"/>
    <w:rsid w:val="00A5524A"/>
    <w:rsid w:val="00A5559A"/>
    <w:rsid w:val="00A574D0"/>
    <w:rsid w:val="00A605F8"/>
    <w:rsid w:val="00A62D4C"/>
    <w:rsid w:val="00A70EFF"/>
    <w:rsid w:val="00A71EC8"/>
    <w:rsid w:val="00A761CD"/>
    <w:rsid w:val="00A76F56"/>
    <w:rsid w:val="00A84CE0"/>
    <w:rsid w:val="00A87E30"/>
    <w:rsid w:val="00A87F86"/>
    <w:rsid w:val="00A96761"/>
    <w:rsid w:val="00A974F8"/>
    <w:rsid w:val="00AA028F"/>
    <w:rsid w:val="00AA614B"/>
    <w:rsid w:val="00AB6B28"/>
    <w:rsid w:val="00AC286E"/>
    <w:rsid w:val="00AC6DC0"/>
    <w:rsid w:val="00AE4820"/>
    <w:rsid w:val="00AE4C85"/>
    <w:rsid w:val="00AE5308"/>
    <w:rsid w:val="00AE757E"/>
    <w:rsid w:val="00AF0DC3"/>
    <w:rsid w:val="00AF53C9"/>
    <w:rsid w:val="00AF7FE0"/>
    <w:rsid w:val="00B018BC"/>
    <w:rsid w:val="00B0507F"/>
    <w:rsid w:val="00B20015"/>
    <w:rsid w:val="00B200A0"/>
    <w:rsid w:val="00B27E4D"/>
    <w:rsid w:val="00B31A02"/>
    <w:rsid w:val="00B34EFF"/>
    <w:rsid w:val="00B42B04"/>
    <w:rsid w:val="00B51D9B"/>
    <w:rsid w:val="00B541E0"/>
    <w:rsid w:val="00B565FB"/>
    <w:rsid w:val="00B57912"/>
    <w:rsid w:val="00B83310"/>
    <w:rsid w:val="00B83D10"/>
    <w:rsid w:val="00B86112"/>
    <w:rsid w:val="00B9321D"/>
    <w:rsid w:val="00B95A09"/>
    <w:rsid w:val="00B95F04"/>
    <w:rsid w:val="00BA2ADF"/>
    <w:rsid w:val="00BB096E"/>
    <w:rsid w:val="00BC3AF3"/>
    <w:rsid w:val="00BC4EE1"/>
    <w:rsid w:val="00BC5D9D"/>
    <w:rsid w:val="00BC6956"/>
    <w:rsid w:val="00BD5265"/>
    <w:rsid w:val="00BF1574"/>
    <w:rsid w:val="00BF182E"/>
    <w:rsid w:val="00BF1973"/>
    <w:rsid w:val="00BF1D4E"/>
    <w:rsid w:val="00BF68C6"/>
    <w:rsid w:val="00BF7C9C"/>
    <w:rsid w:val="00C04B37"/>
    <w:rsid w:val="00C16DD2"/>
    <w:rsid w:val="00C17416"/>
    <w:rsid w:val="00C249CB"/>
    <w:rsid w:val="00C249E7"/>
    <w:rsid w:val="00C42DBE"/>
    <w:rsid w:val="00C4331D"/>
    <w:rsid w:val="00C43CE3"/>
    <w:rsid w:val="00C44F79"/>
    <w:rsid w:val="00C5030B"/>
    <w:rsid w:val="00C715C9"/>
    <w:rsid w:val="00C73BF4"/>
    <w:rsid w:val="00C7492D"/>
    <w:rsid w:val="00C765FC"/>
    <w:rsid w:val="00C7761A"/>
    <w:rsid w:val="00C82854"/>
    <w:rsid w:val="00C910F9"/>
    <w:rsid w:val="00C916B7"/>
    <w:rsid w:val="00C925D9"/>
    <w:rsid w:val="00C93AA7"/>
    <w:rsid w:val="00C93BB4"/>
    <w:rsid w:val="00C968CC"/>
    <w:rsid w:val="00CA45D8"/>
    <w:rsid w:val="00CA50AA"/>
    <w:rsid w:val="00CB230B"/>
    <w:rsid w:val="00CB6AB0"/>
    <w:rsid w:val="00CC7F98"/>
    <w:rsid w:val="00CD0A64"/>
    <w:rsid w:val="00CD1C04"/>
    <w:rsid w:val="00CD434B"/>
    <w:rsid w:val="00CE2FA9"/>
    <w:rsid w:val="00CE600C"/>
    <w:rsid w:val="00D040D4"/>
    <w:rsid w:val="00D12256"/>
    <w:rsid w:val="00D202CD"/>
    <w:rsid w:val="00D23195"/>
    <w:rsid w:val="00D23670"/>
    <w:rsid w:val="00D24DCB"/>
    <w:rsid w:val="00D261C1"/>
    <w:rsid w:val="00D3506E"/>
    <w:rsid w:val="00D358ED"/>
    <w:rsid w:val="00D46984"/>
    <w:rsid w:val="00D46DE7"/>
    <w:rsid w:val="00D52381"/>
    <w:rsid w:val="00D55003"/>
    <w:rsid w:val="00D571C8"/>
    <w:rsid w:val="00D63EB6"/>
    <w:rsid w:val="00D768FC"/>
    <w:rsid w:val="00D77E89"/>
    <w:rsid w:val="00D91F29"/>
    <w:rsid w:val="00D9306D"/>
    <w:rsid w:val="00D93428"/>
    <w:rsid w:val="00DA3F61"/>
    <w:rsid w:val="00DA40F2"/>
    <w:rsid w:val="00DA4F6F"/>
    <w:rsid w:val="00DA6CBF"/>
    <w:rsid w:val="00DB55B9"/>
    <w:rsid w:val="00DB5B73"/>
    <w:rsid w:val="00DC10B6"/>
    <w:rsid w:val="00DD2AA9"/>
    <w:rsid w:val="00DD325D"/>
    <w:rsid w:val="00DD370E"/>
    <w:rsid w:val="00DE4739"/>
    <w:rsid w:val="00DE6DBF"/>
    <w:rsid w:val="00DF1C6E"/>
    <w:rsid w:val="00DF645C"/>
    <w:rsid w:val="00E0209C"/>
    <w:rsid w:val="00E0261D"/>
    <w:rsid w:val="00E0424E"/>
    <w:rsid w:val="00E04EB2"/>
    <w:rsid w:val="00E076D8"/>
    <w:rsid w:val="00E11A51"/>
    <w:rsid w:val="00E12E51"/>
    <w:rsid w:val="00E1628C"/>
    <w:rsid w:val="00E27D74"/>
    <w:rsid w:val="00E31782"/>
    <w:rsid w:val="00E37E78"/>
    <w:rsid w:val="00E43485"/>
    <w:rsid w:val="00E45876"/>
    <w:rsid w:val="00E47E89"/>
    <w:rsid w:val="00E51DDA"/>
    <w:rsid w:val="00E57B00"/>
    <w:rsid w:val="00E61813"/>
    <w:rsid w:val="00E6316C"/>
    <w:rsid w:val="00E65572"/>
    <w:rsid w:val="00E70594"/>
    <w:rsid w:val="00E71848"/>
    <w:rsid w:val="00E7189C"/>
    <w:rsid w:val="00E907D2"/>
    <w:rsid w:val="00EA3EF8"/>
    <w:rsid w:val="00EA64CD"/>
    <w:rsid w:val="00EB03A9"/>
    <w:rsid w:val="00EC1AD3"/>
    <w:rsid w:val="00EC7522"/>
    <w:rsid w:val="00ED3601"/>
    <w:rsid w:val="00EE31E5"/>
    <w:rsid w:val="00EF30F3"/>
    <w:rsid w:val="00EF7433"/>
    <w:rsid w:val="00F0250A"/>
    <w:rsid w:val="00F1123E"/>
    <w:rsid w:val="00F11E1E"/>
    <w:rsid w:val="00F1302E"/>
    <w:rsid w:val="00F15F93"/>
    <w:rsid w:val="00F1687D"/>
    <w:rsid w:val="00F20B37"/>
    <w:rsid w:val="00F51B55"/>
    <w:rsid w:val="00F54881"/>
    <w:rsid w:val="00F548E3"/>
    <w:rsid w:val="00F71C0B"/>
    <w:rsid w:val="00F7231A"/>
    <w:rsid w:val="00F854DD"/>
    <w:rsid w:val="00F93E4D"/>
    <w:rsid w:val="00F97FBD"/>
    <w:rsid w:val="00FA13C9"/>
    <w:rsid w:val="00FA17A9"/>
    <w:rsid w:val="00FA42DC"/>
    <w:rsid w:val="00FA50C6"/>
    <w:rsid w:val="00FA50F5"/>
    <w:rsid w:val="00FA632A"/>
    <w:rsid w:val="00FB3D77"/>
    <w:rsid w:val="00FB7029"/>
    <w:rsid w:val="00FC2199"/>
    <w:rsid w:val="00FC430D"/>
    <w:rsid w:val="00FD373D"/>
    <w:rsid w:val="00FE347F"/>
    <w:rsid w:val="00FE36D6"/>
    <w:rsid w:val="013D0C8F"/>
    <w:rsid w:val="02265BF0"/>
    <w:rsid w:val="023E34AC"/>
    <w:rsid w:val="028F35CD"/>
    <w:rsid w:val="02EA2FB5"/>
    <w:rsid w:val="03F12EC7"/>
    <w:rsid w:val="042652CB"/>
    <w:rsid w:val="044140B0"/>
    <w:rsid w:val="04442199"/>
    <w:rsid w:val="04510922"/>
    <w:rsid w:val="04630A0E"/>
    <w:rsid w:val="046E5F3E"/>
    <w:rsid w:val="05353BC1"/>
    <w:rsid w:val="05B427E3"/>
    <w:rsid w:val="05CE1A72"/>
    <w:rsid w:val="05FE7AEA"/>
    <w:rsid w:val="066C2792"/>
    <w:rsid w:val="06D4532D"/>
    <w:rsid w:val="07717805"/>
    <w:rsid w:val="07C862FE"/>
    <w:rsid w:val="08381BDD"/>
    <w:rsid w:val="084468EA"/>
    <w:rsid w:val="084D2A46"/>
    <w:rsid w:val="08A46D95"/>
    <w:rsid w:val="08D9595F"/>
    <w:rsid w:val="09063B2E"/>
    <w:rsid w:val="0ACF0E24"/>
    <w:rsid w:val="0B220E97"/>
    <w:rsid w:val="0B7A091B"/>
    <w:rsid w:val="0B7B7402"/>
    <w:rsid w:val="0C5138FA"/>
    <w:rsid w:val="0C8650FE"/>
    <w:rsid w:val="0CAD4AE9"/>
    <w:rsid w:val="0CF62B1C"/>
    <w:rsid w:val="0D0611A2"/>
    <w:rsid w:val="0D703925"/>
    <w:rsid w:val="0DD30A2F"/>
    <w:rsid w:val="0EBF35B2"/>
    <w:rsid w:val="0EF90670"/>
    <w:rsid w:val="0F5D0D44"/>
    <w:rsid w:val="0FA96339"/>
    <w:rsid w:val="0FC37281"/>
    <w:rsid w:val="109D620C"/>
    <w:rsid w:val="10A064BF"/>
    <w:rsid w:val="10AC5855"/>
    <w:rsid w:val="10AC760C"/>
    <w:rsid w:val="10AD2034"/>
    <w:rsid w:val="11190017"/>
    <w:rsid w:val="112F4BCC"/>
    <w:rsid w:val="11544A86"/>
    <w:rsid w:val="11836A93"/>
    <w:rsid w:val="11896E3E"/>
    <w:rsid w:val="11AA7207"/>
    <w:rsid w:val="123817F4"/>
    <w:rsid w:val="12497BCC"/>
    <w:rsid w:val="12B83F08"/>
    <w:rsid w:val="12BD4C21"/>
    <w:rsid w:val="133E0EDE"/>
    <w:rsid w:val="13CA6048"/>
    <w:rsid w:val="141324F9"/>
    <w:rsid w:val="14774208"/>
    <w:rsid w:val="14D85CF8"/>
    <w:rsid w:val="150739DF"/>
    <w:rsid w:val="15074AED"/>
    <w:rsid w:val="15AA4F35"/>
    <w:rsid w:val="15B97E38"/>
    <w:rsid w:val="18061A49"/>
    <w:rsid w:val="1A00042F"/>
    <w:rsid w:val="1A116732"/>
    <w:rsid w:val="1A6A373F"/>
    <w:rsid w:val="1AE861B6"/>
    <w:rsid w:val="1B0715B5"/>
    <w:rsid w:val="1B3936BD"/>
    <w:rsid w:val="1CF143E3"/>
    <w:rsid w:val="1CFC5F83"/>
    <w:rsid w:val="1D510869"/>
    <w:rsid w:val="1DBC40F4"/>
    <w:rsid w:val="1DF84287"/>
    <w:rsid w:val="1E2F7572"/>
    <w:rsid w:val="1E6348C6"/>
    <w:rsid w:val="1F971487"/>
    <w:rsid w:val="1FFA1B6C"/>
    <w:rsid w:val="21BF6FD8"/>
    <w:rsid w:val="21E159FA"/>
    <w:rsid w:val="222A4E99"/>
    <w:rsid w:val="22BE2F35"/>
    <w:rsid w:val="22DA2EC8"/>
    <w:rsid w:val="230C18DE"/>
    <w:rsid w:val="239713D5"/>
    <w:rsid w:val="23AE48A1"/>
    <w:rsid w:val="242D39ED"/>
    <w:rsid w:val="26144CB6"/>
    <w:rsid w:val="269D3BA8"/>
    <w:rsid w:val="26E77C92"/>
    <w:rsid w:val="26EB567A"/>
    <w:rsid w:val="26EC5F66"/>
    <w:rsid w:val="27590D32"/>
    <w:rsid w:val="27A4518A"/>
    <w:rsid w:val="2839215A"/>
    <w:rsid w:val="29445F75"/>
    <w:rsid w:val="29C9387B"/>
    <w:rsid w:val="2A16165A"/>
    <w:rsid w:val="2A2C5930"/>
    <w:rsid w:val="2A3815A4"/>
    <w:rsid w:val="2B6E32AC"/>
    <w:rsid w:val="2B910FBB"/>
    <w:rsid w:val="2BDD60EE"/>
    <w:rsid w:val="2C254334"/>
    <w:rsid w:val="2C3A4574"/>
    <w:rsid w:val="2C6509F7"/>
    <w:rsid w:val="2CA51D0C"/>
    <w:rsid w:val="2D396490"/>
    <w:rsid w:val="2E5F4501"/>
    <w:rsid w:val="2E9A7FD1"/>
    <w:rsid w:val="2E9F2106"/>
    <w:rsid w:val="2F370591"/>
    <w:rsid w:val="2FB44A31"/>
    <w:rsid w:val="2FD06A0E"/>
    <w:rsid w:val="302C6EB7"/>
    <w:rsid w:val="304940D8"/>
    <w:rsid w:val="313D1A2E"/>
    <w:rsid w:val="317C23EC"/>
    <w:rsid w:val="318D3EF4"/>
    <w:rsid w:val="325838F8"/>
    <w:rsid w:val="33201363"/>
    <w:rsid w:val="33B01D23"/>
    <w:rsid w:val="343611D9"/>
    <w:rsid w:val="346100C4"/>
    <w:rsid w:val="34D11D50"/>
    <w:rsid w:val="358A7CD4"/>
    <w:rsid w:val="35DF7F30"/>
    <w:rsid w:val="37280C30"/>
    <w:rsid w:val="380B4818"/>
    <w:rsid w:val="382B0AC6"/>
    <w:rsid w:val="38424723"/>
    <w:rsid w:val="390239E3"/>
    <w:rsid w:val="397E5B24"/>
    <w:rsid w:val="3AF05876"/>
    <w:rsid w:val="3BE7778D"/>
    <w:rsid w:val="3BE93138"/>
    <w:rsid w:val="3C0402A9"/>
    <w:rsid w:val="3C491B42"/>
    <w:rsid w:val="3D874E8B"/>
    <w:rsid w:val="3DE641E3"/>
    <w:rsid w:val="3EA80906"/>
    <w:rsid w:val="3F965193"/>
    <w:rsid w:val="3FAA3D0F"/>
    <w:rsid w:val="40080915"/>
    <w:rsid w:val="407451A1"/>
    <w:rsid w:val="40A64A48"/>
    <w:rsid w:val="40FC54A9"/>
    <w:rsid w:val="41575C26"/>
    <w:rsid w:val="42C94619"/>
    <w:rsid w:val="43C53D7E"/>
    <w:rsid w:val="456C0479"/>
    <w:rsid w:val="45F11F97"/>
    <w:rsid w:val="45FE69D2"/>
    <w:rsid w:val="461E4F39"/>
    <w:rsid w:val="46337F55"/>
    <w:rsid w:val="465C039E"/>
    <w:rsid w:val="467F74FD"/>
    <w:rsid w:val="46AC2EC2"/>
    <w:rsid w:val="46BE7BE3"/>
    <w:rsid w:val="46F10BCE"/>
    <w:rsid w:val="471C573F"/>
    <w:rsid w:val="47232D72"/>
    <w:rsid w:val="476F1654"/>
    <w:rsid w:val="4818592A"/>
    <w:rsid w:val="4819210B"/>
    <w:rsid w:val="48600AF5"/>
    <w:rsid w:val="487F4355"/>
    <w:rsid w:val="48D228E2"/>
    <w:rsid w:val="49CF42B2"/>
    <w:rsid w:val="49D76E6D"/>
    <w:rsid w:val="4A121534"/>
    <w:rsid w:val="4A720214"/>
    <w:rsid w:val="4A82495E"/>
    <w:rsid w:val="4AA062FE"/>
    <w:rsid w:val="4AB33818"/>
    <w:rsid w:val="4AB62EDF"/>
    <w:rsid w:val="4AB91FBD"/>
    <w:rsid w:val="4BE66EB6"/>
    <w:rsid w:val="4BEC6DD2"/>
    <w:rsid w:val="4CD9696A"/>
    <w:rsid w:val="4CFF7CD7"/>
    <w:rsid w:val="4D14268F"/>
    <w:rsid w:val="4D4C37E6"/>
    <w:rsid w:val="4D5116EB"/>
    <w:rsid w:val="4D8E63CD"/>
    <w:rsid w:val="4E05487E"/>
    <w:rsid w:val="4E4F2A5C"/>
    <w:rsid w:val="4E51345A"/>
    <w:rsid w:val="4E847070"/>
    <w:rsid w:val="4E901E69"/>
    <w:rsid w:val="4EA74689"/>
    <w:rsid w:val="4EB958DE"/>
    <w:rsid w:val="4ED76F61"/>
    <w:rsid w:val="4FF144EF"/>
    <w:rsid w:val="50067582"/>
    <w:rsid w:val="50101B8B"/>
    <w:rsid w:val="50473C40"/>
    <w:rsid w:val="511A5970"/>
    <w:rsid w:val="5144296E"/>
    <w:rsid w:val="515D79B2"/>
    <w:rsid w:val="52A61682"/>
    <w:rsid w:val="534D3630"/>
    <w:rsid w:val="53AA53AB"/>
    <w:rsid w:val="548D36A9"/>
    <w:rsid w:val="54B83738"/>
    <w:rsid w:val="550206FA"/>
    <w:rsid w:val="55377E3B"/>
    <w:rsid w:val="55A42A5F"/>
    <w:rsid w:val="55F21915"/>
    <w:rsid w:val="55FC102D"/>
    <w:rsid w:val="560C4C1F"/>
    <w:rsid w:val="56306667"/>
    <w:rsid w:val="56E43BBC"/>
    <w:rsid w:val="571C3A45"/>
    <w:rsid w:val="577F16C7"/>
    <w:rsid w:val="57AC5430"/>
    <w:rsid w:val="57B043AC"/>
    <w:rsid w:val="5815572A"/>
    <w:rsid w:val="585A172A"/>
    <w:rsid w:val="59B91A1F"/>
    <w:rsid w:val="5A48661F"/>
    <w:rsid w:val="5A9849CE"/>
    <w:rsid w:val="5AB30704"/>
    <w:rsid w:val="5BCD5505"/>
    <w:rsid w:val="5C4A5CE6"/>
    <w:rsid w:val="5CD16B63"/>
    <w:rsid w:val="5DCE0A2C"/>
    <w:rsid w:val="5DE27796"/>
    <w:rsid w:val="5E8368B6"/>
    <w:rsid w:val="5F304531"/>
    <w:rsid w:val="603C7559"/>
    <w:rsid w:val="605E1B89"/>
    <w:rsid w:val="60F12D4F"/>
    <w:rsid w:val="60F4144B"/>
    <w:rsid w:val="61056B6B"/>
    <w:rsid w:val="614A57D0"/>
    <w:rsid w:val="627E552B"/>
    <w:rsid w:val="63E72562"/>
    <w:rsid w:val="6465521A"/>
    <w:rsid w:val="653350E4"/>
    <w:rsid w:val="65A46CFB"/>
    <w:rsid w:val="677C7511"/>
    <w:rsid w:val="67CD3D0A"/>
    <w:rsid w:val="684D08E6"/>
    <w:rsid w:val="686B7960"/>
    <w:rsid w:val="68A74DAF"/>
    <w:rsid w:val="68B94451"/>
    <w:rsid w:val="69F562CA"/>
    <w:rsid w:val="6A4C5871"/>
    <w:rsid w:val="6A7A16B8"/>
    <w:rsid w:val="6A7C3EA1"/>
    <w:rsid w:val="6C10011C"/>
    <w:rsid w:val="6C5612A6"/>
    <w:rsid w:val="6C654F9E"/>
    <w:rsid w:val="6C683FA2"/>
    <w:rsid w:val="6C9A00B3"/>
    <w:rsid w:val="6D280607"/>
    <w:rsid w:val="6D30388D"/>
    <w:rsid w:val="6DBB0FD2"/>
    <w:rsid w:val="6DDB0D3D"/>
    <w:rsid w:val="6E3D5E7A"/>
    <w:rsid w:val="6EF41419"/>
    <w:rsid w:val="6F1514B7"/>
    <w:rsid w:val="6FC96806"/>
    <w:rsid w:val="706F54E0"/>
    <w:rsid w:val="71E433EE"/>
    <w:rsid w:val="721F42A2"/>
    <w:rsid w:val="73510988"/>
    <w:rsid w:val="735C724B"/>
    <w:rsid w:val="73997733"/>
    <w:rsid w:val="740D4720"/>
    <w:rsid w:val="74105ADB"/>
    <w:rsid w:val="75181B9E"/>
    <w:rsid w:val="751E428E"/>
    <w:rsid w:val="75622B13"/>
    <w:rsid w:val="75DC0D55"/>
    <w:rsid w:val="767975E1"/>
    <w:rsid w:val="77A52BC3"/>
    <w:rsid w:val="77FB2126"/>
    <w:rsid w:val="783E4EAA"/>
    <w:rsid w:val="78751554"/>
    <w:rsid w:val="796B3C49"/>
    <w:rsid w:val="79BB02EA"/>
    <w:rsid w:val="7A02105D"/>
    <w:rsid w:val="7A340CDB"/>
    <w:rsid w:val="7A5705A3"/>
    <w:rsid w:val="7B0F5A7C"/>
    <w:rsid w:val="7C000463"/>
    <w:rsid w:val="7C4C3B61"/>
    <w:rsid w:val="7C6929D9"/>
    <w:rsid w:val="7D4F11DB"/>
    <w:rsid w:val="7DAB410C"/>
    <w:rsid w:val="7DB927A1"/>
    <w:rsid w:val="7E5F6D40"/>
    <w:rsid w:val="7E6431D4"/>
    <w:rsid w:val="7E6673C5"/>
    <w:rsid w:val="7EF31E24"/>
    <w:rsid w:val="7F490A51"/>
    <w:rsid w:val="7F906BBA"/>
    <w:rsid w:val="7FE668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7"/>
    <w:qFormat/>
    <w:uiPriority w:val="0"/>
    <w:pPr>
      <w:keepNext/>
      <w:keepLines/>
      <w:pageBreakBefore/>
      <w:spacing w:line="360" w:lineRule="auto"/>
      <w:outlineLvl w:val="0"/>
    </w:pPr>
    <w:rPr>
      <w:rFonts w:eastAsia="黑体"/>
      <w:b/>
      <w:bCs/>
      <w:kern w:val="44"/>
      <w:sz w:val="28"/>
      <w:szCs w:val="44"/>
    </w:rPr>
  </w:style>
  <w:style w:type="paragraph" w:styleId="3">
    <w:name w:val="heading 2"/>
    <w:basedOn w:val="1"/>
    <w:next w:val="1"/>
    <w:link w:val="55"/>
    <w:qFormat/>
    <w:uiPriority w:val="0"/>
    <w:pPr>
      <w:keepNext/>
      <w:keepLines/>
      <w:spacing w:before="260" w:after="260" w:line="416" w:lineRule="auto"/>
      <w:outlineLvl w:val="1"/>
    </w:pPr>
    <w:rPr>
      <w:rFonts w:eastAsia="仿宋_GB2312"/>
      <w:b/>
      <w:bCs/>
      <w:sz w:val="28"/>
      <w:szCs w:val="32"/>
    </w:rPr>
  </w:style>
  <w:style w:type="paragraph" w:styleId="4">
    <w:name w:val="heading 3"/>
    <w:basedOn w:val="1"/>
    <w:next w:val="1"/>
    <w:link w:val="56"/>
    <w:qFormat/>
    <w:uiPriority w:val="0"/>
    <w:pPr>
      <w:keepNext/>
      <w:keepLines/>
      <w:spacing w:before="260" w:after="260" w:line="416" w:lineRule="auto"/>
      <w:outlineLvl w:val="2"/>
    </w:pPr>
    <w:rPr>
      <w:b/>
      <w:bCs/>
      <w:sz w:val="32"/>
      <w:szCs w:val="32"/>
    </w:rPr>
  </w:style>
  <w:style w:type="paragraph" w:styleId="5">
    <w:name w:val="heading 4"/>
    <w:basedOn w:val="1"/>
    <w:next w:val="1"/>
    <w:link w:val="5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9"/>
    <w:qFormat/>
    <w:uiPriority w:val="0"/>
    <w:pPr>
      <w:keepNext/>
      <w:keepLines/>
      <w:spacing w:before="280" w:after="290" w:line="376" w:lineRule="auto"/>
      <w:outlineLvl w:val="4"/>
    </w:pPr>
    <w:rPr>
      <w:b/>
      <w:bCs/>
      <w:sz w:val="28"/>
      <w:szCs w:val="28"/>
    </w:rPr>
  </w:style>
  <w:style w:type="paragraph" w:styleId="7">
    <w:name w:val="heading 6"/>
    <w:basedOn w:val="1"/>
    <w:next w:val="1"/>
    <w:link w:val="60"/>
    <w:qFormat/>
    <w:uiPriority w:val="0"/>
    <w:pPr>
      <w:keepNext/>
      <w:keepLines/>
      <w:spacing w:before="240" w:after="64" w:line="320" w:lineRule="auto"/>
      <w:outlineLvl w:val="5"/>
    </w:pPr>
    <w:rPr>
      <w:rFonts w:ascii="Arial" w:hAnsi="Arial" w:eastAsia="黑体"/>
      <w:b/>
      <w:bCs/>
      <w:sz w:val="24"/>
      <w:szCs w:val="24"/>
    </w:rPr>
  </w:style>
  <w:style w:type="paragraph" w:styleId="8">
    <w:name w:val="heading 7"/>
    <w:basedOn w:val="1"/>
    <w:next w:val="1"/>
    <w:link w:val="61"/>
    <w:qFormat/>
    <w:uiPriority w:val="0"/>
    <w:pPr>
      <w:keepNext/>
      <w:keepLines/>
      <w:spacing w:before="240" w:after="64" w:line="320" w:lineRule="auto"/>
      <w:outlineLvl w:val="6"/>
    </w:pPr>
    <w:rPr>
      <w:b/>
      <w:bCs/>
      <w:sz w:val="24"/>
      <w:szCs w:val="24"/>
    </w:rPr>
  </w:style>
  <w:style w:type="paragraph" w:styleId="9">
    <w:name w:val="heading 8"/>
    <w:basedOn w:val="1"/>
    <w:next w:val="1"/>
    <w:link w:val="62"/>
    <w:qFormat/>
    <w:uiPriority w:val="0"/>
    <w:pPr>
      <w:keepNext/>
      <w:keepLines/>
      <w:spacing w:before="240" w:after="64" w:line="320" w:lineRule="auto"/>
      <w:outlineLvl w:val="7"/>
    </w:pPr>
    <w:rPr>
      <w:rFonts w:ascii="Arial" w:hAnsi="Arial" w:eastAsia="黑体"/>
      <w:sz w:val="24"/>
      <w:szCs w:val="24"/>
    </w:rPr>
  </w:style>
  <w:style w:type="paragraph" w:styleId="10">
    <w:name w:val="heading 9"/>
    <w:basedOn w:val="1"/>
    <w:next w:val="1"/>
    <w:link w:val="63"/>
    <w:qFormat/>
    <w:uiPriority w:val="0"/>
    <w:pPr>
      <w:keepNext/>
      <w:keepLines/>
      <w:spacing w:before="240" w:after="64" w:line="320" w:lineRule="auto"/>
      <w:outlineLvl w:val="8"/>
    </w:pPr>
    <w:rPr>
      <w:rFonts w:ascii="Arial" w:hAnsi="Arial" w:eastAsia="黑体"/>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link w:val="88"/>
    <w:qFormat/>
    <w:uiPriority w:val="0"/>
    <w:pPr>
      <w:ind w:firstLine="200" w:firstLineChars="200"/>
    </w:pPr>
    <w:rPr>
      <w:sz w:val="28"/>
      <w:szCs w:val="24"/>
    </w:rPr>
  </w:style>
  <w:style w:type="paragraph" w:styleId="12">
    <w:name w:val="caption"/>
    <w:basedOn w:val="1"/>
    <w:next w:val="1"/>
    <w:qFormat/>
    <w:uiPriority w:val="0"/>
    <w:rPr>
      <w:rFonts w:ascii="Arial" w:hAnsi="Arial" w:eastAsia="黑体" w:cs="Arial"/>
      <w:sz w:val="20"/>
    </w:rPr>
  </w:style>
  <w:style w:type="paragraph" w:styleId="13">
    <w:name w:val="Document Map"/>
    <w:basedOn w:val="1"/>
    <w:link w:val="66"/>
    <w:qFormat/>
    <w:uiPriority w:val="0"/>
    <w:pPr>
      <w:shd w:val="clear" w:color="auto" w:fill="000080"/>
    </w:pPr>
  </w:style>
  <w:style w:type="paragraph" w:styleId="14">
    <w:name w:val="annotation text"/>
    <w:basedOn w:val="1"/>
    <w:link w:val="64"/>
    <w:unhideWhenUsed/>
    <w:qFormat/>
    <w:uiPriority w:val="99"/>
    <w:pPr>
      <w:jc w:val="left"/>
    </w:pPr>
  </w:style>
  <w:style w:type="paragraph" w:styleId="15">
    <w:name w:val="Salutation"/>
    <w:basedOn w:val="1"/>
    <w:next w:val="1"/>
    <w:qFormat/>
    <w:uiPriority w:val="0"/>
    <w:pPr>
      <w:adjustRightInd w:val="0"/>
      <w:spacing w:line="360" w:lineRule="atLeast"/>
      <w:textAlignment w:val="baseline"/>
    </w:pPr>
    <w:rPr>
      <w:rFonts w:ascii="宋体" w:hAnsi="华文宋体"/>
      <w:sz w:val="28"/>
      <w:szCs w:val="24"/>
    </w:rPr>
  </w:style>
  <w:style w:type="paragraph" w:styleId="16">
    <w:name w:val="Body Text 3"/>
    <w:basedOn w:val="1"/>
    <w:link w:val="67"/>
    <w:qFormat/>
    <w:uiPriority w:val="0"/>
    <w:rPr>
      <w:rFonts w:ascii="宋体"/>
    </w:rPr>
  </w:style>
  <w:style w:type="paragraph" w:styleId="17">
    <w:name w:val="Body Text"/>
    <w:basedOn w:val="1"/>
    <w:next w:val="1"/>
    <w:link w:val="68"/>
    <w:qFormat/>
    <w:uiPriority w:val="0"/>
    <w:pPr>
      <w:spacing w:line="240" w:lineRule="atLeast"/>
      <w:ind w:right="-154"/>
    </w:pPr>
    <w:rPr>
      <w:rFonts w:ascii="宋体"/>
      <w:sz w:val="24"/>
    </w:rPr>
  </w:style>
  <w:style w:type="paragraph" w:styleId="18">
    <w:name w:val="Body Text Indent"/>
    <w:basedOn w:val="1"/>
    <w:next w:val="11"/>
    <w:link w:val="69"/>
    <w:qFormat/>
    <w:uiPriority w:val="0"/>
    <w:pPr>
      <w:spacing w:line="360" w:lineRule="auto"/>
      <w:ind w:firstLine="480"/>
    </w:pPr>
    <w:rPr>
      <w:sz w:val="24"/>
    </w:rPr>
  </w:style>
  <w:style w:type="paragraph" w:styleId="19">
    <w:name w:val="toc 3"/>
    <w:basedOn w:val="1"/>
    <w:next w:val="1"/>
    <w:qFormat/>
    <w:uiPriority w:val="39"/>
    <w:pPr>
      <w:ind w:left="840" w:leftChars="400"/>
    </w:pPr>
  </w:style>
  <w:style w:type="paragraph" w:styleId="20">
    <w:name w:val="Plain Text"/>
    <w:basedOn w:val="1"/>
    <w:next w:val="15"/>
    <w:link w:val="131"/>
    <w:qFormat/>
    <w:uiPriority w:val="0"/>
    <w:pPr>
      <w:spacing w:line="360" w:lineRule="auto"/>
      <w:ind w:firstLine="200" w:firstLineChars="200"/>
    </w:pPr>
    <w:rPr>
      <w:rFonts w:ascii="宋体" w:hAnsi="Courier New"/>
      <w:szCs w:val="24"/>
    </w:rPr>
  </w:style>
  <w:style w:type="paragraph" w:styleId="21">
    <w:name w:val="Body Text Indent 2"/>
    <w:basedOn w:val="1"/>
    <w:link w:val="70"/>
    <w:qFormat/>
    <w:uiPriority w:val="0"/>
    <w:pPr>
      <w:spacing w:line="360" w:lineRule="auto"/>
      <w:ind w:firstLine="480" w:firstLineChars="200"/>
    </w:pPr>
    <w:rPr>
      <w:color w:val="000000"/>
      <w:sz w:val="24"/>
    </w:rPr>
  </w:style>
  <w:style w:type="paragraph" w:styleId="22">
    <w:name w:val="Balloon Text"/>
    <w:basedOn w:val="1"/>
    <w:link w:val="71"/>
    <w:qFormat/>
    <w:uiPriority w:val="0"/>
    <w:rPr>
      <w:sz w:val="18"/>
    </w:rPr>
  </w:style>
  <w:style w:type="paragraph" w:styleId="23">
    <w:name w:val="footer"/>
    <w:basedOn w:val="1"/>
    <w:link w:val="72"/>
    <w:qFormat/>
    <w:uiPriority w:val="99"/>
    <w:pPr>
      <w:tabs>
        <w:tab w:val="center" w:pos="4153"/>
        <w:tab w:val="right" w:pos="8306"/>
      </w:tabs>
      <w:snapToGrid w:val="0"/>
      <w:jc w:val="left"/>
    </w:pPr>
    <w:rPr>
      <w:sz w:val="18"/>
      <w:szCs w:val="18"/>
    </w:rPr>
  </w:style>
  <w:style w:type="paragraph" w:styleId="24">
    <w:name w:val="header"/>
    <w:basedOn w:val="1"/>
    <w:link w:val="74"/>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tabs>
        <w:tab w:val="left" w:pos="420"/>
        <w:tab w:val="right" w:leader="dot" w:pos="8303"/>
      </w:tabs>
    </w:pPr>
    <w:rPr>
      <w:rFonts w:ascii="仿宋_GB2312" w:hAnsi="Arial Black" w:eastAsia="仿宋_GB2312"/>
      <w:sz w:val="28"/>
    </w:rPr>
  </w:style>
  <w:style w:type="paragraph" w:styleId="26">
    <w:name w:val="index heading"/>
    <w:basedOn w:val="1"/>
    <w:next w:val="1"/>
    <w:qFormat/>
    <w:uiPriority w:val="0"/>
    <w:rPr>
      <w:rFonts w:ascii="Arial" w:hAnsi="Arial" w:cs="Arial"/>
      <w:b/>
      <w:bCs/>
    </w:rPr>
  </w:style>
  <w:style w:type="paragraph" w:styleId="27">
    <w:name w:val="List"/>
    <w:basedOn w:val="1"/>
    <w:qFormat/>
    <w:uiPriority w:val="0"/>
    <w:pPr>
      <w:ind w:left="200" w:hanging="200" w:hangingChars="200"/>
    </w:pPr>
  </w:style>
  <w:style w:type="paragraph" w:styleId="28">
    <w:name w:val="Body Text Indent 3"/>
    <w:basedOn w:val="1"/>
    <w:link w:val="75"/>
    <w:qFormat/>
    <w:uiPriority w:val="0"/>
    <w:pPr>
      <w:tabs>
        <w:tab w:val="left" w:pos="604"/>
      </w:tabs>
      <w:spacing w:line="360" w:lineRule="auto"/>
      <w:ind w:firstLine="600"/>
    </w:pPr>
    <w:rPr>
      <w:sz w:val="24"/>
      <w:szCs w:val="24"/>
    </w:rPr>
  </w:style>
  <w:style w:type="paragraph" w:styleId="29">
    <w:name w:val="toc 2"/>
    <w:basedOn w:val="1"/>
    <w:next w:val="1"/>
    <w:qFormat/>
    <w:uiPriority w:val="39"/>
    <w:pPr>
      <w:ind w:left="420" w:leftChars="200"/>
    </w:pPr>
  </w:style>
  <w:style w:type="paragraph" w:styleId="30">
    <w:name w:val="Body Text 2"/>
    <w:basedOn w:val="1"/>
    <w:link w:val="76"/>
    <w:qFormat/>
    <w:uiPriority w:val="0"/>
    <w:rPr>
      <w:b/>
      <w:bCs/>
      <w:sz w:val="24"/>
    </w:rPr>
  </w:style>
  <w:style w:type="paragraph" w:styleId="31">
    <w:name w:val="HTML Preformatted"/>
    <w:basedOn w:val="1"/>
    <w:link w:val="7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2">
    <w:name w:val="Normal (Web)"/>
    <w:basedOn w:val="1"/>
    <w:link w:val="129"/>
    <w:qFormat/>
    <w:uiPriority w:val="99"/>
    <w:pPr>
      <w:widowControl/>
      <w:spacing w:before="100" w:beforeAutospacing="1" w:after="100" w:afterAutospacing="1"/>
      <w:jc w:val="left"/>
    </w:pPr>
    <w:rPr>
      <w:rFonts w:ascii="宋体" w:hAnsi="宋体" w:cs="宋体"/>
      <w:kern w:val="0"/>
      <w:sz w:val="24"/>
      <w:szCs w:val="24"/>
    </w:rPr>
  </w:style>
  <w:style w:type="paragraph" w:styleId="33">
    <w:name w:val="index 1"/>
    <w:basedOn w:val="1"/>
    <w:next w:val="1"/>
    <w:qFormat/>
    <w:uiPriority w:val="0"/>
  </w:style>
  <w:style w:type="paragraph" w:styleId="34">
    <w:name w:val="annotation subject"/>
    <w:basedOn w:val="14"/>
    <w:next w:val="14"/>
    <w:link w:val="65"/>
    <w:qFormat/>
    <w:uiPriority w:val="0"/>
    <w:rPr>
      <w:b/>
      <w:bCs/>
    </w:rPr>
  </w:style>
  <w:style w:type="paragraph" w:styleId="35">
    <w:name w:val="Body Text First Indent"/>
    <w:basedOn w:val="17"/>
    <w:next w:val="1"/>
    <w:qFormat/>
    <w:uiPriority w:val="0"/>
    <w:pPr>
      <w:spacing w:after="120" w:line="240" w:lineRule="auto"/>
      <w:ind w:right="0" w:firstLine="420" w:firstLineChars="100"/>
    </w:pPr>
    <w:rPr>
      <w:sz w:val="21"/>
    </w:rPr>
  </w:style>
  <w:style w:type="paragraph" w:styleId="36">
    <w:name w:val="Body Text First Indent 2"/>
    <w:basedOn w:val="18"/>
    <w:next w:val="35"/>
    <w:link w:val="73"/>
    <w:unhideWhenUsed/>
    <w:qFormat/>
    <w:uiPriority w:val="99"/>
    <w:pPr>
      <w:spacing w:after="120" w:line="240" w:lineRule="auto"/>
      <w:ind w:left="420" w:leftChars="200" w:firstLine="420" w:firstLineChars="200"/>
    </w:pPr>
    <w:rPr>
      <w:sz w:val="21"/>
    </w:rPr>
  </w:style>
  <w:style w:type="table" w:styleId="38">
    <w:name w:val="Table Grid"/>
    <w:basedOn w:val="37"/>
    <w:unhideWhenUsed/>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40">
    <w:name w:val="Strong"/>
    <w:qFormat/>
    <w:uiPriority w:val="0"/>
    <w:rPr>
      <w:b/>
      <w:bCs/>
    </w:rPr>
  </w:style>
  <w:style w:type="character" w:styleId="41">
    <w:name w:val="page number"/>
    <w:basedOn w:val="39"/>
    <w:qFormat/>
    <w:uiPriority w:val="0"/>
  </w:style>
  <w:style w:type="character" w:styleId="42">
    <w:name w:val="FollowedHyperlink"/>
    <w:basedOn w:val="39"/>
    <w:semiHidden/>
    <w:unhideWhenUsed/>
    <w:qFormat/>
    <w:uiPriority w:val="99"/>
    <w:rPr>
      <w:color w:val="333333"/>
      <w:u w:val="none"/>
    </w:rPr>
  </w:style>
  <w:style w:type="character" w:styleId="43">
    <w:name w:val="Emphasis"/>
    <w:qFormat/>
    <w:uiPriority w:val="20"/>
    <w:rPr>
      <w:i/>
      <w:iCs/>
    </w:rPr>
  </w:style>
  <w:style w:type="character" w:styleId="44">
    <w:name w:val="HTML Definition"/>
    <w:basedOn w:val="39"/>
    <w:semiHidden/>
    <w:unhideWhenUsed/>
    <w:qFormat/>
    <w:uiPriority w:val="99"/>
  </w:style>
  <w:style w:type="character" w:styleId="45">
    <w:name w:val="HTML Variable"/>
    <w:basedOn w:val="39"/>
    <w:semiHidden/>
    <w:unhideWhenUsed/>
    <w:qFormat/>
    <w:uiPriority w:val="99"/>
  </w:style>
  <w:style w:type="character" w:styleId="46">
    <w:name w:val="Hyperlink"/>
    <w:basedOn w:val="39"/>
    <w:qFormat/>
    <w:uiPriority w:val="99"/>
    <w:rPr>
      <w:color w:val="333333"/>
      <w:u w:val="none"/>
    </w:rPr>
  </w:style>
  <w:style w:type="character" w:styleId="47">
    <w:name w:val="HTML Code"/>
    <w:basedOn w:val="39"/>
    <w:semiHidden/>
    <w:unhideWhenUsed/>
    <w:qFormat/>
    <w:uiPriority w:val="99"/>
    <w:rPr>
      <w:rFonts w:ascii="Courier New" w:hAnsi="Courier New"/>
      <w:sz w:val="20"/>
    </w:rPr>
  </w:style>
  <w:style w:type="character" w:styleId="48">
    <w:name w:val="annotation reference"/>
    <w:basedOn w:val="39"/>
    <w:qFormat/>
    <w:uiPriority w:val="0"/>
    <w:rPr>
      <w:sz w:val="21"/>
      <w:szCs w:val="21"/>
    </w:rPr>
  </w:style>
  <w:style w:type="character" w:styleId="49">
    <w:name w:val="HTML Cite"/>
    <w:basedOn w:val="39"/>
    <w:semiHidden/>
    <w:unhideWhenUsed/>
    <w:qFormat/>
    <w:uiPriority w:val="99"/>
  </w:style>
  <w:style w:type="paragraph" w:customStyle="1" w:styleId="50">
    <w:name w:val="0正文"/>
    <w:basedOn w:val="32"/>
    <w:qFormat/>
    <w:uiPriority w:val="0"/>
    <w:pPr>
      <w:spacing w:before="0" w:beforeAutospacing="0" w:after="0" w:afterAutospacing="0"/>
      <w:ind w:firstLine="482"/>
      <w:jc w:val="both"/>
    </w:pPr>
    <w:rPr>
      <w:rFonts w:ascii="Times New Roman" w:hAnsi="Times New Roman"/>
      <w:kern w:val="2"/>
    </w:rPr>
  </w:style>
  <w:style w:type="paragraph" w:customStyle="1" w:styleId="51">
    <w:name w:val="Default"/>
    <w:basedOn w:val="52"/>
    <w:next w:val="54"/>
    <w:qFormat/>
    <w:uiPriority w:val="0"/>
    <w:pPr>
      <w:widowControl w:val="0"/>
      <w:autoSpaceDE w:val="0"/>
      <w:autoSpaceDN w:val="0"/>
      <w:adjustRightInd w:val="0"/>
    </w:pPr>
    <w:rPr>
      <w:rFonts w:ascii="宋体" w:eastAsia="宋体" w:cs="宋体"/>
      <w:color w:val="000000"/>
      <w:sz w:val="24"/>
    </w:rPr>
  </w:style>
  <w:style w:type="paragraph" w:customStyle="1" w:styleId="52">
    <w:name w:val="标题 段落4级"/>
    <w:basedOn w:val="53"/>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53">
    <w:name w:val="正文 文本"/>
    <w:qFormat/>
    <w:uiPriority w:val="0"/>
    <w:pPr>
      <w:widowControl w:val="0"/>
      <w:snapToGrid w:val="0"/>
      <w:ind w:firstLine="200" w:firstLineChars="200"/>
      <w:jc w:val="both"/>
    </w:pPr>
    <w:rPr>
      <w:rFonts w:eastAsia="仿宋_GB2312" w:asciiTheme="minorHAnsi" w:hAnsiTheme="minorHAnsi" w:cstheme="minorBidi"/>
      <w:kern w:val="2"/>
      <w:sz w:val="28"/>
      <w:szCs w:val="24"/>
      <w:lang w:val="en-US" w:eastAsia="zh-CN" w:bidi="ar-SA"/>
    </w:rPr>
  </w:style>
  <w:style w:type="paragraph" w:customStyle="1" w:styleId="54">
    <w:name w:val="样式1"/>
    <w:basedOn w:val="26"/>
    <w:next w:val="1"/>
    <w:qFormat/>
    <w:uiPriority w:val="0"/>
  </w:style>
  <w:style w:type="character" w:customStyle="1" w:styleId="55">
    <w:name w:val="标题 2 字符"/>
    <w:basedOn w:val="39"/>
    <w:link w:val="3"/>
    <w:qFormat/>
    <w:uiPriority w:val="0"/>
    <w:rPr>
      <w:rFonts w:ascii="Times New Roman" w:hAnsi="Times New Roman" w:eastAsia="仿宋_GB2312" w:cs="Times New Roman"/>
      <w:b/>
      <w:bCs/>
      <w:sz w:val="28"/>
      <w:szCs w:val="32"/>
    </w:rPr>
  </w:style>
  <w:style w:type="character" w:customStyle="1" w:styleId="56">
    <w:name w:val="标题 3 字符"/>
    <w:basedOn w:val="39"/>
    <w:link w:val="4"/>
    <w:qFormat/>
    <w:uiPriority w:val="0"/>
    <w:rPr>
      <w:rFonts w:ascii="Times New Roman" w:hAnsi="Times New Roman" w:eastAsia="宋体" w:cs="Times New Roman"/>
      <w:b/>
      <w:bCs/>
      <w:sz w:val="32"/>
      <w:szCs w:val="32"/>
    </w:rPr>
  </w:style>
  <w:style w:type="character" w:customStyle="1" w:styleId="57">
    <w:name w:val="标题 1 字符"/>
    <w:basedOn w:val="39"/>
    <w:link w:val="2"/>
    <w:qFormat/>
    <w:uiPriority w:val="0"/>
    <w:rPr>
      <w:rFonts w:ascii="Times New Roman" w:hAnsi="Times New Roman" w:eastAsia="黑体" w:cs="Times New Roman"/>
      <w:b/>
      <w:bCs/>
      <w:kern w:val="44"/>
      <w:sz w:val="28"/>
      <w:szCs w:val="44"/>
    </w:rPr>
  </w:style>
  <w:style w:type="character" w:customStyle="1" w:styleId="58">
    <w:name w:val="标题 4 字符"/>
    <w:basedOn w:val="39"/>
    <w:link w:val="5"/>
    <w:qFormat/>
    <w:uiPriority w:val="0"/>
    <w:rPr>
      <w:rFonts w:ascii="Arial" w:hAnsi="Arial" w:eastAsia="黑体" w:cs="Times New Roman"/>
      <w:b/>
      <w:bCs/>
      <w:sz w:val="28"/>
      <w:szCs w:val="28"/>
    </w:rPr>
  </w:style>
  <w:style w:type="character" w:customStyle="1" w:styleId="59">
    <w:name w:val="标题 5 字符"/>
    <w:basedOn w:val="39"/>
    <w:link w:val="6"/>
    <w:qFormat/>
    <w:uiPriority w:val="0"/>
    <w:rPr>
      <w:rFonts w:ascii="Times New Roman" w:hAnsi="Times New Roman" w:eastAsia="宋体" w:cs="Times New Roman"/>
      <w:b/>
      <w:bCs/>
      <w:sz w:val="28"/>
      <w:szCs w:val="28"/>
    </w:rPr>
  </w:style>
  <w:style w:type="character" w:customStyle="1" w:styleId="60">
    <w:name w:val="标题 6 字符"/>
    <w:basedOn w:val="39"/>
    <w:link w:val="7"/>
    <w:qFormat/>
    <w:uiPriority w:val="0"/>
    <w:rPr>
      <w:rFonts w:ascii="Arial" w:hAnsi="Arial" w:eastAsia="黑体" w:cs="Times New Roman"/>
      <w:b/>
      <w:bCs/>
      <w:sz w:val="24"/>
      <w:szCs w:val="24"/>
    </w:rPr>
  </w:style>
  <w:style w:type="character" w:customStyle="1" w:styleId="61">
    <w:name w:val="标题 7 字符"/>
    <w:basedOn w:val="39"/>
    <w:link w:val="8"/>
    <w:qFormat/>
    <w:uiPriority w:val="0"/>
    <w:rPr>
      <w:rFonts w:ascii="Times New Roman" w:hAnsi="Times New Roman" w:eastAsia="宋体" w:cs="Times New Roman"/>
      <w:b/>
      <w:bCs/>
      <w:sz w:val="24"/>
      <w:szCs w:val="24"/>
    </w:rPr>
  </w:style>
  <w:style w:type="character" w:customStyle="1" w:styleId="62">
    <w:name w:val="标题 8 字符"/>
    <w:basedOn w:val="39"/>
    <w:link w:val="9"/>
    <w:qFormat/>
    <w:uiPriority w:val="0"/>
    <w:rPr>
      <w:rFonts w:ascii="Arial" w:hAnsi="Arial" w:eastAsia="黑体" w:cs="Times New Roman"/>
      <w:sz w:val="24"/>
      <w:szCs w:val="24"/>
    </w:rPr>
  </w:style>
  <w:style w:type="character" w:customStyle="1" w:styleId="63">
    <w:name w:val="标题 9 字符"/>
    <w:basedOn w:val="39"/>
    <w:link w:val="10"/>
    <w:qFormat/>
    <w:uiPriority w:val="0"/>
    <w:rPr>
      <w:rFonts w:ascii="Arial" w:hAnsi="Arial" w:eastAsia="黑体" w:cs="Times New Roman"/>
      <w:szCs w:val="21"/>
    </w:rPr>
  </w:style>
  <w:style w:type="character" w:customStyle="1" w:styleId="64">
    <w:name w:val="批注文字 字符"/>
    <w:basedOn w:val="39"/>
    <w:link w:val="14"/>
    <w:semiHidden/>
    <w:qFormat/>
    <w:uiPriority w:val="99"/>
    <w:rPr>
      <w:rFonts w:ascii="Times New Roman" w:hAnsi="Times New Roman" w:eastAsia="宋体" w:cs="Times New Roman"/>
      <w:szCs w:val="20"/>
    </w:rPr>
  </w:style>
  <w:style w:type="character" w:customStyle="1" w:styleId="65">
    <w:name w:val="批注主题 字符"/>
    <w:basedOn w:val="64"/>
    <w:link w:val="34"/>
    <w:qFormat/>
    <w:uiPriority w:val="0"/>
    <w:rPr>
      <w:rFonts w:ascii="Times New Roman" w:hAnsi="Times New Roman" w:eastAsia="宋体" w:cs="Times New Roman"/>
      <w:b/>
      <w:bCs/>
      <w:szCs w:val="20"/>
    </w:rPr>
  </w:style>
  <w:style w:type="character" w:customStyle="1" w:styleId="66">
    <w:name w:val="文档结构图 字符"/>
    <w:basedOn w:val="39"/>
    <w:link w:val="13"/>
    <w:qFormat/>
    <w:uiPriority w:val="0"/>
    <w:rPr>
      <w:rFonts w:ascii="Times New Roman" w:hAnsi="Times New Roman" w:eastAsia="宋体" w:cs="Times New Roman"/>
      <w:szCs w:val="20"/>
      <w:shd w:val="clear" w:color="auto" w:fill="000080"/>
    </w:rPr>
  </w:style>
  <w:style w:type="character" w:customStyle="1" w:styleId="67">
    <w:name w:val="正文文本 3 字符"/>
    <w:basedOn w:val="39"/>
    <w:link w:val="16"/>
    <w:qFormat/>
    <w:uiPriority w:val="0"/>
    <w:rPr>
      <w:rFonts w:ascii="宋体" w:hAnsi="Times New Roman" w:eastAsia="宋体" w:cs="Times New Roman"/>
      <w:szCs w:val="20"/>
    </w:rPr>
  </w:style>
  <w:style w:type="character" w:customStyle="1" w:styleId="68">
    <w:name w:val="正文文本 字符"/>
    <w:basedOn w:val="39"/>
    <w:link w:val="17"/>
    <w:qFormat/>
    <w:uiPriority w:val="0"/>
    <w:rPr>
      <w:rFonts w:ascii="宋体" w:hAnsi="Times New Roman" w:eastAsia="宋体" w:cs="Times New Roman"/>
      <w:sz w:val="24"/>
      <w:szCs w:val="20"/>
    </w:rPr>
  </w:style>
  <w:style w:type="character" w:customStyle="1" w:styleId="69">
    <w:name w:val="正文文本缩进 字符"/>
    <w:basedOn w:val="39"/>
    <w:link w:val="18"/>
    <w:qFormat/>
    <w:uiPriority w:val="0"/>
    <w:rPr>
      <w:rFonts w:ascii="Times New Roman" w:hAnsi="Times New Roman" w:eastAsia="宋体" w:cs="Times New Roman"/>
      <w:sz w:val="24"/>
      <w:szCs w:val="20"/>
    </w:rPr>
  </w:style>
  <w:style w:type="character" w:customStyle="1" w:styleId="70">
    <w:name w:val="正文文本缩进 2 字符"/>
    <w:basedOn w:val="39"/>
    <w:link w:val="21"/>
    <w:qFormat/>
    <w:uiPriority w:val="0"/>
    <w:rPr>
      <w:rFonts w:ascii="Times New Roman" w:hAnsi="Times New Roman" w:eastAsia="宋体" w:cs="Times New Roman"/>
      <w:color w:val="000000"/>
      <w:sz w:val="24"/>
      <w:szCs w:val="20"/>
    </w:rPr>
  </w:style>
  <w:style w:type="character" w:customStyle="1" w:styleId="71">
    <w:name w:val="批注框文本 字符"/>
    <w:basedOn w:val="39"/>
    <w:link w:val="22"/>
    <w:qFormat/>
    <w:uiPriority w:val="0"/>
    <w:rPr>
      <w:rFonts w:ascii="Times New Roman" w:hAnsi="Times New Roman" w:eastAsia="宋体" w:cs="Times New Roman"/>
      <w:sz w:val="18"/>
      <w:szCs w:val="20"/>
    </w:rPr>
  </w:style>
  <w:style w:type="character" w:customStyle="1" w:styleId="72">
    <w:name w:val="页脚 字符"/>
    <w:basedOn w:val="39"/>
    <w:link w:val="23"/>
    <w:qFormat/>
    <w:uiPriority w:val="99"/>
    <w:rPr>
      <w:rFonts w:ascii="Times New Roman" w:hAnsi="Times New Roman" w:eastAsia="宋体" w:cs="Times New Roman"/>
      <w:sz w:val="18"/>
      <w:szCs w:val="18"/>
    </w:rPr>
  </w:style>
  <w:style w:type="character" w:customStyle="1" w:styleId="73">
    <w:name w:val="正文文本首行缩进 2 字符"/>
    <w:basedOn w:val="69"/>
    <w:link w:val="36"/>
    <w:qFormat/>
    <w:uiPriority w:val="99"/>
    <w:rPr>
      <w:rFonts w:ascii="Times New Roman" w:hAnsi="Times New Roman" w:eastAsia="宋体" w:cs="Times New Roman"/>
      <w:sz w:val="24"/>
      <w:szCs w:val="20"/>
    </w:rPr>
  </w:style>
  <w:style w:type="character" w:customStyle="1" w:styleId="74">
    <w:name w:val="页眉 字符"/>
    <w:basedOn w:val="39"/>
    <w:link w:val="24"/>
    <w:qFormat/>
    <w:uiPriority w:val="99"/>
    <w:rPr>
      <w:rFonts w:ascii="Times New Roman" w:hAnsi="Times New Roman" w:eastAsia="宋体" w:cs="Times New Roman"/>
      <w:sz w:val="18"/>
      <w:szCs w:val="18"/>
    </w:rPr>
  </w:style>
  <w:style w:type="character" w:customStyle="1" w:styleId="75">
    <w:name w:val="正文文本缩进 3 字符"/>
    <w:basedOn w:val="39"/>
    <w:link w:val="28"/>
    <w:qFormat/>
    <w:uiPriority w:val="0"/>
    <w:rPr>
      <w:rFonts w:ascii="Times New Roman" w:hAnsi="Times New Roman" w:eastAsia="宋体" w:cs="Times New Roman"/>
      <w:sz w:val="24"/>
      <w:szCs w:val="24"/>
    </w:rPr>
  </w:style>
  <w:style w:type="character" w:customStyle="1" w:styleId="76">
    <w:name w:val="正文文本 2 字符"/>
    <w:basedOn w:val="39"/>
    <w:link w:val="30"/>
    <w:qFormat/>
    <w:uiPriority w:val="0"/>
    <w:rPr>
      <w:rFonts w:ascii="Times New Roman" w:hAnsi="Times New Roman" w:eastAsia="宋体" w:cs="Times New Roman"/>
      <w:b/>
      <w:bCs/>
      <w:sz w:val="24"/>
      <w:szCs w:val="20"/>
    </w:rPr>
  </w:style>
  <w:style w:type="character" w:customStyle="1" w:styleId="77">
    <w:name w:val="HTML 预设格式 字符"/>
    <w:basedOn w:val="39"/>
    <w:link w:val="31"/>
    <w:qFormat/>
    <w:uiPriority w:val="99"/>
    <w:rPr>
      <w:rFonts w:ascii="宋体" w:hAnsi="宋体" w:eastAsia="宋体" w:cs="宋体"/>
      <w:kern w:val="0"/>
      <w:sz w:val="24"/>
      <w:szCs w:val="24"/>
    </w:rPr>
  </w:style>
  <w:style w:type="character" w:customStyle="1" w:styleId="78">
    <w:name w:val="Char Char9"/>
    <w:qFormat/>
    <w:uiPriority w:val="0"/>
    <w:rPr>
      <w:rFonts w:eastAsia="宋体"/>
      <w:b/>
      <w:bCs/>
      <w:kern w:val="2"/>
      <w:sz w:val="32"/>
      <w:szCs w:val="32"/>
      <w:lang w:val="en-US" w:eastAsia="zh-CN" w:bidi="ar-SA"/>
    </w:rPr>
  </w:style>
  <w:style w:type="character" w:customStyle="1" w:styleId="79">
    <w:name w:val="无间隔 Char"/>
    <w:link w:val="80"/>
    <w:qFormat/>
    <w:uiPriority w:val="99"/>
    <w:rPr>
      <w:rFonts w:ascii="宋体" w:hAnsi="Courier New" w:eastAsia="仿宋_GB2312"/>
      <w:sz w:val="24"/>
    </w:rPr>
  </w:style>
  <w:style w:type="paragraph" w:customStyle="1" w:styleId="80">
    <w:name w:val="无间隔1"/>
    <w:link w:val="79"/>
    <w:qFormat/>
    <w:uiPriority w:val="99"/>
    <w:pPr>
      <w:widowControl w:val="0"/>
      <w:jc w:val="center"/>
    </w:pPr>
    <w:rPr>
      <w:rFonts w:ascii="宋体" w:hAnsi="Courier New" w:eastAsia="仿宋_GB2312" w:cstheme="minorBidi"/>
      <w:kern w:val="2"/>
      <w:sz w:val="24"/>
      <w:szCs w:val="22"/>
      <w:lang w:val="en-US" w:eastAsia="zh-CN" w:bidi="ar-SA"/>
    </w:rPr>
  </w:style>
  <w:style w:type="character" w:customStyle="1" w:styleId="81">
    <w:name w:val="Body Text 21 Char Char"/>
    <w:link w:val="82"/>
    <w:qFormat/>
    <w:uiPriority w:val="0"/>
    <w:rPr>
      <w:rFonts w:ascii="仿宋_GB2312" w:eastAsia="仿宋体"/>
      <w:sz w:val="24"/>
    </w:rPr>
  </w:style>
  <w:style w:type="paragraph" w:customStyle="1" w:styleId="82">
    <w:name w:val="Body Text 21"/>
    <w:basedOn w:val="1"/>
    <w:link w:val="81"/>
    <w:qFormat/>
    <w:uiPriority w:val="0"/>
    <w:pPr>
      <w:adjustRightInd w:val="0"/>
      <w:textAlignment w:val="baseline"/>
    </w:pPr>
    <w:rPr>
      <w:rFonts w:ascii="仿宋_GB2312" w:eastAsia="仿宋体" w:hAnsiTheme="minorHAnsi" w:cstheme="minorBidi"/>
      <w:sz w:val="24"/>
      <w:szCs w:val="22"/>
    </w:rPr>
  </w:style>
  <w:style w:type="character" w:customStyle="1" w:styleId="83">
    <w:name w:val="font11"/>
    <w:qFormat/>
    <w:uiPriority w:val="0"/>
    <w:rPr>
      <w:sz w:val="18"/>
      <w:szCs w:val="18"/>
    </w:rPr>
  </w:style>
  <w:style w:type="character" w:customStyle="1" w:styleId="84">
    <w:name w:val="常用表格样式 Char1"/>
    <w:link w:val="85"/>
    <w:qFormat/>
    <w:locked/>
    <w:uiPriority w:val="0"/>
    <w:rPr>
      <w:rFonts w:ascii="宋体" w:hAnsi="宋体" w:eastAsia="仿宋" w:cs="宋体"/>
      <w:color w:val="000000"/>
      <w:sz w:val="18"/>
      <w:szCs w:val="18"/>
    </w:rPr>
  </w:style>
  <w:style w:type="paragraph" w:customStyle="1" w:styleId="85">
    <w:name w:val="常用表格样式"/>
    <w:link w:val="84"/>
    <w:qFormat/>
    <w:uiPriority w:val="0"/>
    <w:pPr>
      <w:widowControl w:val="0"/>
      <w:adjustRightInd w:val="0"/>
      <w:jc w:val="center"/>
    </w:pPr>
    <w:rPr>
      <w:rFonts w:ascii="宋体" w:hAnsi="宋体" w:eastAsia="仿宋" w:cs="宋体"/>
      <w:color w:val="000000"/>
      <w:kern w:val="2"/>
      <w:sz w:val="18"/>
      <w:szCs w:val="18"/>
      <w:lang w:val="en-US" w:eastAsia="zh-CN" w:bidi="ar-SA"/>
    </w:rPr>
  </w:style>
  <w:style w:type="character" w:customStyle="1" w:styleId="86">
    <w:name w:val="apple-style-span"/>
    <w:basedOn w:val="39"/>
    <w:qFormat/>
    <w:uiPriority w:val="0"/>
  </w:style>
  <w:style w:type="character" w:customStyle="1" w:styleId="87">
    <w:name w:val="content"/>
    <w:basedOn w:val="39"/>
    <w:qFormat/>
    <w:uiPriority w:val="0"/>
  </w:style>
  <w:style w:type="character" w:customStyle="1" w:styleId="88">
    <w:name w:val="正文缩进 字符"/>
    <w:link w:val="11"/>
    <w:qFormat/>
    <w:uiPriority w:val="0"/>
    <w:rPr>
      <w:rFonts w:ascii="Times New Roman" w:hAnsi="Times New Roman" w:eastAsia="宋体" w:cs="Times New Roman"/>
      <w:sz w:val="28"/>
      <w:szCs w:val="24"/>
    </w:rPr>
  </w:style>
  <w:style w:type="character" w:customStyle="1" w:styleId="89">
    <w:name w:val="正文（首行缩进两字） Char Char Char Char Char Char Char Char Char Char Char Char C"/>
    <w:qFormat/>
    <w:uiPriority w:val="0"/>
    <w:rPr>
      <w:rFonts w:eastAsia="宋体"/>
      <w:kern w:val="2"/>
      <w:sz w:val="28"/>
      <w:szCs w:val="24"/>
      <w:lang w:val="en-US" w:eastAsia="zh-CN" w:bidi="ar-SA"/>
    </w:rPr>
  </w:style>
  <w:style w:type="character" w:customStyle="1" w:styleId="90">
    <w:name w:val="apple-converted-space"/>
    <w:basedOn w:val="39"/>
    <w:qFormat/>
    <w:uiPriority w:val="0"/>
  </w:style>
  <w:style w:type="paragraph" w:customStyle="1" w:styleId="91">
    <w:name w:val="标题1"/>
    <w:basedOn w:val="1"/>
    <w:next w:val="1"/>
    <w:qFormat/>
    <w:uiPriority w:val="0"/>
    <w:pPr>
      <w:tabs>
        <w:tab w:val="left" w:pos="9193"/>
        <w:tab w:val="left" w:pos="9827"/>
      </w:tabs>
      <w:autoSpaceDE w:val="0"/>
      <w:autoSpaceDN w:val="0"/>
      <w:snapToGrid w:val="0"/>
      <w:spacing w:line="700" w:lineRule="atLeast"/>
      <w:jc w:val="center"/>
    </w:pPr>
    <w:rPr>
      <w:rFonts w:eastAsia="方正小标宋_GBK"/>
      <w:snapToGrid w:val="0"/>
      <w:kern w:val="0"/>
      <w:sz w:val="44"/>
    </w:rPr>
  </w:style>
  <w:style w:type="paragraph" w:customStyle="1" w:styleId="92">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
    <w:name w:val="表字1"/>
    <w:basedOn w:val="1"/>
    <w:qFormat/>
    <w:uiPriority w:val="0"/>
    <w:pPr>
      <w:adjustRightInd w:val="0"/>
      <w:spacing w:line="360" w:lineRule="auto"/>
      <w:jc w:val="center"/>
      <w:textAlignment w:val="baseline"/>
    </w:pPr>
    <w:rPr>
      <w:rFonts w:ascii="宋体"/>
      <w:kern w:val="0"/>
    </w:rPr>
  </w:style>
  <w:style w:type="paragraph" w:customStyle="1" w:styleId="94">
    <w:name w:val="表题"/>
    <w:basedOn w:val="27"/>
    <w:qFormat/>
    <w:uiPriority w:val="0"/>
    <w:pPr>
      <w:spacing w:beforeLines="50" w:line="480" w:lineRule="exact"/>
      <w:ind w:left="0" w:firstLine="0" w:firstLineChars="0"/>
      <w:jc w:val="center"/>
    </w:pPr>
    <w:rPr>
      <w:rFonts w:eastAsia="黑体"/>
      <w:sz w:val="28"/>
      <w:szCs w:val="24"/>
    </w:rPr>
  </w:style>
  <w:style w:type="paragraph" w:customStyle="1" w:styleId="95">
    <w:name w:val="小四表文左齐"/>
    <w:basedOn w:val="1"/>
    <w:qFormat/>
    <w:uiPriority w:val="0"/>
    <w:pPr>
      <w:snapToGrid w:val="0"/>
      <w:spacing w:line="300" w:lineRule="exact"/>
      <w:jc w:val="center"/>
    </w:pPr>
    <w:rPr>
      <w:snapToGrid w:val="0"/>
      <w:kern w:val="0"/>
    </w:rPr>
  </w:style>
  <w:style w:type="paragraph" w:customStyle="1" w:styleId="96">
    <w:name w:val="默认段落字体 Para Char"/>
    <w:basedOn w:val="1"/>
    <w:qFormat/>
    <w:uiPriority w:val="0"/>
    <w:rPr>
      <w:sz w:val="24"/>
    </w:rPr>
  </w:style>
  <w:style w:type="paragraph" w:customStyle="1" w:styleId="97">
    <w:name w:val="默认段落字体 Para Char Char Char Char Char Char Char Char Char Char Char Char Char"/>
    <w:basedOn w:val="1"/>
    <w:qFormat/>
    <w:uiPriority w:val="0"/>
    <w:rPr>
      <w:sz w:val="24"/>
      <w:szCs w:val="24"/>
    </w:rPr>
  </w:style>
  <w:style w:type="paragraph" w:customStyle="1" w:styleId="98">
    <w:name w:val="Char"/>
    <w:basedOn w:val="1"/>
    <w:qFormat/>
    <w:uiPriority w:val="0"/>
    <w:rPr>
      <w:rFonts w:ascii="宋体" w:hAnsi="宋体" w:cs="Courier New"/>
      <w:sz w:val="32"/>
      <w:szCs w:val="32"/>
    </w:rPr>
  </w:style>
  <w:style w:type="paragraph" w:customStyle="1" w:styleId="99">
    <w:name w:val="表中字"/>
    <w:basedOn w:val="1"/>
    <w:qFormat/>
    <w:uiPriority w:val="0"/>
    <w:pPr>
      <w:spacing w:line="240" w:lineRule="atLeast"/>
      <w:jc w:val="center"/>
    </w:pPr>
    <w:rPr>
      <w:szCs w:val="22"/>
      <w:lang w:val="zh-CN"/>
    </w:rPr>
  </w:style>
  <w:style w:type="paragraph" w:customStyle="1" w:styleId="100">
    <w:name w:val="xl31"/>
    <w:basedOn w:val="1"/>
    <w:qFormat/>
    <w:uiPriority w:val="0"/>
    <w:pPr>
      <w:widowControl/>
      <w:spacing w:before="100" w:beforeAutospacing="1" w:after="100" w:afterAutospacing="1"/>
      <w:jc w:val="center"/>
    </w:pPr>
    <w:rPr>
      <w:rFonts w:eastAsia="Arial Unicode MS"/>
      <w:kern w:val="0"/>
      <w:sz w:val="24"/>
      <w:szCs w:val="24"/>
    </w:rPr>
  </w:style>
  <w:style w:type="paragraph" w:customStyle="1" w:styleId="101">
    <w:name w:val="无间隔2"/>
    <w:qFormat/>
    <w:uiPriority w:val="99"/>
    <w:pPr>
      <w:widowControl w:val="0"/>
      <w:jc w:val="center"/>
    </w:pPr>
    <w:rPr>
      <w:rFonts w:ascii="宋体" w:hAnsi="Courier New" w:eastAsia="仿宋_GB2312" w:cs="Times New Roman"/>
      <w:kern w:val="2"/>
      <w:sz w:val="24"/>
      <w:lang w:val="en-US" w:eastAsia="zh-CN" w:bidi="ar-SA"/>
    </w:rPr>
  </w:style>
  <w:style w:type="paragraph" w:customStyle="1" w:styleId="102">
    <w:name w:val="简单回函地址"/>
    <w:basedOn w:val="1"/>
    <w:qFormat/>
    <w:uiPriority w:val="0"/>
  </w:style>
  <w:style w:type="paragraph" w:customStyle="1" w:styleId="103">
    <w:name w:val="无间隔11"/>
    <w:qFormat/>
    <w:uiPriority w:val="99"/>
    <w:pPr>
      <w:widowControl w:val="0"/>
    </w:pPr>
    <w:rPr>
      <w:rFonts w:ascii="宋体" w:hAnsi="Courier New" w:eastAsia="仿宋_GB2312" w:cs="Times New Roman"/>
      <w:kern w:val="2"/>
      <w:sz w:val="24"/>
      <w:lang w:val="en-US" w:eastAsia="zh-CN" w:bidi="ar-SA"/>
    </w:rPr>
  </w:style>
  <w:style w:type="paragraph" w:customStyle="1" w:styleId="104">
    <w:name w:val="标题2"/>
    <w:basedOn w:val="1"/>
    <w:next w:val="1"/>
    <w:qFormat/>
    <w:uiPriority w:val="0"/>
    <w:pPr>
      <w:autoSpaceDE w:val="0"/>
      <w:autoSpaceDN w:val="0"/>
      <w:snapToGrid w:val="0"/>
      <w:spacing w:line="590" w:lineRule="atLeast"/>
      <w:jc w:val="center"/>
    </w:pPr>
    <w:rPr>
      <w:rFonts w:eastAsia="方正楷体_GBK"/>
      <w:snapToGrid w:val="0"/>
      <w:kern w:val="0"/>
      <w:sz w:val="32"/>
    </w:rPr>
  </w:style>
  <w:style w:type="paragraph" w:customStyle="1" w:styleId="105">
    <w:name w:val="表格"/>
    <w:basedOn w:val="1"/>
    <w:next w:val="1"/>
    <w:qFormat/>
    <w:uiPriority w:val="99"/>
    <w:pPr>
      <w:jc w:val="center"/>
    </w:pPr>
    <w:rPr>
      <w:sz w:val="24"/>
      <w:szCs w:val="24"/>
    </w:rPr>
  </w:style>
  <w:style w:type="paragraph" w:customStyle="1" w:styleId="106">
    <w:name w:val="报告表格"/>
    <w:basedOn w:val="1"/>
    <w:qFormat/>
    <w:uiPriority w:val="0"/>
    <w:pPr>
      <w:autoSpaceDE w:val="0"/>
      <w:autoSpaceDN w:val="0"/>
      <w:adjustRightInd w:val="0"/>
      <w:spacing w:before="40" w:after="40"/>
      <w:jc w:val="center"/>
      <w:textAlignment w:val="baseline"/>
    </w:pPr>
    <w:rPr>
      <w:kern w:val="0"/>
    </w:rPr>
  </w:style>
  <w:style w:type="paragraph" w:customStyle="1" w:styleId="107">
    <w:name w:val="表格文字"/>
    <w:basedOn w:val="1"/>
    <w:next w:val="108"/>
    <w:link w:val="132"/>
    <w:qFormat/>
    <w:uiPriority w:val="0"/>
    <w:pPr>
      <w:jc w:val="center"/>
    </w:pPr>
    <w:rPr>
      <w:rFonts w:ascii="仿宋_GB2312" w:hAnsi="Arial Black" w:eastAsia="仿宋_GB2312"/>
      <w:kern w:val="44"/>
      <w:sz w:val="24"/>
    </w:rPr>
  </w:style>
  <w:style w:type="paragraph" w:customStyle="1" w:styleId="108">
    <w:name w:val="!正文"/>
    <w:basedOn w:val="1"/>
    <w:qFormat/>
    <w:uiPriority w:val="0"/>
    <w:pPr>
      <w:spacing w:line="312" w:lineRule="auto"/>
      <w:ind w:firstLine="200" w:firstLineChars="200"/>
    </w:pPr>
    <w:rPr>
      <w:rFonts w:ascii="Calibri" w:hAnsi="Calibri"/>
      <w:sz w:val="24"/>
      <w:szCs w:val="24"/>
    </w:rPr>
  </w:style>
  <w:style w:type="paragraph" w:customStyle="1" w:styleId="109">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10">
    <w:name w:val="xl28"/>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color w:val="000000"/>
      <w:kern w:val="0"/>
      <w:szCs w:val="21"/>
    </w:rPr>
  </w:style>
  <w:style w:type="paragraph" w:customStyle="1" w:styleId="111">
    <w:name w:val="无间隔21"/>
    <w:qFormat/>
    <w:uiPriority w:val="0"/>
    <w:pPr>
      <w:widowControl w:val="0"/>
      <w:jc w:val="center"/>
    </w:pPr>
    <w:rPr>
      <w:rFonts w:ascii="宋体" w:hAnsi="Courier New" w:eastAsia="仿宋_GB2312" w:cs="Times New Roman"/>
      <w:kern w:val="2"/>
      <w:sz w:val="24"/>
      <w:lang w:val="en-US" w:eastAsia="zh-CN" w:bidi="ar-SA"/>
    </w:rPr>
  </w:style>
  <w:style w:type="character" w:customStyle="1" w:styleId="112">
    <w:name w:val="正文缩进 Char1"/>
    <w:basedOn w:val="39"/>
    <w:qFormat/>
    <w:uiPriority w:val="0"/>
    <w:rPr>
      <w:rFonts w:eastAsia="宋体"/>
      <w:sz w:val="21"/>
      <w:lang w:val="en-US" w:eastAsia="zh-CN" w:bidi="ar-SA"/>
    </w:rPr>
  </w:style>
  <w:style w:type="paragraph" w:customStyle="1" w:styleId="113">
    <w:name w:val="_Style 6"/>
    <w:qFormat/>
    <w:uiPriority w:val="99"/>
    <w:pPr>
      <w:widowControl w:val="0"/>
      <w:jc w:val="center"/>
    </w:pPr>
    <w:rPr>
      <w:rFonts w:ascii="宋体" w:hAnsi="Courier New" w:eastAsia="仿宋_GB2312" w:cs="Times New Roman"/>
      <w:kern w:val="2"/>
      <w:sz w:val="24"/>
      <w:szCs w:val="22"/>
      <w:lang w:val="en-US" w:eastAsia="zh-CN" w:bidi="ar-SA"/>
    </w:rPr>
  </w:style>
  <w:style w:type="paragraph" w:styleId="114">
    <w:name w:val="List Paragraph"/>
    <w:basedOn w:val="1"/>
    <w:unhideWhenUsed/>
    <w:qFormat/>
    <w:uiPriority w:val="34"/>
    <w:pPr>
      <w:ind w:firstLine="420" w:firstLineChars="200"/>
    </w:pPr>
  </w:style>
  <w:style w:type="paragraph" w:customStyle="1" w:styleId="115">
    <w:name w:val="报告书正文段落"/>
    <w:basedOn w:val="1"/>
    <w:qFormat/>
    <w:uiPriority w:val="0"/>
    <w:pPr>
      <w:spacing w:line="520" w:lineRule="exact"/>
      <w:ind w:firstLine="200" w:firstLineChars="200"/>
      <w:jc w:val="left"/>
    </w:pPr>
    <w:rPr>
      <w:kern w:val="0"/>
      <w:sz w:val="24"/>
      <w:lang w:val="zh-CN"/>
    </w:rPr>
  </w:style>
  <w:style w:type="character" w:styleId="116">
    <w:name w:val="Placeholder Text"/>
    <w:basedOn w:val="39"/>
    <w:unhideWhenUsed/>
    <w:qFormat/>
    <w:uiPriority w:val="99"/>
    <w:rPr>
      <w:color w:val="808080"/>
    </w:rPr>
  </w:style>
  <w:style w:type="paragraph" w:customStyle="1" w:styleId="117">
    <w:name w:val="Char4 Char Char Char Char Char1 Char Char Char Char Char Char Char Char Char Char Char Char Char"/>
    <w:basedOn w:val="1"/>
    <w:qFormat/>
    <w:uiPriority w:val="0"/>
    <w:pPr>
      <w:spacing w:line="240" w:lineRule="exact"/>
      <w:ind w:firstLine="200" w:firstLineChars="200"/>
    </w:pPr>
  </w:style>
  <w:style w:type="paragraph" w:customStyle="1" w:styleId="118">
    <w:name w:val="TOC 标题1"/>
    <w:basedOn w:val="2"/>
    <w:next w:val="1"/>
    <w:unhideWhenUsed/>
    <w:qFormat/>
    <w:uiPriority w:val="39"/>
    <w:pPr>
      <w:pageBreakBefore w:val="0"/>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paragraph" w:customStyle="1" w:styleId="119">
    <w:name w:val="TT正文"/>
    <w:basedOn w:val="1"/>
    <w:qFormat/>
    <w:uiPriority w:val="0"/>
    <w:pPr>
      <w:ind w:firstLine="200" w:firstLineChars="200"/>
    </w:pPr>
    <w:rPr>
      <w:rFonts w:cs="宋体"/>
      <w:color w:val="000000"/>
      <w:sz w:val="24"/>
    </w:rPr>
  </w:style>
  <w:style w:type="character" w:customStyle="1" w:styleId="120">
    <w:name w:val="first-child"/>
    <w:basedOn w:val="39"/>
    <w:qFormat/>
    <w:uiPriority w:val="0"/>
    <w:rPr>
      <w:shd w:val="clear" w:color="auto" w:fill="E0F0FF"/>
    </w:rPr>
  </w:style>
  <w:style w:type="character" w:customStyle="1" w:styleId="121">
    <w:name w:val="nth-child(2)"/>
    <w:basedOn w:val="39"/>
    <w:qFormat/>
    <w:uiPriority w:val="0"/>
  </w:style>
  <w:style w:type="character" w:customStyle="1" w:styleId="122">
    <w:name w:val="nth-child(3)"/>
    <w:basedOn w:val="39"/>
    <w:qFormat/>
    <w:uiPriority w:val="0"/>
  </w:style>
  <w:style w:type="character" w:customStyle="1" w:styleId="123">
    <w:name w:val="hover29"/>
    <w:basedOn w:val="39"/>
    <w:qFormat/>
    <w:uiPriority w:val="0"/>
    <w:rPr>
      <w:u w:val="single"/>
    </w:rPr>
  </w:style>
  <w:style w:type="character" w:customStyle="1" w:styleId="124">
    <w:name w:val="bsharetext"/>
    <w:basedOn w:val="39"/>
    <w:qFormat/>
    <w:uiPriority w:val="0"/>
  </w:style>
  <w:style w:type="paragraph" w:customStyle="1" w:styleId="125">
    <w:name w:val="图表"/>
    <w:basedOn w:val="17"/>
    <w:qFormat/>
    <w:uiPriority w:val="0"/>
    <w:pPr>
      <w:snapToGrid w:val="0"/>
      <w:spacing w:line="240" w:lineRule="auto"/>
      <w:ind w:right="0"/>
      <w:jc w:val="center"/>
    </w:pPr>
    <w:rPr>
      <w:rFonts w:ascii="Times New Roman"/>
      <w:spacing w:val="-14"/>
      <w:kern w:val="0"/>
    </w:rPr>
  </w:style>
  <w:style w:type="paragraph" w:customStyle="1" w:styleId="126">
    <w:name w:val="创业表格"/>
    <w:qFormat/>
    <w:uiPriority w:val="0"/>
    <w:pPr>
      <w:spacing w:line="312" w:lineRule="auto"/>
      <w:ind w:left="51" w:right="51"/>
      <w:jc w:val="center"/>
    </w:pPr>
    <w:rPr>
      <w:rFonts w:ascii="Times New Roman" w:hAnsi="Times New Roman" w:eastAsia="宋体" w:cs="Times New Roman"/>
      <w:kern w:val="2"/>
      <w:sz w:val="21"/>
      <w:szCs w:val="24"/>
      <w:lang w:val="en-US" w:eastAsia="zh-CN" w:bidi="ar-SA"/>
    </w:rPr>
  </w:style>
  <w:style w:type="paragraph" w:customStyle="1" w:styleId="127">
    <w:name w:val="表头"/>
    <w:basedOn w:val="1"/>
    <w:link w:val="133"/>
    <w:qFormat/>
    <w:uiPriority w:val="0"/>
    <w:pPr>
      <w:widowControl/>
      <w:adjustRightInd w:val="0"/>
      <w:snapToGrid w:val="0"/>
      <w:jc w:val="center"/>
    </w:pPr>
    <w:rPr>
      <w:rFonts w:cs="宋体"/>
      <w:b/>
      <w:bCs/>
      <w:kern w:val="0"/>
      <w:szCs w:val="21"/>
    </w:rPr>
  </w:style>
  <w:style w:type="paragraph" w:customStyle="1" w:styleId="128">
    <w:name w:val="表格文字2"/>
    <w:basedOn w:val="1"/>
    <w:link w:val="130"/>
    <w:qFormat/>
    <w:uiPriority w:val="0"/>
    <w:pPr>
      <w:tabs>
        <w:tab w:val="left" w:pos="277"/>
        <w:tab w:val="left" w:pos="600"/>
        <w:tab w:val="left" w:pos="780"/>
        <w:tab w:val="left" w:pos="2517"/>
      </w:tabs>
      <w:adjustRightInd w:val="0"/>
      <w:snapToGrid w:val="0"/>
      <w:jc w:val="center"/>
      <w:textAlignment w:val="baseline"/>
    </w:pPr>
    <w:rPr>
      <w:kern w:val="0"/>
      <w:szCs w:val="21"/>
    </w:rPr>
  </w:style>
  <w:style w:type="character" w:customStyle="1" w:styleId="129">
    <w:name w:val="普通(网站) 字符"/>
    <w:link w:val="32"/>
    <w:qFormat/>
    <w:uiPriority w:val="0"/>
    <w:rPr>
      <w:rFonts w:ascii="宋体" w:hAnsi="宋体" w:cs="宋体"/>
      <w:sz w:val="24"/>
      <w:szCs w:val="24"/>
    </w:rPr>
  </w:style>
  <w:style w:type="character" w:customStyle="1" w:styleId="130">
    <w:name w:val="表格文字2 Char"/>
    <w:link w:val="128"/>
    <w:qFormat/>
    <w:uiPriority w:val="0"/>
    <w:rPr>
      <w:sz w:val="21"/>
      <w:szCs w:val="21"/>
    </w:rPr>
  </w:style>
  <w:style w:type="character" w:customStyle="1" w:styleId="131">
    <w:name w:val="纯文本 字符"/>
    <w:basedOn w:val="39"/>
    <w:link w:val="20"/>
    <w:qFormat/>
    <w:uiPriority w:val="0"/>
    <w:rPr>
      <w:rFonts w:ascii="宋体" w:hAnsi="Courier New"/>
      <w:kern w:val="2"/>
      <w:sz w:val="21"/>
      <w:szCs w:val="24"/>
    </w:rPr>
  </w:style>
  <w:style w:type="character" w:customStyle="1" w:styleId="132">
    <w:name w:val="表格文字 Char"/>
    <w:link w:val="107"/>
    <w:qFormat/>
    <w:uiPriority w:val="0"/>
    <w:rPr>
      <w:rFonts w:ascii="仿宋_GB2312" w:hAnsi="Arial Black" w:eastAsia="仿宋_GB2312"/>
      <w:kern w:val="44"/>
      <w:sz w:val="24"/>
    </w:rPr>
  </w:style>
  <w:style w:type="character" w:customStyle="1" w:styleId="133">
    <w:name w:val="表头 Char"/>
    <w:link w:val="127"/>
    <w:qFormat/>
    <w:uiPriority w:val="0"/>
    <w:rPr>
      <w:rFonts w:cs="宋体"/>
      <w:b/>
      <w:bCs/>
      <w:sz w:val="21"/>
      <w:szCs w:val="21"/>
    </w:rPr>
  </w:style>
  <w:style w:type="paragraph" w:customStyle="1" w:styleId="134">
    <w:name w:val="zl正文"/>
    <w:basedOn w:val="1"/>
    <w:qFormat/>
    <w:uiPriority w:val="0"/>
    <w:pPr>
      <w:adjustRightInd w:val="0"/>
      <w:snapToGrid w:val="0"/>
      <w:spacing w:line="360" w:lineRule="auto"/>
      <w:ind w:firstLine="480" w:firstLineChars="200"/>
    </w:pPr>
    <w:rPr>
      <w:rFonts w:ascii="Calibri" w:hAnsi="Calibri" w:cs="Calibri"/>
      <w:kern w:val="0"/>
      <w:sz w:val="24"/>
      <w:szCs w:val="24"/>
    </w:rPr>
  </w:style>
  <w:style w:type="paragraph" w:customStyle="1" w:styleId="135">
    <w:name w:val="xl67"/>
    <w:basedOn w:val="1"/>
    <w:qFormat/>
    <w:uiPriority w:val="0"/>
    <w:pPr>
      <w:widowControl/>
      <w:pBdr>
        <w:left w:val="single" w:color="auto" w:sz="4" w:space="0"/>
      </w:pBdr>
      <w:adjustRightInd w:val="0"/>
      <w:snapToGrid w:val="0"/>
      <w:spacing w:before="100" w:beforeAutospacing="1" w:after="100" w:afterAutospacing="1" w:line="360" w:lineRule="auto"/>
      <w:ind w:firstLine="562" w:firstLineChars="200"/>
      <w:jc w:val="center"/>
    </w:pPr>
    <w:rPr>
      <w:rFonts w:ascii="仿宋_GB2312" w:hAnsi="宋体" w:eastAsia="仿宋_GB2312" w:cs="宋体"/>
      <w:kern w:val="0"/>
      <w:sz w:val="24"/>
      <w:szCs w:val="24"/>
    </w:rPr>
  </w:style>
  <w:style w:type="paragraph" w:customStyle="1" w:styleId="136">
    <w:name w:val="xl42"/>
    <w:basedOn w:val="1"/>
    <w:qFormat/>
    <w:uiPriority w:val="0"/>
    <w:pPr>
      <w:widowControl/>
      <w:pBdr>
        <w:bottom w:val="dotted" w:color="auto" w:sz="4" w:space="0"/>
        <w:right w:val="dotted" w:color="auto" w:sz="4" w:space="0"/>
      </w:pBdr>
      <w:adjustRightInd w:val="0"/>
      <w:snapToGrid w:val="0"/>
      <w:spacing w:before="100" w:beforeAutospacing="1" w:after="100" w:afterAutospacing="1" w:line="360" w:lineRule="auto"/>
      <w:ind w:firstLine="562" w:firstLineChars="200"/>
      <w:jc w:val="center"/>
    </w:pPr>
    <w:rPr>
      <w:kern w:val="0"/>
      <w:sz w:val="24"/>
      <w:szCs w:val="24"/>
    </w:rPr>
  </w:style>
  <w:style w:type="paragraph" w:customStyle="1" w:styleId="137">
    <w:name w:val="正文表格内容"/>
    <w:basedOn w:val="1"/>
    <w:qFormat/>
    <w:uiPriority w:val="0"/>
    <w:pPr>
      <w:spacing w:line="360" w:lineRule="exact"/>
      <w:jc w:val="center"/>
    </w:pPr>
    <w:rPr>
      <w:rFonts w:eastAsia="楷体_GB2312"/>
      <w:color w:val="000000"/>
    </w:rPr>
  </w:style>
  <w:style w:type="paragraph" w:customStyle="1" w:styleId="138">
    <w:name w:val="Table Paragraph"/>
    <w:basedOn w:val="1"/>
    <w:qFormat/>
    <w:uiPriority w:val="1"/>
  </w:style>
  <w:style w:type="paragraph" w:customStyle="1" w:styleId="139">
    <w:name w:val="首行缩进"/>
    <w:basedOn w:val="1"/>
    <w:qFormat/>
    <w:uiPriority w:val="0"/>
    <w:pPr>
      <w:adjustRightInd w:val="0"/>
      <w:snapToGrid w:val="0"/>
      <w:ind w:firstLine="480"/>
    </w:pPr>
    <w:rPr>
      <w:szCs w:val="24"/>
    </w:rPr>
  </w:style>
  <w:style w:type="paragraph" w:customStyle="1" w:styleId="140">
    <w:name w:val="cucd-0"/>
    <w:qFormat/>
    <w:uiPriority w:val="0"/>
    <w:pPr>
      <w:spacing w:line="360" w:lineRule="auto"/>
      <w:ind w:firstLine="480" w:firstLineChars="200"/>
    </w:pPr>
    <w:rPr>
      <w:rFonts w:ascii="Times New Roman" w:hAnsi="Times New Roman" w:eastAsia="宋体" w:cs="Times New Roman"/>
      <w:sz w:val="24"/>
      <w:szCs w:val="24"/>
      <w:lang w:val="en-US" w:eastAsia="zh-CN" w:bidi="ar-SA"/>
    </w:rPr>
  </w:style>
  <w:style w:type="paragraph" w:customStyle="1" w:styleId="141">
    <w:name w:val="表格标题博泵"/>
    <w:basedOn w:val="1"/>
    <w:qFormat/>
    <w:uiPriority w:val="0"/>
    <w:pPr>
      <w:adjustRightInd w:val="0"/>
      <w:snapToGrid w:val="0"/>
      <w:jc w:val="center"/>
      <w:textAlignment w:val="baseline"/>
    </w:pPr>
    <w:rPr>
      <w:rFonts w:cs="宋体"/>
      <w:b/>
      <w:color w:val="000000"/>
    </w:rPr>
  </w:style>
  <w:style w:type="paragraph" w:customStyle="1" w:styleId="142">
    <w:name w:val="1 表格内容"/>
    <w:basedOn w:val="1"/>
    <w:qFormat/>
    <w:uiPriority w:val="0"/>
    <w:pPr>
      <w:spacing w:line="320" w:lineRule="exact"/>
      <w:jc w:val="center"/>
    </w:pPr>
    <w:rPr>
      <w:szCs w:val="21"/>
    </w:rPr>
  </w:style>
  <w:style w:type="paragraph" w:customStyle="1" w:styleId="143">
    <w:name w:val="表格1"/>
    <w:basedOn w:val="1"/>
    <w:qFormat/>
    <w:uiPriority w:val="0"/>
    <w:pPr>
      <w:adjustRightInd w:val="0"/>
      <w:snapToGrid w:val="0"/>
      <w:jc w:val="center"/>
    </w:pPr>
    <w:rPr>
      <w:szCs w:val="21"/>
    </w:rPr>
  </w:style>
  <w:style w:type="paragraph" w:customStyle="1" w:styleId="144">
    <w:name w:val="正文文本缩进1"/>
    <w:basedOn w:val="1"/>
    <w:qFormat/>
    <w:uiPriority w:val="0"/>
    <w:pPr>
      <w:spacing w:after="120" w:line="360" w:lineRule="auto"/>
      <w:ind w:left="420" w:leftChars="200" w:firstLine="200" w:firstLineChars="200"/>
    </w:pPr>
    <w:rPr>
      <w:sz w:val="24"/>
      <w:szCs w:val="24"/>
    </w:rPr>
  </w:style>
  <w:style w:type="paragraph" w:customStyle="1" w:styleId="145">
    <w:name w:val="样式 表格 + 加粗"/>
    <w:basedOn w:val="105"/>
    <w:qFormat/>
    <w:uiPriority w:val="0"/>
  </w:style>
  <w:style w:type="paragraph" w:customStyle="1" w:styleId="146">
    <w:name w:val="图表文字"/>
    <w:basedOn w:val="1"/>
    <w:qFormat/>
    <w:uiPriority w:val="0"/>
    <w:pPr>
      <w:jc w:val="center"/>
    </w:pPr>
    <w:rPr>
      <w:rFonts w:eastAsiaTheme="minorEastAsia"/>
      <w:szCs w:val="21"/>
    </w:rPr>
  </w:style>
  <w:style w:type="paragraph" w:customStyle="1" w:styleId="147">
    <w:name w:val="环评正文"/>
    <w:basedOn w:val="1"/>
    <w:qFormat/>
    <w:uiPriority w:val="0"/>
    <w:pPr>
      <w:adjustRightInd w:val="0"/>
      <w:snapToGrid w:val="0"/>
      <w:spacing w:line="312" w:lineRule="auto"/>
      <w:ind w:firstLine="480"/>
    </w:pPr>
    <w:rPr>
      <w:rFonts w:eastAsiaTheme="minorEastAsia"/>
      <w:color w:val="000000"/>
      <w:szCs w:val="28"/>
    </w:rPr>
  </w:style>
  <w:style w:type="paragraph" w:customStyle="1" w:styleId="148">
    <w:name w:val="Char1"/>
    <w:basedOn w:val="1"/>
    <w:qFormat/>
    <w:uiPriority w:val="0"/>
    <w:pPr>
      <w:widowControl/>
      <w:snapToGrid w:val="0"/>
      <w:jc w:val="center"/>
    </w:pPr>
    <w:rPr>
      <w:rFonts w:cs="宋体"/>
      <w:kern w:val="0"/>
      <w:szCs w:val="21"/>
    </w:rPr>
  </w:style>
  <w:style w:type="paragraph" w:customStyle="1" w:styleId="149">
    <w:name w:val="表格标题"/>
    <w:basedOn w:val="1"/>
    <w:qFormat/>
    <w:uiPriority w:val="0"/>
    <w:pPr>
      <w:spacing w:before="120"/>
      <w:jc w:val="center"/>
    </w:pPr>
    <w:rPr>
      <w:rFonts w:eastAsia="文鼎CS中宋"/>
      <w:spacing w:val="8"/>
    </w:rPr>
  </w:style>
  <w:style w:type="paragraph" w:customStyle="1" w:styleId="150">
    <w:name w:val="4级标题"/>
    <w:basedOn w:val="151"/>
    <w:qFormat/>
    <w:uiPriority w:val="0"/>
    <w:pPr>
      <w:outlineLvl w:val="3"/>
    </w:pPr>
  </w:style>
  <w:style w:type="paragraph" w:customStyle="1" w:styleId="151">
    <w:name w:val="3级标题"/>
    <w:basedOn w:val="152"/>
    <w:qFormat/>
    <w:uiPriority w:val="0"/>
    <w:pPr>
      <w:widowControl/>
      <w:shd w:val="clear" w:color="auto" w:fill="auto"/>
      <w:adjustRightInd w:val="0"/>
      <w:snapToGrid w:val="0"/>
      <w:spacing w:before="0" w:beforeLines="0" w:line="312" w:lineRule="auto"/>
    </w:pPr>
    <w:rPr>
      <w:sz w:val="24"/>
      <w:lang w:eastAsia="zh-CN"/>
    </w:rPr>
  </w:style>
  <w:style w:type="paragraph" w:customStyle="1" w:styleId="152">
    <w:name w:val="标题3（报告书）"/>
    <w:basedOn w:val="153"/>
    <w:qFormat/>
    <w:uiPriority w:val="0"/>
    <w:pPr>
      <w:spacing w:beforeLines="50" w:after="0" w:line="360" w:lineRule="auto"/>
      <w:jc w:val="both"/>
    </w:pPr>
    <w:rPr>
      <w:rFonts w:ascii="Times New Roman" w:hAnsi="Times New Roman"/>
      <w:b/>
      <w:sz w:val="28"/>
    </w:rPr>
  </w:style>
  <w:style w:type="paragraph" w:customStyle="1" w:styleId="153">
    <w:name w:val="标题 #3"/>
    <w:basedOn w:val="1"/>
    <w:qFormat/>
    <w:uiPriority w:val="0"/>
    <w:pPr>
      <w:shd w:val="clear" w:color="auto" w:fill="FFFFFF"/>
      <w:spacing w:before="120" w:after="700" w:line="232" w:lineRule="exact"/>
      <w:jc w:val="left"/>
      <w:outlineLvl w:val="2"/>
    </w:pPr>
    <w:rPr>
      <w:rFonts w:ascii="宋体" w:hAnsi="宋体" w:cs="宋体"/>
      <w:kern w:val="0"/>
      <w:sz w:val="20"/>
      <w:lang w:eastAsia="en-US" w:bidi="en-US"/>
    </w:rPr>
  </w:style>
  <w:style w:type="paragraph" w:customStyle="1" w:styleId="154">
    <w:name w:val="WPSOffice手动目录 1"/>
    <w:qFormat/>
    <w:uiPriority w:val="0"/>
    <w:rPr>
      <w:rFonts w:ascii="Times New Roman" w:hAnsi="Times New Roman" w:eastAsia="宋体" w:cs="Times New Roman"/>
      <w:lang w:val="en-US" w:eastAsia="zh-CN" w:bidi="ar-SA"/>
    </w:rPr>
  </w:style>
  <w:style w:type="paragraph" w:customStyle="1" w:styleId="15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6">
    <w:name w:val="图表题"/>
    <w:basedOn w:val="16"/>
    <w:qFormat/>
    <w:uiPriority w:val="0"/>
    <w:pPr>
      <w:ind w:firstLine="480"/>
      <w:jc w:val="center"/>
    </w:pPr>
    <w:rPr>
      <w:rFonts w:eastAsiaTheme="minorEastAsia"/>
      <w:b/>
      <w:kern w:val="0"/>
    </w:rPr>
  </w:style>
  <w:style w:type="paragraph" w:customStyle="1" w:styleId="157">
    <w:name w:val="修订1"/>
    <w:hidden/>
    <w:semiHidden/>
    <w:qFormat/>
    <w:uiPriority w:val="99"/>
    <w:rPr>
      <w:rFonts w:ascii="Times New Roman" w:hAnsi="Times New Roman" w:eastAsia="宋体" w:cs="Times New Roman"/>
      <w:kern w:val="2"/>
      <w:sz w:val="21"/>
      <w:lang w:val="en-US" w:eastAsia="zh-CN" w:bidi="ar-SA"/>
    </w:rPr>
  </w:style>
  <w:style w:type="paragraph" w:customStyle="1" w:styleId="158">
    <w:name w:val="正文文本 (5)"/>
    <w:basedOn w:val="1"/>
    <w:autoRedefine/>
    <w:qFormat/>
    <w:uiPriority w:val="0"/>
    <w:pPr>
      <w:shd w:val="clear" w:color="auto" w:fill="FFFFFF"/>
      <w:spacing w:after="140" w:line="90" w:lineRule="exact"/>
    </w:pPr>
    <w:rPr>
      <w:rFonts w:ascii="Franklin Gothic Heavy" w:hAnsi="Franklin Gothic Heavy" w:eastAsia="Franklin Gothic Heavy" w:cs="Franklin Gothic Heavy"/>
      <w:kern w:val="0"/>
      <w:sz w:val="8"/>
      <w:szCs w:val="8"/>
      <w:lang w:eastAsia="en-US" w:bidi="en-US"/>
    </w:rPr>
  </w:style>
  <w:style w:type="paragraph" w:customStyle="1" w:styleId="159">
    <w:name w:val="表图"/>
    <w:basedOn w:val="1"/>
    <w:next w:val="1"/>
    <w:qFormat/>
    <w:uiPriority w:val="0"/>
    <w:pPr>
      <w:adjustRightInd w:val="0"/>
      <w:snapToGrid w:val="0"/>
      <w:spacing w:after="200"/>
      <w:jc w:val="center"/>
    </w:pPr>
    <w:rPr>
      <w:color w:val="000000"/>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48DFE3-F924-4B0D-A60B-E01E8447FB44}">
  <ds:schemaRefs/>
</ds:datastoreItem>
</file>

<file path=docProps/app.xml><?xml version="1.0" encoding="utf-8"?>
<Properties xmlns="http://schemas.openxmlformats.org/officeDocument/2006/extended-properties" xmlns:vt="http://schemas.openxmlformats.org/officeDocument/2006/docPropsVTypes">
  <Template>Normal</Template>
  <Company>HHU</Company>
  <Pages>55</Pages>
  <Words>2365</Words>
  <Characters>2664</Characters>
  <Lines>332</Lines>
  <Paragraphs>93</Paragraphs>
  <TotalTime>12</TotalTime>
  <ScaleCrop>false</ScaleCrop>
  <LinksUpToDate>false</LinksUpToDate>
  <CharactersWithSpaces>2778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2022-02-19T12:09:00Z</dcterms:created>
  <dc:creator>Hu Hailan</dc:creator>
  <cp:lastModifiedBy>潘自律</cp:lastModifiedBy>
  <cp:lastPrinted>2021-12-22T04:40:00Z</cp:lastPrinted>
  <dcterms:modified xsi:type="dcterms:W3CDTF">2026-05-18T00:28:16Z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D4710C5BC5C440D6AB79DDA94141DB20_13</vt:lpwstr>
  </property>
  <property fmtid="{D5CDD505-2E9C-101B-9397-08002B2CF9AE}" pid="4" name="KSOTemplateDocerSaveRecord">
    <vt:lpwstr>eyJoZGlkIjoiYzc4ZWI1Y2M3Mzg0MTcyY2M4MzVjMTQ2MGUyNWZlNDEiLCJ1c2VySWQiOiI0OTQyNzE2MjQifQ==</vt:lpwstr>
  </property>
</Properties>
</file>