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rPr>
          <w:rFonts w:hint="default" w:ascii="Times New Roman" w:hAnsi="Times New Roman" w:eastAsia="仿宋_GB2312" w:cs="Times New Roman"/>
          <w:color w:val="000000"/>
          <w:sz w:val="36"/>
          <w:szCs w:val="36"/>
        </w:rPr>
      </w:pPr>
    </w:p>
    <w:p>
      <w:pPr>
        <w:rPr>
          <w:rFonts w:hint="eastAsia" w:ascii="Times New Roman" w:hAnsi="Times New Roman" w:eastAsia="仿宋_GB2312" w:cs="Times New Roman"/>
          <w:color w:val="000000"/>
          <w:sz w:val="36"/>
          <w:szCs w:val="36"/>
          <w:lang w:eastAsia="zh-CN"/>
        </w:rPr>
      </w:pPr>
    </w:p>
    <w:p>
      <w:pPr>
        <w:rPr>
          <w:rFonts w:hint="default" w:ascii="Times New Roman" w:hAnsi="Times New Roman" w:eastAsia="仿宋_GB2312" w:cs="Times New Roman"/>
          <w:color w:val="000000"/>
          <w:sz w:val="36"/>
          <w:szCs w:val="36"/>
        </w:rPr>
      </w:pPr>
    </w:p>
    <w:p>
      <w:pPr>
        <w:adjustRightInd w:val="0"/>
        <w:snapToGrid w:val="0"/>
        <w:jc w:val="center"/>
        <w:outlineLvl w:val="0"/>
        <w:rPr>
          <w:rFonts w:hint="default" w:ascii="Times New Roman" w:hAnsi="Times New Roman" w:eastAsia="方正小标宋_GBK" w:cs="Times New Roman"/>
          <w:bCs/>
          <w:color w:val="000000"/>
          <w:sz w:val="72"/>
          <w:szCs w:val="72"/>
        </w:rPr>
      </w:pPr>
      <w:r>
        <w:rPr>
          <w:rFonts w:hint="default" w:ascii="Times New Roman" w:hAnsi="Times New Roman" w:eastAsia="方正小标宋_GBK" w:cs="Times New Roman"/>
          <w:bCs/>
          <w:color w:val="000000"/>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（污染影响类）</w:t>
      </w:r>
    </w:p>
    <w:p>
      <w:pPr>
        <w:jc w:val="center"/>
        <w:rPr>
          <w:rFonts w:hint="default" w:ascii="Times New Roman" w:hAnsi="Times New Roman" w:eastAsia="华文仿宋" w:cs="Times New Roman"/>
          <w:color w:val="000000"/>
          <w:kern w:val="44"/>
          <w:sz w:val="44"/>
          <w:szCs w:val="44"/>
        </w:rPr>
      </w:pPr>
    </w:p>
    <w:p>
      <w:pPr>
        <w:jc w:val="center"/>
        <w:rPr>
          <w:rFonts w:hint="default" w:ascii="Times New Roman" w:hAnsi="Times New Roman" w:eastAsia="仿宋" w:cs="Times New Roman"/>
          <w:color w:val="000000"/>
          <w:sz w:val="52"/>
          <w:szCs w:val="52"/>
        </w:rPr>
      </w:pPr>
    </w:p>
    <w:p>
      <w:pPr>
        <w:ind w:firstLine="1040"/>
        <w:rPr>
          <w:rFonts w:hint="default" w:ascii="Times New Roman" w:hAnsi="Times New Roman" w:eastAsia="仿宋" w:cs="Times New Roman"/>
          <w:color w:val="000000"/>
          <w:sz w:val="44"/>
          <w:szCs w:val="44"/>
        </w:rPr>
      </w:pPr>
    </w:p>
    <w:p>
      <w:pPr>
        <w:pStyle w:val="2"/>
        <w:rPr>
          <w:rFonts w:hint="default"/>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color w:val="000000"/>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color w:val="000000"/>
          <w:sz w:val="36"/>
          <w:szCs w:val="36"/>
          <w:u w:val="single"/>
          <w:lang w:val="en-US" w:eastAsia="zh-CN"/>
        </w:rPr>
      </w:pPr>
      <w:r>
        <w:rPr>
          <w:rFonts w:hint="eastAsia" w:ascii="宋体" w:hAnsi="宋体" w:eastAsia="宋体" w:cs="宋体"/>
          <w:color w:val="000000"/>
          <w:sz w:val="36"/>
          <w:szCs w:val="36"/>
        </w:rPr>
        <w:t>项目名称：</w:t>
      </w:r>
      <w:r>
        <w:rPr>
          <w:rFonts w:hint="eastAsia" w:ascii="宋体" w:hAnsi="宋体" w:eastAsia="宋体" w:cs="宋体"/>
          <w:color w:val="000000"/>
          <w:sz w:val="36"/>
          <w:szCs w:val="36"/>
          <w:u w:val="single"/>
          <w:lang w:val="en-US" w:eastAsia="zh-CN"/>
        </w:rPr>
        <w:t xml:space="preserve">        </w:t>
      </w:r>
      <w:r>
        <w:rPr>
          <w:rFonts w:hint="eastAsia" w:ascii="宋体" w:hAnsi="宋体" w:cs="宋体"/>
          <w:color w:val="000000"/>
          <w:sz w:val="36"/>
          <w:szCs w:val="36"/>
          <w:u w:val="single"/>
          <w:lang w:val="en-US" w:eastAsia="zh-CN"/>
        </w:rPr>
        <w:t>聚碳酸酯（PC）板加工项目</w:t>
      </w:r>
      <w:r>
        <w:rPr>
          <w:rFonts w:hint="eastAsia" w:ascii="宋体" w:hAnsi="宋体" w:eastAsia="宋体" w:cs="宋体"/>
          <w:color w:val="000000"/>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color w:val="000000"/>
          <w:sz w:val="36"/>
          <w:szCs w:val="36"/>
          <w:lang w:val="en-US" w:eastAsia="zh-CN"/>
        </w:rPr>
      </w:pPr>
      <w:r>
        <w:rPr>
          <w:rFonts w:hint="eastAsia" w:ascii="宋体" w:hAnsi="宋体" w:eastAsia="宋体" w:cs="宋体"/>
          <w:color w:val="000000"/>
          <w:sz w:val="36"/>
          <w:szCs w:val="36"/>
        </w:rPr>
        <w:t>建设单位（盖章）：</w:t>
      </w:r>
      <w:r>
        <w:rPr>
          <w:rFonts w:hint="eastAsia" w:ascii="宋体" w:hAnsi="宋体" w:cs="宋体"/>
          <w:color w:val="000000"/>
          <w:sz w:val="36"/>
          <w:szCs w:val="36"/>
          <w:u w:val="single"/>
          <w:lang w:val="en-US" w:eastAsia="zh-CN"/>
        </w:rPr>
        <w:t xml:space="preserve">    江苏卓宏新材料有限公司    </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color w:val="000000"/>
          <w:sz w:val="36"/>
          <w:szCs w:val="36"/>
          <w:u w:val="single"/>
          <w:lang w:val="en-US" w:eastAsia="zh-CN"/>
        </w:rPr>
      </w:pPr>
      <w:r>
        <w:rPr>
          <w:rFonts w:hint="eastAsia" w:ascii="宋体" w:hAnsi="宋体" w:eastAsia="宋体" w:cs="宋体"/>
          <w:color w:val="000000"/>
          <w:sz w:val="36"/>
          <w:szCs w:val="36"/>
        </w:rPr>
        <w:t>编制日期：</w:t>
      </w:r>
      <w:r>
        <w:rPr>
          <w:rFonts w:hint="eastAsia" w:ascii="宋体" w:hAnsi="宋体" w:eastAsia="宋体" w:cs="宋体"/>
          <w:color w:val="000000"/>
          <w:sz w:val="36"/>
          <w:szCs w:val="36"/>
          <w:u w:val="single"/>
          <w:lang w:val="en-US" w:eastAsia="zh-CN"/>
        </w:rPr>
        <w:t xml:space="preserve">               </w:t>
      </w:r>
      <w:r>
        <w:rPr>
          <w:rFonts w:hint="eastAsia" w:ascii="宋体" w:hAnsi="宋体" w:eastAsia="宋体" w:cs="宋体"/>
          <w:color w:val="000000"/>
          <w:sz w:val="36"/>
          <w:szCs w:val="36"/>
          <w:u w:val="single"/>
        </w:rPr>
        <w:t>202</w:t>
      </w:r>
      <w:r>
        <w:rPr>
          <w:rFonts w:hint="eastAsia" w:ascii="宋体" w:hAnsi="宋体" w:cs="宋体"/>
          <w:color w:val="000000"/>
          <w:sz w:val="36"/>
          <w:szCs w:val="36"/>
          <w:u w:val="single"/>
          <w:lang w:val="en-US" w:eastAsia="zh-CN"/>
        </w:rPr>
        <w:t>6</w:t>
      </w:r>
      <w:r>
        <w:rPr>
          <w:rFonts w:hint="eastAsia" w:ascii="宋体" w:hAnsi="宋体" w:eastAsia="宋体" w:cs="宋体"/>
          <w:color w:val="000000"/>
          <w:sz w:val="36"/>
          <w:szCs w:val="36"/>
          <w:u w:val="single"/>
        </w:rPr>
        <w:t>年</w:t>
      </w:r>
      <w:r>
        <w:rPr>
          <w:rFonts w:hint="eastAsia" w:ascii="宋体" w:hAnsi="宋体" w:cs="宋体"/>
          <w:color w:val="000000"/>
          <w:sz w:val="36"/>
          <w:szCs w:val="36"/>
          <w:u w:val="single"/>
          <w:lang w:val="en-US" w:eastAsia="zh-CN"/>
        </w:rPr>
        <w:t>5</w:t>
      </w:r>
      <w:r>
        <w:rPr>
          <w:rFonts w:hint="eastAsia" w:ascii="宋体" w:hAnsi="宋体" w:eastAsia="宋体" w:cs="宋体"/>
          <w:color w:val="000000"/>
          <w:sz w:val="36"/>
          <w:szCs w:val="36"/>
          <w:u w:val="single"/>
        </w:rPr>
        <w:t>月</w:t>
      </w:r>
      <w:r>
        <w:rPr>
          <w:rFonts w:hint="eastAsia" w:ascii="宋体" w:hAnsi="宋体" w:eastAsia="宋体" w:cs="宋体"/>
          <w:color w:val="000000"/>
          <w:sz w:val="36"/>
          <w:szCs w:val="36"/>
          <w:u w:val="single"/>
          <w:lang w:val="en-US" w:eastAsia="zh-CN"/>
        </w:rPr>
        <w:t xml:space="preserve">     </w:t>
      </w:r>
      <w:r>
        <w:rPr>
          <w:rFonts w:hint="default" w:ascii="Times New Roman" w:hAnsi="Times New Roman" w:eastAsia="仿宋_GB2312" w:cs="Times New Roman"/>
          <w:color w:val="000000"/>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000000"/>
          <w:sz w:val="36"/>
          <w:szCs w:val="36"/>
        </w:rPr>
      </w:pPr>
      <w:bookmarkStart w:id="0" w:name="_Hlk57884087"/>
    </w:p>
    <w:p>
      <w:pPr>
        <w:adjustRightInd w:val="0"/>
        <w:snapToGrid w:val="0"/>
        <w:spacing w:line="288" w:lineRule="auto"/>
        <w:ind w:firstLine="1040"/>
        <w:rPr>
          <w:rFonts w:hint="default" w:ascii="Times New Roman" w:hAnsi="Times New Roman" w:eastAsia="仿宋_GB2312" w:cs="Times New Roman"/>
          <w:color w:val="000000"/>
          <w:sz w:val="36"/>
          <w:szCs w:val="36"/>
        </w:rPr>
      </w:pPr>
    </w:p>
    <w:p>
      <w:pPr>
        <w:adjustRightInd w:val="0"/>
        <w:snapToGrid w:val="0"/>
        <w:spacing w:line="288" w:lineRule="auto"/>
        <w:ind w:firstLine="1040"/>
        <w:rPr>
          <w:rFonts w:hint="default" w:ascii="Times New Roman" w:hAnsi="Times New Roman" w:eastAsia="仿宋_GB2312" w:cs="Times New Roman"/>
          <w:color w:val="000000"/>
          <w:sz w:val="36"/>
          <w:szCs w:val="36"/>
        </w:rPr>
      </w:pPr>
    </w:p>
    <w:p>
      <w:pPr>
        <w:adjustRightInd w:val="0"/>
        <w:snapToGrid w:val="0"/>
        <w:spacing w:line="288" w:lineRule="auto"/>
        <w:ind w:firstLine="1040"/>
        <w:rPr>
          <w:rFonts w:hint="default" w:ascii="Times New Roman" w:hAnsi="Times New Roman" w:eastAsia="仿宋_GB2312" w:cs="Times New Roman"/>
          <w:color w:val="000000"/>
          <w:sz w:val="36"/>
          <w:szCs w:val="36"/>
        </w:rPr>
      </w:pPr>
    </w:p>
    <w:bookmarkEnd w:id="0"/>
    <w:p>
      <w:pPr>
        <w:adjustRightInd w:val="0"/>
        <w:snapToGrid w:val="0"/>
        <w:spacing w:line="288" w:lineRule="auto"/>
        <w:jc w:val="center"/>
        <w:rPr>
          <w:rFonts w:hint="default" w:ascii="Times New Roman" w:hAnsi="Times New Roman" w:eastAsia="楷体_GB2312" w:cs="Times New Roman"/>
          <w:color w:val="00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000000"/>
          <w:sz w:val="36"/>
          <w:szCs w:val="36"/>
        </w:rPr>
        <w:t>中华人民共和国生态环境部制</w:t>
      </w:r>
    </w:p>
    <w:p>
      <w:pPr>
        <w:adjustRightInd w:val="0"/>
        <w:snapToGrid w:val="0"/>
        <w:spacing w:line="288" w:lineRule="auto"/>
        <w:jc w:val="center"/>
        <w:rPr>
          <w:rFonts w:hint="default" w:ascii="Times New Roman" w:hAnsi="Times New Roman" w:eastAsia="楷体_GB2312" w:cs="Times New Roman"/>
          <w:color w:val="00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附图1：项目地理位置图；</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附图2：项目周边</w:t>
      </w:r>
      <w:r>
        <w:rPr>
          <w:rFonts w:hint="eastAsia" w:ascii="Times New Roman" w:hAnsi="Times New Roman" w:eastAsia="宋体" w:cs="Times New Roman"/>
          <w:color w:val="000000"/>
          <w:sz w:val="24"/>
          <w:szCs w:val="24"/>
          <w:lang w:val="en-US" w:eastAsia="zh-CN"/>
        </w:rPr>
        <w:t>500米土地使用状况</w:t>
      </w:r>
      <w:r>
        <w:rPr>
          <w:rFonts w:hint="default" w:ascii="Times New Roman" w:hAnsi="Times New Roman" w:eastAsia="宋体" w:cs="Times New Roman"/>
          <w:color w:val="000000"/>
          <w:sz w:val="24"/>
          <w:szCs w:val="24"/>
        </w:rPr>
        <w:t>图；</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附图3：如皋市生态管控区域示意图</w:t>
      </w:r>
      <w:r>
        <w:rPr>
          <w:rFonts w:hint="eastAsia" w:ascii="Times New Roman" w:hAnsi="Times New Roman" w:eastAsia="宋体" w:cs="Times New Roman"/>
          <w:color w:val="000000"/>
          <w:sz w:val="24"/>
          <w:szCs w:val="24"/>
          <w:lang w:eastAsia="zh-CN"/>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 4：</w:t>
      </w:r>
      <w:r>
        <w:rPr>
          <w:rFonts w:hint="eastAsia" w:ascii="Times New Roman" w:hAnsi="Times New Roman" w:eastAsia="宋体" w:cs="Times New Roman"/>
          <w:color w:val="000000"/>
          <w:sz w:val="24"/>
          <w:szCs w:val="24"/>
          <w:lang w:val="en-US" w:eastAsia="zh-CN"/>
        </w:rPr>
        <w:t>建设项目厂区平面布置图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附图5：</w:t>
      </w:r>
      <w:r>
        <w:rPr>
          <w:rFonts w:hint="eastAsia" w:ascii="Times New Roman" w:hAnsi="Times New Roman" w:eastAsia="宋体" w:cs="Times New Roman"/>
          <w:color w:val="000000"/>
          <w:sz w:val="24"/>
          <w:szCs w:val="24"/>
          <w:lang w:val="en-US" w:eastAsia="zh-CN"/>
        </w:rPr>
        <w:t>建设项目厂区平面分区防渗图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附图6：</w:t>
      </w:r>
      <w:r>
        <w:rPr>
          <w:rFonts w:hint="eastAsia" w:ascii="Times New Roman" w:hAnsi="Times New Roman" w:eastAsia="宋体" w:cs="Times New Roman"/>
          <w:color w:val="000000"/>
          <w:sz w:val="24"/>
          <w:szCs w:val="24"/>
          <w:lang w:val="en-US" w:eastAsia="zh-CN"/>
        </w:rPr>
        <w:t>国土空间规划图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附图7：</w:t>
      </w:r>
      <w:r>
        <w:rPr>
          <w:rFonts w:hint="default" w:ascii="Times New Roman" w:hAnsi="Times New Roman" w:eastAsia="宋体" w:cs="Times New Roman"/>
          <w:color w:val="000000"/>
          <w:sz w:val="24"/>
        </w:rPr>
        <w:t>拟建项目与江苏省生态环境分区管控动态更新成果位置关系图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附图8：</w:t>
      </w:r>
      <w:r>
        <w:rPr>
          <w:rFonts w:hint="eastAsia" w:ascii="Times New Roman" w:hAnsi="Times New Roman" w:eastAsia="宋体" w:cs="Times New Roman"/>
          <w:color w:val="000000"/>
          <w:sz w:val="24"/>
          <w:szCs w:val="24"/>
          <w:lang w:val="en-US" w:eastAsia="zh-CN"/>
        </w:rPr>
        <w:t>声功能规划图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附图9：</w:t>
      </w:r>
      <w:r>
        <w:rPr>
          <w:rFonts w:hint="eastAsia" w:ascii="Times New Roman" w:hAnsi="Times New Roman" w:eastAsia="宋体" w:cs="Times New Roman"/>
          <w:color w:val="000000"/>
          <w:sz w:val="24"/>
          <w:szCs w:val="24"/>
          <w:lang w:val="en-US" w:eastAsia="zh-CN"/>
        </w:rPr>
        <w:t>周边水</w:t>
      </w:r>
      <w:r>
        <w:rPr>
          <w:rFonts w:hint="eastAsia" w:cs="Times New Roman"/>
          <w:color w:val="000000"/>
          <w:sz w:val="24"/>
          <w:szCs w:val="24"/>
          <w:lang w:val="en-US" w:eastAsia="zh-CN"/>
        </w:rPr>
        <w:t>系</w:t>
      </w:r>
      <w:r>
        <w:rPr>
          <w:rFonts w:hint="eastAsia" w:ascii="Times New Roman" w:hAnsi="Times New Roman" w:eastAsia="宋体" w:cs="Times New Roman"/>
          <w:color w:val="000000"/>
          <w:sz w:val="24"/>
          <w:szCs w:val="24"/>
          <w:lang w:val="en-US" w:eastAsia="zh-CN"/>
        </w:rPr>
        <w:t>图</w:t>
      </w:r>
      <w:r>
        <w:rPr>
          <w:rFonts w:hint="default" w:ascii="Times New Roman" w:hAnsi="Times New Roman" w:eastAsia="宋体" w:cs="Times New Roman"/>
          <w:color w:val="000000"/>
          <w:sz w:val="24"/>
          <w:szCs w:val="24"/>
        </w:rPr>
        <w:t>；</w:t>
      </w:r>
    </w:p>
    <w:p>
      <w:pPr>
        <w:adjustRightInd w:val="0"/>
        <w:snapToGrid w:val="0"/>
        <w:spacing w:line="360" w:lineRule="auto"/>
        <w:jc w:val="left"/>
        <w:rPr>
          <w:rFonts w:hint="eastAsia" w:cs="Times New Roman"/>
          <w:color w:val="000000"/>
          <w:sz w:val="24"/>
          <w:szCs w:val="24"/>
          <w:lang w:eastAsia="zh-CN"/>
        </w:rPr>
      </w:pPr>
      <w:r>
        <w:rPr>
          <w:rFonts w:hint="default" w:ascii="Times New Roman" w:hAnsi="Times New Roman" w:eastAsia="宋体" w:cs="Times New Roman"/>
          <w:color w:val="000000"/>
          <w:sz w:val="24"/>
          <w:szCs w:val="24"/>
        </w:rPr>
        <w:t>附图10：</w:t>
      </w:r>
      <w:r>
        <w:rPr>
          <w:rFonts w:hint="eastAsia" w:ascii="Times New Roman" w:hAnsi="Times New Roman" w:eastAsia="宋体" w:cs="Times New Roman"/>
          <w:color w:val="000000"/>
          <w:sz w:val="24"/>
          <w:szCs w:val="24"/>
          <w:lang w:val="en-US" w:eastAsia="zh-CN"/>
        </w:rPr>
        <w:t>区域污水管网规划图</w:t>
      </w:r>
      <w:r>
        <w:rPr>
          <w:rFonts w:hint="eastAsia" w:cs="Times New Roman"/>
          <w:color w:val="000000"/>
          <w:sz w:val="24"/>
          <w:szCs w:val="24"/>
          <w:lang w:eastAsia="zh-CN"/>
        </w:rPr>
        <w:t>；</w:t>
      </w:r>
    </w:p>
    <w:p>
      <w:pPr>
        <w:adjustRightInd w:val="0"/>
        <w:snapToGrid w:val="0"/>
        <w:spacing w:line="360" w:lineRule="auto"/>
        <w:jc w:val="left"/>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附图1</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区域</w:t>
      </w:r>
      <w:r>
        <w:rPr>
          <w:rFonts w:hint="eastAsia" w:cs="Times New Roman"/>
          <w:color w:val="000000"/>
          <w:sz w:val="24"/>
          <w:szCs w:val="24"/>
          <w:lang w:val="en-US" w:eastAsia="zh-CN"/>
        </w:rPr>
        <w:t>雨</w:t>
      </w:r>
      <w:r>
        <w:rPr>
          <w:rFonts w:hint="eastAsia" w:ascii="Times New Roman" w:hAnsi="Times New Roman" w:eastAsia="宋体" w:cs="Times New Roman"/>
          <w:color w:val="000000"/>
          <w:sz w:val="24"/>
          <w:szCs w:val="24"/>
          <w:lang w:val="en-US" w:eastAsia="zh-CN"/>
        </w:rPr>
        <w:t>水管网规划图</w:t>
      </w:r>
      <w:r>
        <w:rPr>
          <w:rFonts w:hint="eastAsia" w:cs="Times New Roman"/>
          <w:color w:val="000000"/>
          <w:sz w:val="24"/>
          <w:szCs w:val="24"/>
          <w:lang w:eastAsia="zh-CN"/>
        </w:rPr>
        <w:t>；</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附图1</w:t>
      </w:r>
      <w:r>
        <w:rPr>
          <w:rFonts w:hint="eastAsia" w:cs="Times New Roman"/>
          <w:color w:val="000000"/>
          <w:sz w:val="24"/>
          <w:szCs w:val="24"/>
          <w:lang w:val="en-US" w:eastAsia="zh-CN"/>
        </w:rPr>
        <w:t>2</w:t>
      </w:r>
      <w:r>
        <w:rPr>
          <w:rFonts w:hint="default" w:ascii="Times New Roman" w:hAnsi="Times New Roman" w:eastAsia="宋体" w:cs="Times New Roman"/>
          <w:color w:val="000000"/>
          <w:sz w:val="24"/>
          <w:szCs w:val="24"/>
        </w:rPr>
        <w:t>：</w:t>
      </w:r>
      <w:r>
        <w:rPr>
          <w:rFonts w:hint="eastAsia" w:cs="Times New Roman"/>
          <w:color w:val="000000"/>
          <w:sz w:val="24"/>
          <w:lang w:val="en-US" w:eastAsia="zh-CN"/>
        </w:rPr>
        <w:t>区域</w:t>
      </w:r>
      <w:r>
        <w:rPr>
          <w:rFonts w:hint="default" w:ascii="Times New Roman" w:hAnsi="Times New Roman" w:eastAsia="宋体" w:cs="Times New Roman"/>
          <w:color w:val="000000"/>
          <w:sz w:val="24"/>
        </w:rPr>
        <w:t>产业布局规划图</w:t>
      </w:r>
    </w:p>
    <w:p>
      <w:pPr>
        <w:adjustRightInd w:val="0"/>
        <w:snapToGrid w:val="0"/>
        <w:spacing w:line="360" w:lineRule="auto"/>
        <w:jc w:val="left"/>
        <w:rPr>
          <w:rFonts w:hint="default" w:ascii="Times New Roman" w:hAnsi="Times New Roman" w:eastAsia="宋体" w:cs="Times New Roman"/>
          <w:color w:val="000000"/>
          <w:sz w:val="24"/>
          <w:szCs w:val="24"/>
        </w:rPr>
      </w:pP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附件：</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附件1 环评委托书</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附件2 环评技术合同</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附件3 </w:t>
      </w:r>
      <w:r>
        <w:rPr>
          <w:rFonts w:hint="eastAsia" w:ascii="Times New Roman" w:hAnsi="Times New Roman" w:eastAsia="宋体" w:cs="Times New Roman"/>
          <w:color w:val="000000"/>
          <w:sz w:val="24"/>
          <w:szCs w:val="24"/>
          <w:lang w:val="en-US" w:eastAsia="zh-CN"/>
        </w:rPr>
        <w:t>登记信息表、</w:t>
      </w:r>
      <w:r>
        <w:rPr>
          <w:rFonts w:hint="default" w:ascii="Times New Roman" w:hAnsi="Times New Roman" w:eastAsia="宋体" w:cs="Times New Roman"/>
          <w:color w:val="000000"/>
          <w:sz w:val="24"/>
          <w:szCs w:val="24"/>
        </w:rPr>
        <w:t>备案证</w:t>
      </w:r>
    </w:p>
    <w:p>
      <w:pPr>
        <w:adjustRightInd w:val="0"/>
        <w:snapToGrid w:val="0"/>
        <w:spacing w:line="360" w:lineRule="auto"/>
        <w:jc w:val="left"/>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 xml:space="preserve">附件4 </w:t>
      </w:r>
      <w:r>
        <w:rPr>
          <w:rFonts w:hint="eastAsia" w:ascii="Times New Roman" w:hAnsi="Times New Roman" w:eastAsia="宋体" w:cs="Times New Roman"/>
          <w:color w:val="000000"/>
          <w:sz w:val="24"/>
          <w:szCs w:val="24"/>
          <w:lang w:val="en-US" w:eastAsia="zh-CN"/>
        </w:rPr>
        <w:t>厂房合同、土地证明</w:t>
      </w:r>
    </w:p>
    <w:p>
      <w:pPr>
        <w:adjustRightInd w:val="0"/>
        <w:snapToGrid w:val="0"/>
        <w:spacing w:line="360" w:lineRule="auto"/>
        <w:jc w:val="left"/>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 xml:space="preserve">附件5 </w:t>
      </w:r>
      <w:r>
        <w:rPr>
          <w:rFonts w:hint="eastAsia" w:ascii="Times New Roman" w:hAnsi="Times New Roman" w:eastAsia="宋体" w:cs="Times New Roman"/>
          <w:color w:val="000000"/>
          <w:sz w:val="24"/>
          <w:szCs w:val="24"/>
          <w:lang w:val="en-US" w:eastAsia="zh-CN"/>
        </w:rPr>
        <w:t>声明</w:t>
      </w:r>
    </w:p>
    <w:p>
      <w:pPr>
        <w:adjustRightInd w:val="0"/>
        <w:snapToGrid w:val="0"/>
        <w:spacing w:line="360" w:lineRule="auto"/>
        <w:jc w:val="left"/>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 xml:space="preserve">附件6 </w:t>
      </w:r>
      <w:r>
        <w:rPr>
          <w:rFonts w:hint="eastAsia" w:ascii="Times New Roman" w:hAnsi="Times New Roman" w:eastAsia="宋体" w:cs="Times New Roman"/>
          <w:color w:val="000000"/>
          <w:sz w:val="24"/>
          <w:szCs w:val="24"/>
          <w:lang w:val="en-US" w:eastAsia="zh-CN"/>
        </w:rPr>
        <w:t>营业执照</w:t>
      </w:r>
    </w:p>
    <w:p>
      <w:pPr>
        <w:adjustRightInd w:val="0"/>
        <w:snapToGrid w:val="0"/>
        <w:spacing w:line="360" w:lineRule="auto"/>
        <w:jc w:val="left"/>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 xml:space="preserve">附件7 </w:t>
      </w:r>
      <w:r>
        <w:rPr>
          <w:rFonts w:hint="eastAsia" w:ascii="Times New Roman" w:hAnsi="Times New Roman" w:eastAsia="宋体" w:cs="Times New Roman"/>
          <w:color w:val="000000"/>
          <w:sz w:val="24"/>
          <w:szCs w:val="24"/>
          <w:lang w:val="en-US" w:eastAsia="zh-CN"/>
        </w:rPr>
        <w:t>法人身份证</w:t>
      </w:r>
    </w:p>
    <w:p>
      <w:pPr>
        <w:adjustRightInd w:val="0"/>
        <w:snapToGrid w:val="0"/>
        <w:spacing w:line="360" w:lineRule="auto"/>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附件8</w:t>
      </w:r>
      <w:r>
        <w:rPr>
          <w:rFonts w:hint="eastAsia" w:cs="Times New Roman"/>
          <w:color w:val="000000"/>
          <w:sz w:val="24"/>
          <w:szCs w:val="24"/>
          <w:lang w:val="en-US" w:eastAsia="zh-CN"/>
        </w:rPr>
        <w:t xml:space="preserve"> PC粒子相关附件</w:t>
      </w:r>
    </w:p>
    <w:p>
      <w:pPr>
        <w:adjustRightInd w:val="0"/>
        <w:snapToGrid w:val="0"/>
        <w:spacing w:line="360" w:lineRule="auto"/>
        <w:jc w:val="left"/>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附件9 淋涂药剂MSDS及VOC报告</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附件</w:t>
      </w:r>
      <w:r>
        <w:rPr>
          <w:rFonts w:hint="eastAsia" w:cs="Times New Roman"/>
          <w:color w:val="000000"/>
          <w:sz w:val="24"/>
          <w:szCs w:val="24"/>
          <w:lang w:val="en-US" w:eastAsia="zh-CN"/>
        </w:rPr>
        <w:t>10</w:t>
      </w:r>
      <w:r>
        <w:rPr>
          <w:rFonts w:hint="default" w:ascii="Times New Roman" w:hAnsi="Times New Roman" w:eastAsia="宋体" w:cs="Times New Roman"/>
          <w:color w:val="000000"/>
          <w:sz w:val="24"/>
          <w:szCs w:val="24"/>
        </w:rPr>
        <w:t xml:space="preserve"> 生态环境分区综合服务查询报告</w:t>
      </w:r>
    </w:p>
    <w:p>
      <w:pPr>
        <w:adjustRightInd w:val="0"/>
        <w:snapToGrid w:val="0"/>
        <w:spacing w:line="360" w:lineRule="auto"/>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附件</w:t>
      </w:r>
      <w:r>
        <w:rPr>
          <w:rFonts w:hint="eastAsia" w:ascii="Times New Roman" w:hAnsi="Times New Roman" w:eastAsia="宋体" w:cs="Times New Roman"/>
          <w:color w:val="000000"/>
          <w:sz w:val="24"/>
          <w:szCs w:val="24"/>
          <w:lang w:val="en-US" w:eastAsia="zh-CN"/>
        </w:rPr>
        <w:t>1</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rPr>
        <w:t xml:space="preserve"> 环评自主公示截图</w:t>
      </w:r>
    </w:p>
    <w:p>
      <w:pPr>
        <w:adjustRightInd w:val="0"/>
        <w:snapToGrid w:val="0"/>
        <w:spacing w:line="360" w:lineRule="auto"/>
        <w:jc w:val="left"/>
        <w:rPr>
          <w:rFonts w:hint="default"/>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000000"/>
          <w:sz w:val="24"/>
          <w:szCs w:val="24"/>
        </w:rPr>
        <w:t>附件</w:t>
      </w:r>
      <w:r>
        <w:rPr>
          <w:rFonts w:hint="eastAsia" w:ascii="Times New Roman" w:hAnsi="Times New Roman" w:eastAsia="宋体" w:cs="Times New Roman"/>
          <w:color w:val="000000"/>
          <w:sz w:val="24"/>
          <w:szCs w:val="24"/>
          <w:lang w:val="en-US" w:eastAsia="zh-CN"/>
        </w:rPr>
        <w:t>1</w:t>
      </w:r>
      <w:r>
        <w:rPr>
          <w:rFonts w:hint="eastAsia" w:cs="Times New Roman"/>
          <w:color w:val="000000"/>
          <w:sz w:val="24"/>
          <w:szCs w:val="24"/>
          <w:lang w:val="en-US" w:eastAsia="zh-CN"/>
        </w:rPr>
        <w:t>2</w:t>
      </w:r>
      <w:r>
        <w:rPr>
          <w:rFonts w:hint="default"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lang w:val="en-US" w:eastAsia="zh-CN"/>
        </w:rPr>
        <w:t>建设单位承诺</w:t>
      </w:r>
      <w:r>
        <w:rPr>
          <w:rFonts w:hint="eastAsia" w:cs="Times New Roman"/>
          <w:color w:val="000000"/>
          <w:sz w:val="24"/>
          <w:szCs w:val="24"/>
          <w:lang w:val="en-US" w:eastAsia="zh-CN"/>
        </w:rPr>
        <w:t>书</w:t>
      </w:r>
    </w:p>
    <w:p>
      <w:pPr>
        <w:rPr>
          <w:rFonts w:hint="default"/>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58"/>
        <w:gridCol w:w="2429"/>
        <w:gridCol w:w="2172"/>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建设项目名称</w:t>
            </w:r>
          </w:p>
        </w:tc>
        <w:tc>
          <w:tcPr>
            <w:tcW w:w="7712"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聚碳酸酯（PC）板加工项目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项目代码</w:t>
            </w:r>
          </w:p>
        </w:tc>
        <w:tc>
          <w:tcPr>
            <w:tcW w:w="7712"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2507-320682-89-01-568824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建设单位联系人</w:t>
            </w:r>
          </w:p>
        </w:tc>
        <w:tc>
          <w:tcPr>
            <w:tcW w:w="24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 xml:space="preserve"> </w:t>
            </w:r>
          </w:p>
        </w:tc>
        <w:tc>
          <w:tcPr>
            <w:tcW w:w="217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联系方式</w:t>
            </w:r>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cs="Times New Roman"/>
                <w:color w:val="000000"/>
                <w:sz w:val="24"/>
                <w:szCs w:val="24"/>
                <w:lang w:val="en-US" w:eastAsia="zh-CN"/>
              </w:rPr>
              <w:t xml:space="preserve"> </w:t>
            </w:r>
            <w:bookmarkStart w:id="16" w:name="_GoBack"/>
            <w:bookmarkEnd w:id="1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建设地点</w:t>
            </w:r>
          </w:p>
        </w:tc>
        <w:tc>
          <w:tcPr>
            <w:tcW w:w="7712"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eastAsia="zh-CN"/>
              </w:rPr>
              <w:t>江苏省南通市</w:t>
            </w:r>
            <w:r>
              <w:rPr>
                <w:rFonts w:hint="eastAsia" w:cs="Times New Roman"/>
                <w:color w:val="000000"/>
                <w:sz w:val="24"/>
                <w:szCs w:val="24"/>
                <w:lang w:val="en-US" w:eastAsia="zh-CN"/>
              </w:rPr>
              <w:t>如皋市</w:t>
            </w:r>
            <w:r>
              <w:rPr>
                <w:rFonts w:hint="eastAsia" w:cs="Times New Roman"/>
                <w:color w:val="000000"/>
                <w:sz w:val="24"/>
                <w:szCs w:val="24"/>
                <w:lang w:eastAsia="zh-CN"/>
              </w:rPr>
              <w:t>磨头镇丁磨路111号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地理坐标</w:t>
            </w:r>
          </w:p>
        </w:tc>
        <w:tc>
          <w:tcPr>
            <w:tcW w:w="7712"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eastAsia="宋体" w:cs="Times New Roman"/>
                <w:b w:val="0"/>
                <w:bCs w:val="0"/>
                <w:color w:val="000000"/>
                <w:kern w:val="2"/>
                <w:sz w:val="24"/>
                <w:szCs w:val="24"/>
                <w:lang w:val="en-US" w:eastAsia="zh-CN" w:bidi="ar-SA"/>
              </w:rPr>
              <w:t>（东经：120度</w:t>
            </w:r>
            <w:r>
              <w:rPr>
                <w:rFonts w:hint="eastAsia" w:cs="Times New Roman"/>
                <w:b w:val="0"/>
                <w:bCs w:val="0"/>
                <w:color w:val="000000"/>
                <w:kern w:val="2"/>
                <w:sz w:val="24"/>
                <w:szCs w:val="24"/>
                <w:lang w:val="en-US" w:eastAsia="zh-CN" w:bidi="ar-SA"/>
              </w:rPr>
              <w:t>32</w:t>
            </w:r>
            <w:r>
              <w:rPr>
                <w:rFonts w:hint="default" w:ascii="Times New Roman" w:hAnsi="Times New Roman" w:eastAsia="宋体" w:cs="Times New Roman"/>
                <w:b w:val="0"/>
                <w:bCs w:val="0"/>
                <w:color w:val="000000"/>
                <w:kern w:val="2"/>
                <w:sz w:val="24"/>
                <w:szCs w:val="24"/>
                <w:lang w:val="en-US" w:eastAsia="zh-CN" w:bidi="ar-SA"/>
              </w:rPr>
              <w:t>分</w:t>
            </w:r>
            <w:r>
              <w:rPr>
                <w:rFonts w:hint="eastAsia" w:cs="Times New Roman"/>
                <w:b w:val="0"/>
                <w:bCs w:val="0"/>
                <w:color w:val="000000"/>
                <w:kern w:val="2"/>
                <w:sz w:val="24"/>
                <w:szCs w:val="24"/>
                <w:lang w:val="en-US" w:eastAsia="zh-CN" w:bidi="ar-SA"/>
              </w:rPr>
              <w:t>2.415</w:t>
            </w:r>
            <w:r>
              <w:rPr>
                <w:rFonts w:hint="default" w:ascii="Times New Roman" w:hAnsi="Times New Roman" w:eastAsia="宋体" w:cs="Times New Roman"/>
                <w:b w:val="0"/>
                <w:bCs w:val="0"/>
                <w:color w:val="000000"/>
                <w:kern w:val="2"/>
                <w:sz w:val="24"/>
                <w:szCs w:val="24"/>
                <w:lang w:val="en-US" w:eastAsia="zh-CN" w:bidi="ar-SA"/>
              </w:rPr>
              <w:t>秒，北纬：32度</w:t>
            </w:r>
            <w:r>
              <w:rPr>
                <w:rFonts w:hint="eastAsia" w:cs="Times New Roman"/>
                <w:b w:val="0"/>
                <w:bCs w:val="0"/>
                <w:color w:val="000000"/>
                <w:kern w:val="2"/>
                <w:sz w:val="24"/>
                <w:szCs w:val="24"/>
                <w:lang w:val="en-US" w:eastAsia="zh-CN" w:bidi="ar-SA"/>
              </w:rPr>
              <w:t>17</w:t>
            </w:r>
            <w:r>
              <w:rPr>
                <w:rFonts w:hint="default" w:ascii="Times New Roman" w:hAnsi="Times New Roman" w:eastAsia="宋体" w:cs="Times New Roman"/>
                <w:b w:val="0"/>
                <w:bCs w:val="0"/>
                <w:color w:val="000000"/>
                <w:kern w:val="2"/>
                <w:sz w:val="24"/>
                <w:szCs w:val="24"/>
                <w:lang w:val="en-US" w:eastAsia="zh-CN" w:bidi="ar-SA"/>
              </w:rPr>
              <w:t>分</w:t>
            </w:r>
            <w:r>
              <w:rPr>
                <w:rFonts w:hint="eastAsia" w:cs="Times New Roman"/>
                <w:b w:val="0"/>
                <w:bCs w:val="0"/>
                <w:color w:val="000000"/>
                <w:kern w:val="2"/>
                <w:sz w:val="24"/>
                <w:szCs w:val="24"/>
                <w:lang w:val="en-US" w:eastAsia="zh-CN" w:bidi="ar-SA"/>
              </w:rPr>
              <w:t>3.025</w:t>
            </w:r>
            <w:r>
              <w:rPr>
                <w:rFonts w:hint="default" w:ascii="Times New Roman" w:hAnsi="Times New Roman" w:eastAsia="宋体" w:cs="Times New Roman"/>
                <w:b w:val="0"/>
                <w:bCs w:val="0"/>
                <w:color w:val="000000"/>
                <w:kern w:val="2"/>
                <w:sz w:val="24"/>
                <w:szCs w:val="24"/>
                <w:lang w:val="en-US" w:eastAsia="zh-CN" w:bidi="ar-SA"/>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行业类别</w:t>
            </w:r>
          </w:p>
        </w:tc>
        <w:tc>
          <w:tcPr>
            <w:tcW w:w="24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w:t>
            </w:r>
            <w:r>
              <w:rPr>
                <w:rFonts w:hint="eastAsia" w:cs="Times New Roman"/>
                <w:color w:val="000000"/>
                <w:sz w:val="24"/>
                <w:szCs w:val="24"/>
                <w:lang w:eastAsia="zh-CN"/>
              </w:rPr>
              <w:t>C2922</w:t>
            </w:r>
            <w:r>
              <w:rPr>
                <w:rFonts w:hint="default" w:ascii="Times New Roman" w:hAnsi="Times New Roman" w:cs="Times New Roman"/>
                <w:color w:val="000000"/>
                <w:sz w:val="24"/>
                <w:szCs w:val="24"/>
              </w:rPr>
              <w:t>〕</w:t>
            </w:r>
            <w:r>
              <w:rPr>
                <w:rFonts w:hint="eastAsia" w:cs="Times New Roman"/>
                <w:color w:val="000000"/>
                <w:sz w:val="24"/>
                <w:szCs w:val="24"/>
                <w:lang w:eastAsia="zh-CN"/>
              </w:rPr>
              <w:t>塑料板、管、型材制造</w:t>
            </w:r>
          </w:p>
        </w:tc>
        <w:tc>
          <w:tcPr>
            <w:tcW w:w="217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bookmarkStart w:id="1" w:name="_Hlk49843745"/>
            <w:r>
              <w:rPr>
                <w:rFonts w:hint="default" w:ascii="Times New Roman" w:hAnsi="Times New Roman" w:cs="Times New Roman"/>
                <w:b/>
                <w:bCs/>
                <w:color w:val="000000"/>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行业类别</w:t>
            </w:r>
            <w:bookmarkEnd w:id="1"/>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二十六、橡胶和塑料制品业29</w:t>
            </w:r>
            <w:r>
              <w:rPr>
                <w:rFonts w:hint="eastAsia" w:cs="Times New Roman"/>
                <w:color w:val="000000"/>
                <w:sz w:val="24"/>
                <w:szCs w:val="24"/>
                <w:lang w:val="en-US" w:eastAsia="zh-CN"/>
              </w:rPr>
              <w:t>塑料制品业292</w:t>
            </w:r>
            <w:r>
              <w:rPr>
                <w:rFonts w:hint="default" w:ascii="Times New Roman" w:hAnsi="Times New Roman" w:cs="Times New Roman"/>
                <w:color w:val="000000"/>
                <w:sz w:val="24"/>
                <w:szCs w:val="24"/>
                <w:lang w:val="en-US" w:eastAsia="zh-CN"/>
              </w:rPr>
              <w:t>中</w:t>
            </w:r>
            <w:r>
              <w:rPr>
                <w:rFonts w:hint="eastAsia" w:cs="Times New Roman"/>
                <w:color w:val="000000"/>
                <w:sz w:val="24"/>
                <w:szCs w:val="24"/>
                <w:lang w:val="en-US" w:eastAsia="zh-CN"/>
              </w:rPr>
              <w:t>“</w:t>
            </w:r>
            <w:r>
              <w:rPr>
                <w:rFonts w:hint="default" w:ascii="Times New Roman" w:hAnsi="Times New Roman" w:cs="Times New Roman"/>
                <w:color w:val="000000"/>
                <w:sz w:val="24"/>
                <w:szCs w:val="24"/>
                <w:lang w:val="en-US" w:eastAsia="zh-CN"/>
              </w:rPr>
              <w:t>其他（年用非溶剂型低VOCs含量涂料10吨以下的除外）</w:t>
            </w:r>
            <w:r>
              <w:rPr>
                <w:rFonts w:hint="eastAsia"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建设性质</w:t>
            </w:r>
          </w:p>
        </w:tc>
        <w:tc>
          <w:tcPr>
            <w:tcW w:w="242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52"/>
            </w:r>
            <w:r>
              <w:rPr>
                <w:rFonts w:hint="default" w:ascii="Times New Roman" w:hAnsi="Times New Roman" w:cs="Times New Roman"/>
                <w:color w:val="000000"/>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技术改造</w:t>
            </w:r>
          </w:p>
        </w:tc>
        <w:tc>
          <w:tcPr>
            <w:tcW w:w="217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申报情形</w:t>
            </w:r>
          </w:p>
        </w:tc>
        <w:tc>
          <w:tcPr>
            <w:tcW w:w="3111"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52"/>
            </w:r>
            <w:r>
              <w:rPr>
                <w:rFonts w:hint="default" w:ascii="Times New Roman" w:hAnsi="Times New Roman" w:cs="Times New Roman"/>
                <w:color w:val="000000"/>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备案）部门（选填）</w:t>
            </w:r>
          </w:p>
        </w:tc>
        <w:tc>
          <w:tcPr>
            <w:tcW w:w="24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eastAsia="zh-CN"/>
              </w:rPr>
              <w:t>如皋市数据局</w:t>
            </w:r>
          </w:p>
        </w:tc>
        <w:tc>
          <w:tcPr>
            <w:tcW w:w="217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备案）文号（选填）</w:t>
            </w:r>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皋数据备〔202</w:t>
            </w:r>
            <w:r>
              <w:rPr>
                <w:rFonts w:hint="eastAsia"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w:t>
            </w:r>
            <w:r>
              <w:rPr>
                <w:rFonts w:hint="eastAsia" w:cs="Times New Roman"/>
                <w:color w:val="000000"/>
                <w:sz w:val="24"/>
                <w:szCs w:val="24"/>
                <w:lang w:val="en-US" w:eastAsia="zh-CN"/>
              </w:rPr>
              <w:t>731</w:t>
            </w:r>
            <w:r>
              <w:rPr>
                <w:rFonts w:hint="default" w:ascii="Times New Roman" w:hAnsi="Times New Roman" w:eastAsia="宋体" w:cs="Times New Roman"/>
                <w:color w:val="000000"/>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总投资（万元）</w:t>
            </w:r>
          </w:p>
        </w:tc>
        <w:tc>
          <w:tcPr>
            <w:tcW w:w="24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1000</w:t>
            </w:r>
          </w:p>
        </w:tc>
        <w:tc>
          <w:tcPr>
            <w:tcW w:w="217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环保投资（万元）</w:t>
            </w:r>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环保投资占比（%）</w:t>
            </w:r>
          </w:p>
        </w:tc>
        <w:tc>
          <w:tcPr>
            <w:tcW w:w="242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4</w:t>
            </w:r>
          </w:p>
        </w:tc>
        <w:tc>
          <w:tcPr>
            <w:tcW w:w="217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施工工期</w:t>
            </w:r>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5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是否开工建设</w:t>
            </w:r>
          </w:p>
        </w:tc>
        <w:tc>
          <w:tcPr>
            <w:tcW w:w="2429"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52"/>
            </w:r>
            <w:r>
              <w:rPr>
                <w:rFonts w:hint="default" w:ascii="Times New Roman" w:hAnsi="Times New Roman" w:cs="Times New Roman"/>
                <w:color w:val="000000"/>
                <w:sz w:val="24"/>
                <w:szCs w:val="24"/>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是：</w:t>
            </w:r>
            <w:r>
              <w:rPr>
                <w:rFonts w:hint="default" w:ascii="Times New Roman" w:hAnsi="Times New Roman" w:cs="Times New Roman"/>
                <w:color w:val="000000"/>
                <w:sz w:val="24"/>
                <w:szCs w:val="24"/>
                <w:u w:val="single"/>
              </w:rPr>
              <w:t xml:space="preserve">             </w:t>
            </w:r>
          </w:p>
        </w:tc>
        <w:tc>
          <w:tcPr>
            <w:tcW w:w="217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pacing w:val="-6"/>
                <w:sz w:val="24"/>
                <w:szCs w:val="24"/>
              </w:rPr>
            </w:pPr>
            <w:r>
              <w:rPr>
                <w:rFonts w:hint="default" w:ascii="Times New Roman" w:hAnsi="Times New Roman" w:cs="Times New Roman"/>
                <w:b/>
                <w:bCs/>
                <w:color w:val="000000"/>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pacing w:val="-6"/>
                <w:sz w:val="24"/>
                <w:szCs w:val="24"/>
              </w:rPr>
              <w:t>面积（m</w:t>
            </w:r>
            <w:r>
              <w:rPr>
                <w:rFonts w:hint="default" w:ascii="Times New Roman" w:hAnsi="Times New Roman" w:cs="Times New Roman"/>
                <w:b/>
                <w:bCs/>
                <w:color w:val="000000"/>
                <w:spacing w:val="-6"/>
                <w:sz w:val="24"/>
                <w:szCs w:val="24"/>
                <w:vertAlign w:val="superscript"/>
              </w:rPr>
              <w:t>2</w:t>
            </w:r>
            <w:r>
              <w:rPr>
                <w:rFonts w:hint="default" w:ascii="Times New Roman" w:hAnsi="Times New Roman" w:cs="Times New Roman"/>
                <w:b/>
                <w:bCs/>
                <w:color w:val="000000"/>
                <w:spacing w:val="-6"/>
                <w:sz w:val="24"/>
                <w:szCs w:val="24"/>
              </w:rPr>
              <w:t>）</w:t>
            </w:r>
          </w:p>
        </w:tc>
        <w:tc>
          <w:tcPr>
            <w:tcW w:w="31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13597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rPr>
              <w:t>专项评价设置情况</w:t>
            </w:r>
          </w:p>
        </w:tc>
        <w:tc>
          <w:tcPr>
            <w:tcW w:w="7712"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专项评价设置原则表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944"/>
              <w:gridCol w:w="4171"/>
              <w:gridCol w:w="1579"/>
              <w:gridCol w:w="77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专项评价的类别</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设置原则</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本项目情况</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设置情况</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大气</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pacing w:val="-7"/>
                      <w:sz w:val="24"/>
                      <w:szCs w:val="24"/>
                    </w:rPr>
                    <w:t>排放废气含有毒有害污染物</w:t>
                  </w:r>
                  <w:r>
                    <w:rPr>
                      <w:rFonts w:hint="default" w:ascii="Times New Roman" w:hAnsi="Times New Roman" w:eastAsia="Times New Roman" w:cs="Times New Roman"/>
                      <w:color w:val="000000"/>
                      <w:position w:val="7"/>
                      <w:sz w:val="24"/>
                      <w:szCs w:val="24"/>
                    </w:rPr>
                    <w:t>1</w:t>
                  </w:r>
                  <w:r>
                    <w:rPr>
                      <w:rFonts w:hint="default" w:ascii="Times New Roman" w:hAnsi="Times New Roman" w:cs="Times New Roman"/>
                      <w:color w:val="000000"/>
                      <w:spacing w:val="-24"/>
                      <w:sz w:val="24"/>
                      <w:szCs w:val="24"/>
                    </w:rPr>
                    <w:t>、二噁英、苯</w:t>
                  </w:r>
                  <w:r>
                    <w:rPr>
                      <w:rFonts w:hint="default" w:ascii="Times New Roman" w:hAnsi="Times New Roman" w:cs="Times New Roman"/>
                      <w:color w:val="000000"/>
                      <w:sz w:val="24"/>
                      <w:szCs w:val="24"/>
                    </w:rPr>
                    <w:t>并</w:t>
                  </w:r>
                  <w:r>
                    <w:rPr>
                      <w:rFonts w:hint="default" w:ascii="Times New Roman" w:hAnsi="Times New Roman" w:eastAsia="Times New Roman" w:cs="Times New Roman"/>
                      <w:color w:val="000000"/>
                      <w:spacing w:val="-5"/>
                      <w:sz w:val="24"/>
                      <w:szCs w:val="24"/>
                    </w:rPr>
                    <w:t>[</w:t>
                  </w:r>
                  <w:r>
                    <w:rPr>
                      <w:rFonts w:hint="default" w:ascii="Times New Roman" w:hAnsi="Times New Roman" w:eastAsia="Times New Roman" w:cs="Times New Roman"/>
                      <w:color w:val="000000"/>
                      <w:sz w:val="24"/>
                      <w:szCs w:val="24"/>
                    </w:rPr>
                    <w:t>a</w:t>
                  </w:r>
                  <w:r>
                    <w:rPr>
                      <w:rFonts w:hint="default" w:ascii="Times New Roman" w:hAnsi="Times New Roman" w:eastAsia="Times New Roman" w:cs="Times New Roman"/>
                      <w:color w:val="000000"/>
                      <w:spacing w:val="-6"/>
                      <w:sz w:val="24"/>
                      <w:szCs w:val="24"/>
                    </w:rPr>
                    <w:t>]</w:t>
                  </w:r>
                  <w:r>
                    <w:rPr>
                      <w:rFonts w:hint="default" w:ascii="Times New Roman" w:hAnsi="Times New Roman" w:cs="Times New Roman"/>
                      <w:color w:val="000000"/>
                      <w:spacing w:val="-13"/>
                      <w:sz w:val="24"/>
                      <w:szCs w:val="24"/>
                    </w:rPr>
                    <w:t>芘、氰化物、氯气且厂界外</w:t>
                  </w:r>
                  <w:r>
                    <w:rPr>
                      <w:rFonts w:hint="default" w:ascii="Times New Roman" w:hAnsi="Times New Roman" w:eastAsia="Times New Roman" w:cs="Times New Roman"/>
                      <w:color w:val="000000"/>
                      <w:sz w:val="24"/>
                      <w:szCs w:val="24"/>
                    </w:rPr>
                    <w:t>500</w:t>
                  </w:r>
                  <w:r>
                    <w:rPr>
                      <w:rFonts w:hint="default" w:ascii="Times New Roman" w:hAnsi="Times New Roman" w:cs="Times New Roman"/>
                      <w:color w:val="000000"/>
                      <w:sz w:val="24"/>
                      <w:szCs w:val="24"/>
                    </w:rPr>
                    <w:t>米范</w:t>
                  </w:r>
                  <w:r>
                    <w:rPr>
                      <w:rFonts w:hint="default" w:ascii="Times New Roman" w:hAnsi="Times New Roman" w:cs="Times New Roman"/>
                      <w:color w:val="000000"/>
                      <w:spacing w:val="-8"/>
                      <w:sz w:val="24"/>
                      <w:szCs w:val="24"/>
                    </w:rPr>
                    <w:t>围内有环境空气保护目标</w:t>
                  </w:r>
                  <w:r>
                    <w:rPr>
                      <w:rFonts w:hint="default" w:ascii="Times New Roman" w:hAnsi="Times New Roman" w:eastAsia="Times New Roman" w:cs="Times New Roman"/>
                      <w:color w:val="000000"/>
                      <w:position w:val="7"/>
                      <w:sz w:val="24"/>
                      <w:szCs w:val="24"/>
                    </w:rPr>
                    <w:t>2</w:t>
                  </w:r>
                  <w:r>
                    <w:rPr>
                      <w:rFonts w:hint="default" w:ascii="Times New Roman" w:hAnsi="Times New Roman" w:cs="Times New Roman"/>
                      <w:color w:val="000000"/>
                      <w:spacing w:val="-3"/>
                      <w:sz w:val="24"/>
                      <w:szCs w:val="24"/>
                    </w:rPr>
                    <w:t>的建设项目</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不涉及</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不</w:t>
                  </w:r>
                  <w:r>
                    <w:rPr>
                      <w:rFonts w:hint="eastAsia" w:ascii="Times New Roman" w:hAnsi="Times New Roman" w:cs="Times New Roman"/>
                      <w:color w:val="000000"/>
                      <w:sz w:val="24"/>
                      <w:szCs w:val="24"/>
                      <w:lang w:eastAsia="zh-CN"/>
                    </w:rPr>
                    <w:t>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地表水</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新增工业废水直排建设项目（槽罐车外送污水处理厂的除外）；新增废水直排的污水集中处理厂</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sz w:val="24"/>
                      <w:szCs w:val="24"/>
                      <w:lang w:val="en-US" w:eastAsia="zh-CN"/>
                    </w:rPr>
                  </w:pPr>
                  <w:r>
                    <w:rPr>
                      <w:rFonts w:hint="eastAsia" w:ascii="Times New Roman" w:hAnsi="Times New Roman" w:cs="Times New Roman"/>
                      <w:color w:val="000000"/>
                      <w:sz w:val="24"/>
                      <w:szCs w:val="24"/>
                      <w:lang w:val="en-US" w:eastAsia="zh-CN"/>
                    </w:rPr>
                    <w:t>本项目无新增工业废水排放</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w:t>
                  </w:r>
                  <w:r>
                    <w:rPr>
                      <w:rFonts w:hint="eastAsia" w:ascii="Times New Roman" w:hAnsi="Times New Roman" w:cs="Times New Roman"/>
                      <w:color w:val="000000"/>
                      <w:sz w:val="24"/>
                      <w:szCs w:val="24"/>
                      <w:lang w:eastAsia="zh-CN"/>
                    </w:rPr>
                    <w:t>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环境风险</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有毒有害和易燃易爆危险物质存储量超过临界量</w:t>
                  </w:r>
                  <w:r>
                    <w:rPr>
                      <w:rFonts w:hint="default" w:ascii="Times New Roman" w:hAnsi="Times New Roman" w:cs="Times New Roman"/>
                      <w:color w:val="000000"/>
                      <w:sz w:val="24"/>
                      <w:szCs w:val="24"/>
                      <w:vertAlign w:val="superscript"/>
                      <w:lang w:val="en-US"/>
                    </w:rPr>
                    <w:t>3</w:t>
                  </w:r>
                  <w:r>
                    <w:rPr>
                      <w:rFonts w:hint="default" w:ascii="Times New Roman" w:hAnsi="Times New Roman" w:cs="Times New Roman"/>
                      <w:color w:val="000000"/>
                      <w:sz w:val="24"/>
                      <w:szCs w:val="24"/>
                    </w:rPr>
                    <w:t>的建设项目</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sz w:val="24"/>
                      <w:szCs w:val="24"/>
                    </w:rPr>
                  </w:pPr>
                  <w:r>
                    <w:rPr>
                      <w:rFonts w:hint="default" w:ascii="Times New Roman" w:hAnsi="Times New Roman" w:cs="Times New Roman"/>
                      <w:color w:val="000000"/>
                      <w:sz w:val="24"/>
                      <w:szCs w:val="24"/>
                    </w:rPr>
                    <w:t>不涉及</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sz w:val="24"/>
                      <w:szCs w:val="24"/>
                      <w:lang w:eastAsia="zh-CN"/>
                    </w:rPr>
                  </w:pPr>
                  <w:r>
                    <w:rPr>
                      <w:rFonts w:hint="eastAsia" w:ascii="Times New Roman" w:hAnsi="Times New Roman" w:cs="Times New Roman"/>
                      <w:b w:val="0"/>
                      <w:bCs w:val="0"/>
                      <w:color w:val="000000"/>
                      <w:sz w:val="24"/>
                      <w:szCs w:val="24"/>
                      <w:lang w:eastAsia="zh-CN"/>
                    </w:rPr>
                    <w:t>不设置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817"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生态</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pacing w:val="-6"/>
                      <w:sz w:val="24"/>
                      <w:szCs w:val="24"/>
                    </w:rPr>
                    <w:t>取水口下游</w:t>
                  </w:r>
                  <w:r>
                    <w:rPr>
                      <w:rFonts w:hint="default" w:ascii="Times New Roman" w:hAnsi="Times New Roman" w:eastAsia="Times New Roman" w:cs="Times New Roman"/>
                      <w:color w:val="000000"/>
                      <w:sz w:val="24"/>
                      <w:szCs w:val="24"/>
                    </w:rPr>
                    <w:t>500</w:t>
                  </w:r>
                  <w:r>
                    <w:rPr>
                      <w:rFonts w:hint="default" w:ascii="Times New Roman" w:hAnsi="Times New Roman" w:cs="Times New Roman"/>
                      <w:color w:val="000000"/>
                      <w:spacing w:val="-3"/>
                      <w:sz w:val="24"/>
                      <w:szCs w:val="24"/>
                    </w:rPr>
                    <w:t>米范围内有重要水生生物</w:t>
                  </w:r>
                  <w:r>
                    <w:rPr>
                      <w:rFonts w:hint="default" w:ascii="Times New Roman" w:hAnsi="Times New Roman" w:cs="Times New Roman"/>
                      <w:color w:val="000000"/>
                      <w:sz w:val="24"/>
                      <w:szCs w:val="24"/>
                    </w:rPr>
                    <w:t>的自然产卵场、索饵场、越冬场和洄游通</w:t>
                  </w:r>
                  <w:r>
                    <w:rPr>
                      <w:rFonts w:hint="default" w:ascii="Times New Roman" w:hAnsi="Times New Roman" w:cs="Times New Roman"/>
                      <w:color w:val="000000"/>
                      <w:spacing w:val="-3"/>
                      <w:sz w:val="24"/>
                      <w:szCs w:val="24"/>
                    </w:rPr>
                    <w:t>道的新增河道取水的污染类建设项目</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不涉及</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w:t>
                  </w:r>
                  <w:r>
                    <w:rPr>
                      <w:rFonts w:hint="eastAsia" w:ascii="Times New Roman" w:hAnsi="Times New Roman" w:cs="Times New Roman"/>
                      <w:color w:val="000000"/>
                      <w:sz w:val="24"/>
                      <w:szCs w:val="24"/>
                      <w:lang w:eastAsia="zh-CN"/>
                    </w:rPr>
                    <w:t>设置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63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海洋</w:t>
                  </w:r>
                </w:p>
              </w:tc>
              <w:tc>
                <w:tcPr>
                  <w:tcW w:w="2792"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直接向海排放污染物的海洋工程建设项目</w:t>
                  </w:r>
                </w:p>
              </w:tc>
              <w:tc>
                <w:tcPr>
                  <w:tcW w:w="105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不涉及</w:t>
                  </w:r>
                </w:p>
              </w:tc>
              <w:tc>
                <w:tcPr>
                  <w:tcW w:w="517"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不</w:t>
                  </w:r>
                  <w:r>
                    <w:rPr>
                      <w:rFonts w:hint="eastAsia" w:ascii="Times New Roman" w:hAnsi="Times New Roman" w:cs="Times New Roman"/>
                      <w:color w:val="000000"/>
                      <w:sz w:val="24"/>
                      <w:szCs w:val="24"/>
                      <w:lang w:eastAsia="zh-CN"/>
                    </w:rPr>
                    <w:t>设置</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kern w:val="0"/>
                <w:sz w:val="24"/>
                <w:szCs w:val="24"/>
                <w:lang w:eastAsia="zh-CN"/>
              </w:rPr>
            </w:pPr>
            <w:r>
              <w:rPr>
                <w:rFonts w:hint="default" w:ascii="Times New Roman" w:hAnsi="Times New Roman" w:cs="Times New Roman"/>
                <w:color w:val="000000"/>
                <w:sz w:val="21"/>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sz w:val="24"/>
                <w:szCs w:val="24"/>
              </w:rPr>
              <w:t>规划情况</w:t>
            </w:r>
          </w:p>
        </w:tc>
        <w:tc>
          <w:tcPr>
            <w:tcW w:w="7712"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规划名称：《如皋市</w:t>
            </w:r>
            <w:r>
              <w:rPr>
                <w:rFonts w:hint="eastAsia" w:cs="Times New Roman"/>
                <w:kern w:val="0"/>
                <w:sz w:val="24"/>
                <w:szCs w:val="24"/>
                <w:lang w:val="en-US" w:eastAsia="zh-CN" w:bidi="ar-SA"/>
              </w:rPr>
              <w:t>国土空间总体规划</w:t>
            </w:r>
            <w:r>
              <w:rPr>
                <w:rFonts w:hint="default" w:ascii="Times New Roman" w:hAnsi="Times New Roman" w:eastAsia="宋体" w:cs="Times New Roman"/>
                <w:kern w:val="0"/>
                <w:sz w:val="24"/>
                <w:szCs w:val="24"/>
                <w:lang w:val="en-US" w:eastAsia="zh-CN" w:bidi="ar-SA"/>
              </w:rPr>
              <w:t>（202</w:t>
            </w:r>
            <w:r>
              <w:rPr>
                <w:rFonts w:hint="eastAsia" w:cs="Times New Roman"/>
                <w:kern w:val="0"/>
                <w:sz w:val="24"/>
                <w:szCs w:val="24"/>
                <w:lang w:val="en-US" w:eastAsia="zh-CN" w:bidi="ar-SA"/>
              </w:rPr>
              <w:t>1</w:t>
            </w:r>
            <w:r>
              <w:rPr>
                <w:rFonts w:hint="default" w:ascii="Times New Roman" w:hAnsi="Times New Roman" w:eastAsia="宋体" w:cs="Times New Roman"/>
                <w:kern w:val="0"/>
                <w:sz w:val="24"/>
                <w:szCs w:val="24"/>
                <w:lang w:val="en-US" w:eastAsia="zh-CN" w:bidi="ar-SA"/>
              </w:rPr>
              <w:t>-203</w:t>
            </w:r>
            <w:r>
              <w:rPr>
                <w:rFonts w:hint="eastAsia" w:cs="Times New Roman"/>
                <w:kern w:val="0"/>
                <w:sz w:val="24"/>
                <w:szCs w:val="24"/>
                <w:lang w:val="en-US" w:eastAsia="zh-CN" w:bidi="ar-SA"/>
              </w:rPr>
              <w:t>5</w:t>
            </w:r>
            <w:r>
              <w:rPr>
                <w:rFonts w:hint="default" w:ascii="Times New Roman" w:hAnsi="Times New Roman" w:eastAsia="宋体" w:cs="Times New Roman"/>
                <w:kern w:val="0"/>
                <w:sz w:val="24"/>
                <w:szCs w:val="24"/>
                <w:lang w:val="en-US" w:eastAsia="zh-CN" w:bidi="ar-SA"/>
              </w:rPr>
              <w:t>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审批机关：</w:t>
            </w:r>
            <w:r>
              <w:rPr>
                <w:rFonts w:hint="eastAsia" w:cs="Times New Roman"/>
                <w:kern w:val="0"/>
                <w:sz w:val="24"/>
                <w:szCs w:val="24"/>
                <w:lang w:val="en-US" w:eastAsia="zh-CN" w:bidi="ar-SA"/>
              </w:rPr>
              <w:t>江苏省</w:t>
            </w:r>
            <w:r>
              <w:rPr>
                <w:rFonts w:hint="default" w:ascii="Times New Roman" w:hAnsi="Times New Roman" w:eastAsia="宋体" w:cs="Times New Roman"/>
                <w:kern w:val="0"/>
                <w:sz w:val="24"/>
                <w:szCs w:val="24"/>
                <w:lang w:val="en-US" w:eastAsia="zh-CN" w:bidi="ar-SA"/>
              </w:rPr>
              <w:t>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审批文件名称及文号：</w:t>
            </w:r>
            <w:r>
              <w:rPr>
                <w:rFonts w:hint="eastAsia" w:cs="Times New Roman"/>
                <w:kern w:val="0"/>
                <w:sz w:val="24"/>
                <w:szCs w:val="24"/>
                <w:lang w:val="en-US" w:eastAsia="zh-CN" w:bidi="ar-SA"/>
              </w:rPr>
              <w:t>《省政府关于南通市海门区、如东县、启东市、如皋市、海安市国土空间总体规划（2021-2035年）的批复》（苏政复〔2023〕43号），2023年11月13日。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规划名称：《如皋市磨头镇智能制造产业园区开发建设规划（2022-203</w:t>
            </w:r>
            <w:r>
              <w:rPr>
                <w:rFonts w:hint="eastAsia" w:cs="Times New Roman"/>
                <w:kern w:val="0"/>
                <w:sz w:val="24"/>
                <w:szCs w:val="24"/>
                <w:lang w:val="en-US" w:eastAsia="zh-CN" w:bidi="ar-SA"/>
              </w:rPr>
              <w:t>0</w:t>
            </w:r>
            <w:r>
              <w:rPr>
                <w:rFonts w:hint="default" w:ascii="Times New Roman" w:hAnsi="Times New Roman" w:eastAsia="宋体" w:cs="Times New Roman"/>
                <w:kern w:val="0"/>
                <w:sz w:val="24"/>
                <w:szCs w:val="24"/>
                <w:lang w:val="en-US" w:eastAsia="zh-CN" w:bidi="ar-SA"/>
              </w:rPr>
              <w:t>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审批机关：如皋市人民政府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lang w:val="en-US" w:eastAsia="zh-CN"/>
              </w:rPr>
            </w:pPr>
            <w:r>
              <w:rPr>
                <w:rFonts w:hint="default" w:ascii="Times New Roman" w:hAnsi="Times New Roman" w:eastAsia="宋体" w:cs="Times New Roman"/>
                <w:kern w:val="0"/>
                <w:sz w:val="24"/>
                <w:szCs w:val="24"/>
                <w:lang w:val="en-US" w:eastAsia="zh-CN" w:bidi="ar-SA"/>
              </w:rPr>
              <w:t>审批文件名称及文号：市政府关于同意设立“如皋市磨头镇智能制造产业园区”的批复（2022年1月14日）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sz w:val="24"/>
                <w:szCs w:val="24"/>
              </w:rPr>
              <w:t>评价情况</w:t>
            </w:r>
          </w:p>
        </w:tc>
        <w:tc>
          <w:tcPr>
            <w:tcW w:w="7712" w:type="dxa"/>
            <w:gridSpan w:val="3"/>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文件名称：《如皋市磨头镇智能制造产业园区开发建设规划（2022-2030年）环境影响报告书》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审查文件名称及文号：《关于如皋市磨头镇智能制造产业园区开发建设规划(2022-2030 )环境影响报告书的审查意见》通如皋环审[2022] 10号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审查机关：南通市如皋生态环境局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4"/>
                <w:szCs w:val="24"/>
                <w:highlight w:val="none"/>
              </w:rPr>
            </w:pPr>
            <w:r>
              <w:rPr>
                <w:rFonts w:hint="default" w:ascii="Times New Roman" w:hAnsi="Times New Roman" w:eastAsia="宋体" w:cs="Times New Roman"/>
                <w:b/>
                <w:bCs/>
                <w:color w:val="000000"/>
                <w:kern w:val="0"/>
                <w:sz w:val="24"/>
                <w:szCs w:val="24"/>
                <w:highlight w:val="none"/>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 w:val="24"/>
                <w:szCs w:val="24"/>
                <w:highlight w:val="none"/>
              </w:rPr>
            </w:pPr>
            <w:r>
              <w:rPr>
                <w:rFonts w:hint="default" w:ascii="Times New Roman" w:hAnsi="Times New Roman" w:eastAsia="宋体" w:cs="Times New Roman"/>
                <w:b/>
                <w:bCs/>
                <w:color w:val="000000"/>
                <w:kern w:val="0"/>
                <w:sz w:val="24"/>
                <w:szCs w:val="24"/>
                <w:highlight w:val="none"/>
              </w:rPr>
              <w:t>影响评价符合性分析</w:t>
            </w:r>
          </w:p>
        </w:tc>
        <w:tc>
          <w:tcPr>
            <w:tcW w:w="7712" w:type="dxa"/>
            <w:gridSpan w:val="3"/>
            <w:noWrap w:val="0"/>
            <w:vAlign w:val="center"/>
          </w:tcPr>
          <w:p>
            <w:pPr>
              <w:keepNext w:val="0"/>
              <w:keepLines w:val="0"/>
              <w:numPr>
                <w:ilvl w:val="0"/>
                <w:numId w:val="1"/>
              </w:numPr>
              <w:suppressLineNumbers w:val="0"/>
              <w:tabs>
                <w:tab w:val="left" w:pos="918"/>
              </w:tabs>
              <w:spacing w:before="0" w:beforeAutospacing="0" w:after="0" w:afterAutospacing="0" w:line="360" w:lineRule="auto"/>
              <w:ind w:left="0" w:right="0" w:firstLine="482" w:firstLineChars="200"/>
              <w:rPr>
                <w:rFonts w:hint="default" w:ascii="Times New Roman" w:hAnsi="Times New Roman" w:cs="Times New Roman"/>
                <w:b w:val="0"/>
                <w:bCs/>
                <w:color w:val="000000"/>
                <w:sz w:val="24"/>
                <w:szCs w:val="24"/>
              </w:rPr>
            </w:pPr>
            <w:r>
              <w:rPr>
                <w:rFonts w:hint="default" w:ascii="Times New Roman" w:hAnsi="Times New Roman" w:cs="Times New Roman"/>
                <w:b/>
                <w:bCs w:val="0"/>
                <w:color w:val="000000"/>
                <w:sz w:val="24"/>
                <w:szCs w:val="24"/>
              </w:rPr>
              <w:t>与《如皋市国土空间总体规划（2021-2035年）》相符性分析</w:t>
            </w:r>
          </w:p>
          <w:p>
            <w:pPr>
              <w:keepNext w:val="0"/>
              <w:keepLines w:val="0"/>
              <w:numPr>
                <w:ilvl w:val="0"/>
                <w:numId w:val="0"/>
              </w:numPr>
              <w:suppressLineNumbers w:val="0"/>
              <w:tabs>
                <w:tab w:val="left" w:pos="918"/>
              </w:tabs>
              <w:spacing w:before="0" w:beforeAutospacing="0" w:after="0" w:afterAutospacing="0" w:line="360" w:lineRule="auto"/>
              <w:ind w:left="420" w:leftChars="200" w:right="0" w:rightChars="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（1）战略定位</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全面贯彻长江经济带“共抓大保护、不搞大开发”要求，坚持生态优先、绿色发展，落实长江大保护各项政策要求，优化沿江空间，推动高质量发展。全面融入长三角一体化发展，积极参与上海大都市圈建设，加快跨江融合。</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全面深化科技创新、产业融合、对外开放、基础设施等重点区域、重点领域融合，全方位接轨上海大都市圈。落实江苏省“1+3”重点功能区、扬子江城市群及高质量发展要求，优化功能布局、产业结构、生态环境，推动历史文化保护传承，建设跨江融合样本区。</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（2）规划范围</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市域规划范围：如皋市行政管辖范围，总面积1573.9579平方千米（含长江水域面积24.9541平方千米）。</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中心城区规划范围：如城街道、城南街道、城北街道城镇开发边界包络线范围，总面积96.5176平方千米。</w:t>
            </w:r>
          </w:p>
          <w:p>
            <w:pPr>
              <w:keepNext w:val="0"/>
              <w:keepLines w:val="0"/>
              <w:numPr>
                <w:ilvl w:val="0"/>
                <w:numId w:val="2"/>
              </w:numPr>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规划期限</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规划基期年为2020年，规划目标年为2035年，近期至2025年，远景展望至2050年。</w:t>
            </w:r>
          </w:p>
          <w:p>
            <w:pPr>
              <w:keepNext w:val="0"/>
              <w:keepLines w:val="0"/>
              <w:numPr>
                <w:ilvl w:val="0"/>
                <w:numId w:val="0"/>
              </w:numPr>
              <w:suppressLineNumbers w:val="0"/>
              <w:tabs>
                <w:tab w:val="left" w:pos="918"/>
              </w:tabs>
              <w:spacing w:before="0" w:beforeAutospacing="0" w:after="0" w:afterAutospacing="0" w:line="360" w:lineRule="auto"/>
              <w:ind w:left="420" w:leftChars="200" w:right="0" w:rightChars="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（4）总体格局</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依托东陈镇、丁堰镇、白蒲镇、九华镇、搬经镇和长江镇打造东部绿色稻米优化发展区，依托如城街道、城南街道和磨头镇打造中部精品花木发展区，依托城北街道、搬经镇、吴窑镇、江安镇和石庄镇打造西部特色农产品发展区。</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构建“两带、两核、多廊道”的市域生态保护格局。“两带”即沿江生态带和焦港河生态带，“两核”即城郊苗木生态核心和长江湿地生态核心，“多廊道”即沿河生态骨架，白茅港—南凌河、大寨河—大明河、司马港、立新河—跃进河、如海运河、丁堡河—通扬运河生态廊道。</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形成“双核双区、一廊两带”的城镇体系空间结构。“双核”即中心城区和长江镇；“双区”即依托中心城区和搬经镇、东陈镇、丁堰镇、磨头镇形成北部创新发展引领区，依托长江镇和石庄镇、九华镇、搬经镇形成南部跨江融合前沿区；“一廊”即依托如港路快速通道形成的龙游河中部科创走廊；“两带”即依托沈海高速公路形成的东部城镇发展带和沿江公路形成的沿江绿色发展带。</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本项目选址于如皋市磨头镇丁磨路111号，位于磨头镇智能制造产业园区内，位于城镇开发边界区域内，用地性质为工业用地，满足磨头镇总体规划要求，符合《如皋市国土空间总体规划（2021~2035年）》要求</w:t>
            </w:r>
          </w:p>
          <w:p>
            <w:pPr>
              <w:keepNext w:val="0"/>
              <w:keepLines w:val="0"/>
              <w:suppressLineNumbers w:val="0"/>
              <w:tabs>
                <w:tab w:val="left" w:pos="918"/>
              </w:tabs>
              <w:spacing w:before="0" w:beforeAutospacing="0" w:after="0" w:afterAutospacing="0" w:line="360" w:lineRule="auto"/>
              <w:ind w:left="0" w:right="0" w:firstLine="482" w:firstLineChars="200"/>
              <w:rPr>
                <w:rFonts w:hint="default" w:ascii="Times New Roman" w:hAnsi="Times New Roman" w:cs="Times New Roman"/>
                <w:b w:val="0"/>
                <w:bCs/>
                <w:color w:val="000000"/>
                <w:sz w:val="24"/>
                <w:szCs w:val="24"/>
              </w:rPr>
            </w:pPr>
            <w:r>
              <w:rPr>
                <w:rFonts w:hint="eastAsia" w:cs="Times New Roman"/>
                <w:b/>
                <w:color w:val="000000"/>
                <w:sz w:val="24"/>
                <w:szCs w:val="24"/>
                <w:lang w:val="en-US" w:eastAsia="zh-CN"/>
              </w:rPr>
              <w:t>2、与《如皋市磨头镇智能制造产业园区开发建设规划（2022~2030）环境影响报告书》</w:t>
            </w:r>
            <w:r>
              <w:rPr>
                <w:rFonts w:hint="eastAsia" w:cs="Times New Roman"/>
                <w:b/>
                <w:bCs w:val="0"/>
                <w:color w:val="000000"/>
                <w:sz w:val="24"/>
                <w:szCs w:val="24"/>
                <w:lang w:val="en-US" w:eastAsia="zh-CN"/>
              </w:rPr>
              <w:t>规划内容</w:t>
            </w:r>
            <w:r>
              <w:rPr>
                <w:rFonts w:hint="default" w:ascii="Times New Roman" w:hAnsi="Times New Roman" w:cs="Times New Roman"/>
                <w:b/>
                <w:bCs w:val="0"/>
                <w:color w:val="000000"/>
                <w:sz w:val="24"/>
                <w:szCs w:val="24"/>
              </w:rPr>
              <w:t>相符性</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根据《如皋市磨头镇智能制造产业园区开发建设规划（2022-2030年）》，本次规划四至范围为东至曹石路（大江线），西至董堡中心路，南至新徐四组居住河，北至新丁磨公路，规划用地面积约4.01平方公里（401.28公顷）。园区主导产业为精密制造及汽车零部件、新材料、电子信息及电力装备产业。</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本次规划对工业区的空间发展提出了</w:t>
            </w:r>
            <w:r>
              <w:rPr>
                <w:rFonts w:hint="eastAsia" w:cs="Times New Roman"/>
                <w:b w:val="0"/>
                <w:bCs/>
                <w:color w:val="000000"/>
                <w:sz w:val="24"/>
                <w:szCs w:val="24"/>
                <w:lang w:eastAsia="zh-CN"/>
              </w:rPr>
              <w:t>“</w:t>
            </w:r>
            <w:r>
              <w:rPr>
                <w:rFonts w:hint="default" w:ascii="Times New Roman" w:hAnsi="Times New Roman" w:cs="Times New Roman"/>
                <w:b w:val="0"/>
                <w:bCs/>
                <w:color w:val="000000"/>
                <w:sz w:val="24"/>
                <w:szCs w:val="24"/>
              </w:rPr>
              <w:t>一带四区</w:t>
            </w:r>
            <w:r>
              <w:rPr>
                <w:rFonts w:hint="eastAsia" w:cs="Times New Roman"/>
                <w:b w:val="0"/>
                <w:bCs/>
                <w:color w:val="000000"/>
                <w:sz w:val="24"/>
                <w:szCs w:val="24"/>
                <w:lang w:eastAsia="zh-CN"/>
              </w:rPr>
              <w:t>”</w:t>
            </w:r>
            <w:r>
              <w:rPr>
                <w:rFonts w:hint="default" w:ascii="Times New Roman" w:hAnsi="Times New Roman" w:cs="Times New Roman"/>
                <w:b w:val="0"/>
                <w:bCs/>
                <w:color w:val="000000"/>
                <w:sz w:val="24"/>
                <w:szCs w:val="24"/>
              </w:rPr>
              <w:t>的整体布局结构。其中：</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一带—主要结合204国道建设贯穿南北的产业延伸带，完善道路设施，减少直接接入国道的出入口，加强沿路景观建设，提升工业区的活力与魅力。四区—规划范围内以工业用地为主，根据产业发展侧重的不同以主要道路划分为四个分区。</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精密制造及汽车零部件产业片区：204国道以西，邓高路以北工业地块，该片区主要发展精密模具制造产业及汽车零部件产业。</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新材料、电子信息产业片区：204国道以东区域，重点发展新材料及电子信息以及电力装备等产业。</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传统产业升级片区：该片区位于204国道以西，邓高路南侧区域，该片区多为已建企业，产业门类以传统装备制造产业为主，需进行产业转型升级。</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生活服务片区：该片区位于规划兴磨路以东，曹石路以西区域，配套与园区规模相符的居住及相应生活服务设施。</w:t>
            </w:r>
          </w:p>
          <w:p>
            <w:pPr>
              <w:keepNext w:val="0"/>
              <w:keepLines w:val="0"/>
              <w:suppressLineNumbers w:val="0"/>
              <w:tabs>
                <w:tab w:val="left" w:pos="918"/>
              </w:tabs>
              <w:spacing w:before="0" w:beforeAutospacing="0" w:after="0" w:afterAutospacing="0" w:line="360" w:lineRule="auto"/>
              <w:ind w:left="0" w:right="0" w:firstLine="480" w:firstLineChars="200"/>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本项目属于〔C2922〕塑料板、管、型材制造，</w:t>
            </w:r>
            <w:r>
              <w:rPr>
                <w:rFonts w:hint="eastAsia" w:cs="Times New Roman"/>
                <w:b w:val="0"/>
                <w:bCs/>
                <w:color w:val="000000"/>
                <w:sz w:val="24"/>
                <w:szCs w:val="24"/>
                <w:lang w:val="en-US" w:eastAsia="zh-CN"/>
              </w:rPr>
              <w:t>产品为新能源汽车电池的外壳、轨道交通封闭式声屏障等。</w:t>
            </w:r>
            <w:r>
              <w:rPr>
                <w:rFonts w:hint="default" w:ascii="Times New Roman" w:hAnsi="Times New Roman" w:cs="Times New Roman"/>
                <w:b w:val="0"/>
                <w:bCs/>
                <w:color w:val="000000"/>
                <w:sz w:val="24"/>
                <w:szCs w:val="24"/>
              </w:rPr>
              <w:t>项目位于</w:t>
            </w:r>
            <w:r>
              <w:rPr>
                <w:rFonts w:hint="eastAsia" w:cs="Times New Roman"/>
                <w:b w:val="0"/>
                <w:bCs/>
                <w:color w:val="000000"/>
                <w:sz w:val="24"/>
                <w:szCs w:val="24"/>
                <w:lang w:val="en-US" w:eastAsia="zh-CN"/>
              </w:rPr>
              <w:t>精密制造及汽车零部件产业片区</w:t>
            </w:r>
            <w:r>
              <w:rPr>
                <w:rFonts w:hint="default" w:ascii="Times New Roman" w:hAnsi="Times New Roman" w:cs="Times New Roman"/>
                <w:b w:val="0"/>
                <w:bCs/>
                <w:color w:val="000000"/>
                <w:sz w:val="24"/>
                <w:szCs w:val="24"/>
              </w:rPr>
              <w:t>，与园区规划相符合。</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2" w:firstLineChars="200"/>
              <w:rPr>
                <w:rFonts w:hint="eastAsia" w:cs="Times New Roman"/>
                <w:b/>
                <w:bCs w:val="0"/>
                <w:color w:val="000000"/>
                <w:sz w:val="24"/>
                <w:szCs w:val="24"/>
                <w:lang w:val="en-US" w:eastAsia="zh-CN"/>
              </w:rPr>
            </w:pPr>
            <w:r>
              <w:rPr>
                <w:rFonts w:hint="eastAsia" w:cs="Times New Roman"/>
                <w:b/>
                <w:bCs w:val="0"/>
                <w:color w:val="000000"/>
                <w:sz w:val="24"/>
                <w:szCs w:val="24"/>
                <w:lang w:val="en-US" w:eastAsia="zh-CN"/>
              </w:rPr>
              <w:t>3、与《&lt;如皋市磨头镇智能制造产业园区开发建设规划（2022-2030年）环境影响报告书&gt;的审查意见》相符性分析</w:t>
            </w:r>
          </w:p>
          <w:p>
            <w:pPr>
              <w:keepNext w:val="0"/>
              <w:keepLines w:val="0"/>
              <w:numPr>
                <w:ilvl w:val="0"/>
                <w:numId w:val="0"/>
              </w:numPr>
              <w:suppressLineNumbers w:val="0"/>
              <w:tabs>
                <w:tab w:val="left" w:pos="918"/>
              </w:tabs>
              <w:spacing w:before="0" w:beforeAutospacing="0" w:after="0" w:afterAutospacing="0" w:line="360" w:lineRule="auto"/>
              <w:ind w:left="0" w:right="0" w:rightChars="0" w:firstLine="480" w:firstLineChars="200"/>
              <w:rPr>
                <w:rFonts w:hint="eastAsia" w:ascii="Times New Roman" w:hAnsi="Times New Roman" w:eastAsia="宋体" w:cs="Times New Roman"/>
                <w:b w:val="0"/>
                <w:bCs/>
                <w:color w:val="000000"/>
                <w:sz w:val="24"/>
                <w:szCs w:val="24"/>
                <w:lang w:val="en-US" w:eastAsia="zh-CN"/>
              </w:rPr>
            </w:pPr>
            <w:r>
              <w:rPr>
                <w:rFonts w:hint="eastAsia" w:cs="Times New Roman"/>
                <w:b w:val="0"/>
                <w:bCs/>
                <w:color w:val="000000"/>
                <w:sz w:val="24"/>
                <w:szCs w:val="24"/>
                <w:lang w:val="en-US" w:eastAsia="zh-CN"/>
              </w:rPr>
              <w:t>对照《&lt;如皋市磨头镇智能制造产业园区开发建设规划（2022-2030年）环境影响报告书&gt;的审查意见》，本项目符合相关要求。本项目与规划环评结论及审查意见相符性分析见表1-1。</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表1-1  </w:t>
            </w:r>
            <w:r>
              <w:rPr>
                <w:rFonts w:hint="eastAsia" w:cs="Times New Roman"/>
                <w:b/>
                <w:bCs/>
                <w:color w:val="000000"/>
                <w:sz w:val="24"/>
                <w:szCs w:val="24"/>
                <w:lang w:eastAsia="zh-CN"/>
              </w:rPr>
              <w:t>“</w:t>
            </w:r>
            <w:r>
              <w:rPr>
                <w:rFonts w:hint="default" w:ascii="Times New Roman" w:hAnsi="Times New Roman" w:cs="Times New Roman"/>
                <w:b/>
                <w:bCs/>
                <w:color w:val="000000"/>
                <w:sz w:val="24"/>
                <w:szCs w:val="24"/>
              </w:rPr>
              <w:t>规划环评结论及审查意见</w:t>
            </w:r>
            <w:r>
              <w:rPr>
                <w:rFonts w:hint="eastAsia" w:cs="Times New Roman"/>
                <w:b/>
                <w:bCs/>
                <w:color w:val="000000"/>
                <w:sz w:val="24"/>
                <w:szCs w:val="24"/>
                <w:lang w:eastAsia="zh-CN"/>
              </w:rPr>
              <w:t>”</w:t>
            </w:r>
            <w:r>
              <w:rPr>
                <w:rFonts w:hint="default" w:ascii="Times New Roman" w:hAnsi="Times New Roman" w:cs="Times New Roman"/>
                <w:b/>
                <w:bCs/>
                <w:color w:val="000000"/>
                <w:sz w:val="24"/>
                <w:szCs w:val="24"/>
              </w:rPr>
              <w:t>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3570"/>
              <w:gridCol w:w="2283"/>
              <w:gridCol w:w="9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b/>
                      <w:color w:val="000000"/>
                      <w:sz w:val="21"/>
                      <w:szCs w:val="21"/>
                      <w:lang w:eastAsia="zh-CN"/>
                    </w:rPr>
                  </w:pPr>
                  <w:r>
                    <w:rPr>
                      <w:rFonts w:hint="eastAsia" w:ascii="Times New Roman" w:eastAsia="宋体" w:cs="Times New Roman"/>
                      <w:b/>
                      <w:color w:val="000000"/>
                      <w:sz w:val="21"/>
                      <w:szCs w:val="21"/>
                      <w:lang w:val="en-US" w:eastAsia="zh-CN"/>
                    </w:rPr>
                    <w:t>序号</w:t>
                  </w:r>
                </w:p>
              </w:tc>
              <w:tc>
                <w:tcPr>
                  <w:tcW w:w="3570"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color w:val="000000"/>
                      <w:sz w:val="21"/>
                      <w:szCs w:val="21"/>
                      <w:lang w:eastAsia="zh-CN"/>
                    </w:rPr>
                  </w:pPr>
                  <w:r>
                    <w:rPr>
                      <w:rFonts w:hint="eastAsia" w:cs="Times New Roman"/>
                      <w:b/>
                      <w:color w:val="000000"/>
                      <w:sz w:val="21"/>
                      <w:szCs w:val="21"/>
                      <w:lang w:val="en-US" w:eastAsia="zh-CN"/>
                    </w:rPr>
                    <w:t>审查意见</w:t>
                  </w:r>
                </w:p>
              </w:tc>
              <w:tc>
                <w:tcPr>
                  <w:tcW w:w="2283"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本项目内容</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w:t>
                  </w:r>
                </w:p>
              </w:tc>
              <w:tc>
                <w:tcPr>
                  <w:tcW w:w="3570"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拟入区建设项目，应结合规划环评提出的指导意见做好环境影响评价工作，落实规划环评“三线一单”和污染物总量控制提出的空间管控、污染物排放、环境准入等要求，加强与规划环评的联动。</w:t>
                  </w:r>
                </w:p>
              </w:tc>
              <w:tc>
                <w:tcPr>
                  <w:tcW w:w="2283"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本项目按要求落实环 境影响评价工作，落实规划环评“三线一单”和污染物总量控制提出的空间管控、污染物排放、环境准入等要求，加强与规划环评的联动。</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3570"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环境基础设施建设，严守环境质量底线。入区企业必须按照环保“三同时”要求建设相应的污水处理设施（污水处理站），确保污水经预处理后达污水处理厂接管标准后接入如皋市碧水污水处理设施运行管理有限公司进行集中处理；严禁建设燃煤锅炉，新建工业炉窑及锅炉需使用清洁能源；危险废物交由有资质的单位统一收集处置，督促企业规范化建设危险废物暂存设施建设，规范处置固体废物。</w:t>
                  </w:r>
                </w:p>
              </w:tc>
              <w:tc>
                <w:tcPr>
                  <w:tcW w:w="228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本项目无需供热、供气；废水经处理达标后接管至如皋市碧水污水处理设施运行管理有限公司委托处置；危废暂存在厂区危废库后统一交由有资质单位处理。</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eastAsia="宋体" w:cs="Times New Roman"/>
                      <w:color w:val="auto"/>
                      <w:kern w:val="0"/>
                      <w:sz w:val="21"/>
                      <w:szCs w:val="21"/>
                      <w:lang w:val="en-US" w:eastAsia="zh-CN"/>
                    </w:rPr>
                    <w:t>3</w:t>
                  </w:r>
                </w:p>
              </w:tc>
              <w:tc>
                <w:tcPr>
                  <w:tcW w:w="3570"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污染物总量管控要求，明确园区环境质量改善目标。以持续改善和提升区域环境质量为目标，加强入区企业管理，强化落实园区污染防治措施，根据污染防治攻坚战等最新要求，落实《报告书》提出的加强废水、废气收集与处理设施的维护，督促入区企业采取有效措施减少主要污染物和挥发性有机物的排放总量，持续强化主要污染物和挥发性有机污染物、恶臭污染物等控制与治理</w:t>
                  </w:r>
                </w:p>
              </w:tc>
              <w:tc>
                <w:tcPr>
                  <w:tcW w:w="2283"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本项目属于登记管理，无需总量控制。</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3570"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cs="Times New Roman"/>
                      <w:color w:val="auto"/>
                      <w:sz w:val="21"/>
                      <w:szCs w:val="21"/>
                    </w:rPr>
                  </w:pPr>
                  <w:r>
                    <w:rPr>
                      <w:rFonts w:hint="default" w:ascii="Times New Roman" w:hAnsi="Times New Roman" w:cs="Times New Roman"/>
                      <w:color w:val="auto"/>
                      <w:sz w:val="21"/>
                      <w:szCs w:val="21"/>
                    </w:rPr>
                    <w:t>新引进项目须满足土地利用性质，落实《报告书》提出的生态环境准入清单</w:t>
                  </w:r>
                </w:p>
              </w:tc>
              <w:tc>
                <w:tcPr>
                  <w:tcW w:w="2283"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本项目用地为工业用地，落实《报告书》提出的生态环境准入清单，见表1-</w:t>
                  </w:r>
                  <w:r>
                    <w:rPr>
                      <w:rFonts w:hint="eastAsia" w:asci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4"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3570"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规划要求设置严格的防渗措施，控制地下水和土壤污染；根据区域大气污染联防联控要求、规划区域及周边环境质量现状和目标，确定区域污染物排放总量，采取有效措施减少主要污染物排放量，确保实现区域环境质量改善目标。落实污染物总量管控要求，入园项目须按规定要求提供总量平衡方案。</w:t>
                  </w:r>
                </w:p>
              </w:tc>
              <w:tc>
                <w:tcPr>
                  <w:tcW w:w="2283"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本项目根据场地天然 包气带防污性能、污染控制难易程度和污染物特性对全厂进行分区防控；本项目属于登记管理，无需总量控制。</w:t>
                  </w:r>
                </w:p>
              </w:tc>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符合</w:t>
                  </w:r>
                </w:p>
              </w:tc>
            </w:tr>
          </w:tbl>
          <w:p>
            <w:pPr>
              <w:keepNext w:val="0"/>
              <w:keepLines w:val="0"/>
              <w:suppressLineNumbers w:val="0"/>
              <w:spacing w:before="0" w:beforeAutospacing="0" w:after="0" w:afterAutospacing="0"/>
              <w:ind w:left="0" w:right="0"/>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表1-2  </w:t>
            </w:r>
            <w:r>
              <w:rPr>
                <w:rFonts w:hint="default" w:ascii="Times New Roman" w:hAnsi="Times New Roman" w:cs="Times New Roman"/>
                <w:b/>
                <w:bCs/>
                <w:color w:val="000000"/>
                <w:sz w:val="24"/>
                <w:szCs w:val="24"/>
              </w:rPr>
              <w:t>园区生态环境准入清单相符性分析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634"/>
              <w:gridCol w:w="1901"/>
              <w:gridCol w:w="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b/>
                      <w:color w:val="000000"/>
                      <w:sz w:val="21"/>
                      <w:szCs w:val="21"/>
                      <w:lang w:eastAsia="zh-CN"/>
                    </w:rPr>
                  </w:pPr>
                  <w:r>
                    <w:rPr>
                      <w:rFonts w:hint="eastAsia" w:ascii="Times New Roman" w:eastAsia="宋体" w:cs="Times New Roman"/>
                      <w:b/>
                      <w:color w:val="000000"/>
                      <w:sz w:val="21"/>
                      <w:szCs w:val="21"/>
                      <w:lang w:val="en-US" w:eastAsia="zh-CN"/>
                    </w:rPr>
                    <w:t>类型</w:t>
                  </w:r>
                </w:p>
              </w:tc>
              <w:tc>
                <w:tcPr>
                  <w:tcW w:w="363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color w:val="000000"/>
                      <w:sz w:val="21"/>
                      <w:szCs w:val="21"/>
                      <w:lang w:eastAsia="zh-CN"/>
                    </w:rPr>
                  </w:pPr>
                  <w:r>
                    <w:rPr>
                      <w:rFonts w:hint="eastAsia" w:cs="Times New Roman"/>
                      <w:b/>
                      <w:color w:val="000000"/>
                      <w:sz w:val="21"/>
                      <w:szCs w:val="21"/>
                      <w:lang w:val="en-US" w:eastAsia="zh-CN"/>
                    </w:rPr>
                    <w:t>具体措施</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本项目内容</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主导产业</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cs="Times New Roman"/>
                      <w:color w:val="auto"/>
                      <w:sz w:val="21"/>
                      <w:szCs w:val="21"/>
                    </w:rPr>
                  </w:pPr>
                  <w:r>
                    <w:rPr>
                      <w:rFonts w:hint="eastAsia" w:cs="Times New Roman"/>
                      <w:color w:val="auto"/>
                      <w:sz w:val="21"/>
                      <w:szCs w:val="21"/>
                    </w:rPr>
                    <w:t>精密制造及汽车零部件、新材料、电子信息及电力装备产业。</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本项目为塑料板、管、型材制造</w:t>
                  </w:r>
                  <w:r>
                    <w:rPr>
                      <w:rFonts w:hint="eastAsia" w:ascii="Times New Roman" w:eastAsia="宋体" w:cs="Times New Roman"/>
                      <w:color w:val="auto"/>
                      <w:sz w:val="21"/>
                      <w:szCs w:val="21"/>
                      <w:lang w:eastAsia="zh-CN"/>
                    </w:rPr>
                    <w:t>，</w:t>
                  </w:r>
                  <w:r>
                    <w:rPr>
                      <w:rFonts w:hint="eastAsia" w:ascii="Times New Roman" w:eastAsia="宋体" w:cs="Times New Roman"/>
                      <w:color w:val="auto"/>
                      <w:sz w:val="21"/>
                      <w:szCs w:val="21"/>
                      <w:lang w:val="en-US" w:eastAsia="zh-CN"/>
                    </w:rPr>
                    <w:t>不含产业园区限制、禁止引入的工艺、产品</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优先引入</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cs="Times New Roman"/>
                      <w:color w:val="auto"/>
                      <w:sz w:val="21"/>
                      <w:szCs w:val="21"/>
                    </w:rPr>
                  </w:pPr>
                  <w:r>
                    <w:rPr>
                      <w:rFonts w:hint="eastAsia" w:cs="Times New Roman"/>
                      <w:color w:val="auto"/>
                      <w:sz w:val="21"/>
                      <w:szCs w:val="21"/>
                    </w:rPr>
                    <w:t>1、《产业结构调整指导目录（2019年本）》、《鼓励外商投资产业目录（2022年版）》中鼓励外商投资产业目录、《产业发展与转移指导目录（2018年本）》鼓励类或优先承接的产业，且符合园区产业定位的项目；《南通市关于加大污染减排力度推进重点行业绿色发展的指导意见》（通办[2021]59号）、《如皋市推进重点行业绿色发展实施方案》（皋办[2022]46号）等产业政策文件中属于鼓励类和重点发展的产品、工艺和技术要求。2、拟采用的生产工艺、污染治理技术、清洁生产水平基本达到国际先进水平的项目。</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本项目符合相关产业政策要求；企业承诺生产工艺、污染治理技术、清洁生产水平达到同行业先进水平的项目。</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禁止引入</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rPr>
                    <w:t>1、新材料产业：禁止引入涉及化学合成工序的项目；</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rPr>
                    <w:t>2、电子信息产业：禁止引入涉及硅片制造、印制电路板（PCB） 制造和芯片前道加工工序（热氧化、光刻、刻蚀、离子注入、化学气相沉积（CVD）、金属化、化学机械拋光（CMP/CuCMP）等）的项目；其他：1、禁止引入含电镀（含阳极氧化）工序的项目；</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lang w:val="en-US" w:eastAsia="zh-CN"/>
                    </w:rPr>
                    <w:t>3</w:t>
                  </w:r>
                  <w:r>
                    <w:rPr>
                      <w:rFonts w:hint="eastAsia" w:cs="Times New Roman"/>
                      <w:color w:val="auto"/>
                      <w:sz w:val="21"/>
                      <w:szCs w:val="21"/>
                    </w:rPr>
                    <w:t>、禁止引入纳入《长江经济带发展负面清单指南（试行，2022年版）》、《&lt;长江经济带发展负面清单指南（试行，2022年版）&gt;江苏省实施细则》的企业或项目；禁止引入属于《环境保护综合名录（2021年版）》中“高污染、高环境风险”产品名录的项目；</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lang w:val="en-US" w:eastAsia="zh-CN"/>
                    </w:rPr>
                    <w:t>4</w:t>
                  </w:r>
                  <w:r>
                    <w:rPr>
                      <w:rFonts w:hint="eastAsia" w:cs="Times New Roman"/>
                      <w:color w:val="auto"/>
                      <w:sz w:val="21"/>
                      <w:szCs w:val="21"/>
                    </w:rPr>
                    <w:t>、禁止引入使用高VOCs含量的涂料、油墨、胶粘剂等项目，生产过程中使用的涂料应符合《低挥发性有机化合物含量涂料产品技术要求》（GB/T38597-2020）要求，油墨应符合《油墨中可挥发性有机化合物（VOCs）含量的限值》（CB38507-2020）要求，胶黏剂应符合《胶粘剂挥发性有机化合物限量》（GB 33372-2020）要求；</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lang w:val="en-US" w:eastAsia="zh-CN"/>
                    </w:rPr>
                    <w:t>5</w:t>
                  </w:r>
                  <w:r>
                    <w:rPr>
                      <w:rFonts w:hint="eastAsia" w:cs="Times New Roman"/>
                      <w:color w:val="auto"/>
                      <w:sz w:val="21"/>
                      <w:szCs w:val="21"/>
                    </w:rPr>
                    <w:t>、禁止新建新增区域铅、汞、铬、镉、砷重金属污染物排放总量项目；</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lang w:val="en-US" w:eastAsia="zh-CN"/>
                    </w:rPr>
                    <w:t>6</w:t>
                  </w:r>
                  <w:r>
                    <w:rPr>
                      <w:rFonts w:hint="eastAsia" w:cs="Times New Roman"/>
                      <w:color w:val="auto"/>
                      <w:sz w:val="21"/>
                      <w:szCs w:val="21"/>
                    </w:rPr>
                    <w:t>、禁止引入《省生态环境厅关于报送高耗能、高排放项目清单的通知》（苏环便函[2021]903号）中规定的高耗能、高排放项目；江苏省两高项目清单正式发布后按其执行；</w:t>
                  </w:r>
                </w:p>
                <w:p>
                  <w:pPr>
                    <w:pStyle w:val="48"/>
                    <w:keepNext w:val="0"/>
                    <w:keepLines w:val="0"/>
                    <w:suppressLineNumbers w:val="0"/>
                    <w:spacing w:line="320" w:lineRule="exact"/>
                    <w:ind w:left="0" w:right="0" w:firstLine="0"/>
                    <w:jc w:val="center"/>
                    <w:rPr>
                      <w:rFonts w:hint="default" w:cs="Times New Roman"/>
                      <w:color w:val="auto"/>
                      <w:sz w:val="21"/>
                      <w:szCs w:val="21"/>
                    </w:rPr>
                  </w:pPr>
                  <w:r>
                    <w:rPr>
                      <w:rFonts w:hint="eastAsia" w:cs="Times New Roman"/>
                      <w:color w:val="auto"/>
                      <w:sz w:val="21"/>
                      <w:szCs w:val="21"/>
                      <w:lang w:val="en-US" w:eastAsia="zh-CN"/>
                    </w:rPr>
                    <w:t>7</w:t>
                  </w:r>
                  <w:r>
                    <w:rPr>
                      <w:rFonts w:hint="eastAsia" w:cs="Times New Roman"/>
                      <w:color w:val="auto"/>
                      <w:sz w:val="21"/>
                      <w:szCs w:val="21"/>
                    </w:rPr>
                    <w:t>、禁止引入废水无法满足园区依托污水处理厂接管标准的项目。</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本项目符合相关产业政策要求，不属于负面清单规定相关产业；本项目不涉及电镀工序；本项目不涉及重金属污染物产生及排放；本项目不属于两高行业。项目生活污水经化粪池预处理后达标排入污水处理厂。</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空间布局约束</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rPr>
                    <w:t>1、提高环境准入门槛，落实入区企业的废水废气环境影响减缓措施和固废处置措施，设置足够的防护距离，建立健全区域风险防范体系；</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rPr>
                    <w:t>2、严格保护园区规划生态空间，禁止转变为其他用地性质；</w:t>
                  </w:r>
                </w:p>
                <w:p>
                  <w:pPr>
                    <w:pStyle w:val="48"/>
                    <w:keepNext w:val="0"/>
                    <w:keepLines w:val="0"/>
                    <w:suppressLineNumbers w:val="0"/>
                    <w:spacing w:line="320" w:lineRule="exact"/>
                    <w:ind w:left="0" w:right="0" w:firstLine="0"/>
                    <w:jc w:val="center"/>
                    <w:rPr>
                      <w:rFonts w:hint="eastAsia" w:cs="Times New Roman"/>
                      <w:color w:val="auto"/>
                      <w:sz w:val="21"/>
                      <w:szCs w:val="21"/>
                    </w:rPr>
                  </w:pPr>
                  <w:r>
                    <w:rPr>
                      <w:rFonts w:hint="eastAsia" w:cs="Times New Roman"/>
                      <w:color w:val="auto"/>
                      <w:sz w:val="21"/>
                      <w:szCs w:val="21"/>
                    </w:rPr>
                    <w:t>3、加强区内工业用地与居住用地、园区边界与周边敏感目标的空间防护带建设，设置以道路+绿化隔离带为主要形式的空间防护带，防护带的宽度原则，上不小于20米，非生产型企业空间防护距离可以适当缩小，但不应小于10米；</w:t>
                  </w:r>
                </w:p>
                <w:p>
                  <w:pPr>
                    <w:pStyle w:val="48"/>
                    <w:keepNext w:val="0"/>
                    <w:keepLines w:val="0"/>
                    <w:suppressLineNumbers w:val="0"/>
                    <w:spacing w:line="320" w:lineRule="exact"/>
                    <w:ind w:left="0" w:right="0" w:firstLine="0"/>
                    <w:jc w:val="center"/>
                    <w:rPr>
                      <w:rFonts w:hint="default" w:cs="Times New Roman"/>
                      <w:color w:val="auto"/>
                      <w:sz w:val="21"/>
                      <w:szCs w:val="21"/>
                    </w:rPr>
                  </w:pPr>
                  <w:r>
                    <w:rPr>
                      <w:rFonts w:hint="eastAsia" w:cs="Times New Roman"/>
                      <w:color w:val="auto"/>
                      <w:sz w:val="21"/>
                      <w:szCs w:val="21"/>
                    </w:rPr>
                    <w:t>4、园区通榆河一级保护区内禁止不符合《江苏省通榆河水污染防治条例》（2018修正）要求的开发建设。</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本项目用地为工业用地，不属于禁止用地项目类别；本项目三废经合理处置达标排放；本项目不在通榆河</w:t>
                  </w:r>
                  <w:r>
                    <w:rPr>
                      <w:rFonts w:hint="eastAsia" w:ascii="Times New Roman" w:eastAsia="宋体" w:cs="Times New Roman"/>
                      <w:color w:val="auto"/>
                      <w:sz w:val="21"/>
                      <w:szCs w:val="21"/>
                      <w:lang w:val="en-US" w:eastAsia="zh-CN"/>
                    </w:rPr>
                    <w:t>保护范围</w:t>
                  </w:r>
                  <w:r>
                    <w:rPr>
                      <w:rFonts w:hint="eastAsia" w:ascii="Times New Roman" w:hAnsi="Times New Roman" w:eastAsia="宋体" w:cs="Times New Roman"/>
                      <w:color w:val="auto"/>
                      <w:sz w:val="21"/>
                      <w:szCs w:val="21"/>
                    </w:rPr>
                    <w:t>内。</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污染物排放管控</w:t>
                  </w:r>
                </w:p>
              </w:tc>
              <w:tc>
                <w:tcPr>
                  <w:tcW w:w="3634" w:type="dxa"/>
                  <w:tcBorders>
                    <w:tl2br w:val="nil"/>
                    <w:tr2bl w:val="nil"/>
                  </w:tcBorders>
                  <w:noWrap w:val="0"/>
                  <w:vAlign w:val="center"/>
                </w:tcPr>
                <w:p>
                  <w:pPr>
                    <w:pStyle w:val="48"/>
                    <w:keepNext w:val="0"/>
                    <w:keepLines w:val="0"/>
                    <w:numPr>
                      <w:ilvl w:val="0"/>
                      <w:numId w:val="3"/>
                    </w:numPr>
                    <w:suppressLineNumbers w:val="0"/>
                    <w:spacing w:line="320" w:lineRule="exact"/>
                    <w:ind w:left="0" w:right="0" w:firstLine="0"/>
                    <w:jc w:val="center"/>
                    <w:rPr>
                      <w:rFonts w:hint="default" w:cs="Times New Roman"/>
                      <w:color w:val="000000"/>
                      <w:sz w:val="21"/>
                      <w:szCs w:val="21"/>
                    </w:rPr>
                  </w:pPr>
                  <w:r>
                    <w:rPr>
                      <w:rFonts w:hint="default" w:cs="Times New Roman"/>
                      <w:color w:val="000000"/>
                      <w:sz w:val="21"/>
                      <w:szCs w:val="21"/>
                    </w:rPr>
                    <w:t xml:space="preserve">大气污染物：（1）近期，二氧化硫、氮氧化物、颗粒物、挥发性有机物排放量分别不得超过35. 565t/a、77. 076t/a、31.025t/a、28. 852t/a；（2）远期，二氧化硫、氮氧化物、颗粒物、挥发性有机物排放量分别不得超过37.408t/a、82.735t/a、35. 307t/a、35.444t/a. </w:t>
                  </w:r>
                </w:p>
                <w:p>
                  <w:pPr>
                    <w:pStyle w:val="48"/>
                    <w:keepNext w:val="0"/>
                    <w:keepLines w:val="0"/>
                    <w:numPr>
                      <w:ilvl w:val="0"/>
                      <w:numId w:val="0"/>
                    </w:numPr>
                    <w:suppressLineNumbers w:val="0"/>
                    <w:spacing w:line="320" w:lineRule="exact"/>
                    <w:ind w:left="0" w:leftChars="0" w:right="0" w:rightChars="0"/>
                    <w:jc w:val="center"/>
                    <w:rPr>
                      <w:rFonts w:hint="default" w:cs="Times New Roman"/>
                      <w:color w:val="000000"/>
                      <w:sz w:val="21"/>
                      <w:szCs w:val="21"/>
                    </w:rPr>
                  </w:pPr>
                  <w:r>
                    <w:rPr>
                      <w:rFonts w:hint="default" w:cs="Times New Roman"/>
                      <w:color w:val="000000"/>
                      <w:sz w:val="21"/>
                      <w:szCs w:val="21"/>
                    </w:rPr>
                    <w:t>2、水污染物（外排量）：（1）近期，水量34. 870万t/a， COD17.435t/a，氨氮1.744t/a， 总磷0.174t/a、</w:t>
                  </w:r>
                  <w:r>
                    <w:rPr>
                      <w:rFonts w:hint="eastAsia" w:cs="Times New Roman"/>
                      <w:color w:val="000000"/>
                      <w:sz w:val="21"/>
                      <w:szCs w:val="21"/>
                      <w:lang w:val="en-US" w:eastAsia="zh-CN"/>
                    </w:rPr>
                    <w:t>总氮</w:t>
                  </w:r>
                  <w:r>
                    <w:rPr>
                      <w:rFonts w:hint="default" w:cs="Times New Roman"/>
                      <w:color w:val="000000"/>
                      <w:sz w:val="21"/>
                      <w:szCs w:val="21"/>
                    </w:rPr>
                    <w:t>5.231t/a、 石油类0.349t/a，阴离子表面活性剂0.174t/a；（2） 远期，</w:t>
                  </w:r>
                  <w:r>
                    <w:rPr>
                      <w:rFonts w:hint="eastAsia" w:cs="Times New Roman"/>
                      <w:color w:val="000000"/>
                      <w:sz w:val="21"/>
                      <w:szCs w:val="21"/>
                      <w:lang w:val="en-US" w:eastAsia="zh-CN"/>
                    </w:rPr>
                    <w:t>水量</w:t>
                  </w:r>
                  <w:r>
                    <w:rPr>
                      <w:rFonts w:hint="default" w:cs="Times New Roman"/>
                      <w:color w:val="000000"/>
                      <w:sz w:val="21"/>
                      <w:szCs w:val="21"/>
                    </w:rPr>
                    <w:t>41.573万t/a， COD20.787t/a，氨氮2. 079t/a，总磷0.208t/a、总氮6.236t/a、石油类0. 416t/a，阴离子表面活性剂0.208t/a.</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本项目</w:t>
                  </w:r>
                  <w:r>
                    <w:rPr>
                      <w:rFonts w:hint="eastAsia" w:ascii="Times New Roman" w:eastAsia="宋体" w:cs="Times New Roman"/>
                      <w:color w:val="000000"/>
                      <w:sz w:val="21"/>
                      <w:szCs w:val="21"/>
                      <w:lang w:val="en-US" w:eastAsia="zh-CN"/>
                    </w:rPr>
                    <w:t>属于登记管理，无需总量控制</w:t>
                  </w:r>
                  <w:r>
                    <w:rPr>
                      <w:rFonts w:hint="default" w:ascii="Times New Roman" w:hAnsi="Times New Roman" w:eastAsia="宋体" w:cs="Times New Roman"/>
                      <w:color w:val="000000"/>
                      <w:sz w:val="21"/>
                      <w:szCs w:val="21"/>
                    </w:rPr>
                    <w:t>。</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环境风险防控</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cs="Times New Roman"/>
                      <w:color w:val="000000"/>
                      <w:sz w:val="21"/>
                      <w:szCs w:val="21"/>
                    </w:rPr>
                  </w:pPr>
                  <w:r>
                    <w:rPr>
                      <w:rFonts w:hint="default" w:cs="Times New Roman"/>
                      <w:color w:val="000000"/>
                      <w:sz w:val="21"/>
                      <w:szCs w:val="21"/>
                    </w:rPr>
                    <w:t>1、区内可能发生突发环境事件的企业应制定并落实各类事故风险防范措施，编制突发环境事件应急预案并进行备案，根据应急预案要求储备应急物资，开展应急演练，落实《南通市突发环境事件应急预案（2020年修订版）》（通政办发[2020]46号）相关要求；</w:t>
                  </w:r>
                </w:p>
                <w:p>
                  <w:pPr>
                    <w:pStyle w:val="48"/>
                    <w:keepNext w:val="0"/>
                    <w:keepLines w:val="0"/>
                    <w:suppressLineNumbers w:val="0"/>
                    <w:spacing w:line="320" w:lineRule="exact"/>
                    <w:ind w:left="0" w:right="0" w:firstLine="0"/>
                    <w:jc w:val="center"/>
                    <w:rPr>
                      <w:rFonts w:hint="default" w:cs="Times New Roman"/>
                      <w:color w:val="000000"/>
                      <w:sz w:val="21"/>
                      <w:szCs w:val="21"/>
                    </w:rPr>
                  </w:pPr>
                  <w:r>
                    <w:rPr>
                      <w:rFonts w:hint="default" w:cs="Times New Roman"/>
                      <w:color w:val="000000"/>
                      <w:sz w:val="21"/>
                      <w:szCs w:val="21"/>
                    </w:rPr>
                    <w:t>2、园区建立环境风险防控体系，并与周边区城建立应急联动响应体系，实行联防联控。</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本项目将编制突发环境事件应急预案并进行备案，按要求补充应急物资</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dxa"/>
                  <w:tcBorders>
                    <w:tl2br w:val="nil"/>
                    <w:tr2bl w:val="nil"/>
                  </w:tcBorders>
                  <w:noWrap w:val="0"/>
                  <w:vAlign w:val="center"/>
                </w:tcPr>
                <w:p>
                  <w:pPr>
                    <w:keepNext w:val="0"/>
                    <w:keepLines w:val="0"/>
                    <w:widowControl/>
                    <w:suppressLineNumbers w:val="0"/>
                    <w:spacing w:before="0" w:beforeAutospacing="0" w:after="0" w:afterAutospacing="0" w:line="320" w:lineRule="exact"/>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资源开发利用要求</w:t>
                  </w:r>
                </w:p>
              </w:tc>
              <w:tc>
                <w:tcPr>
                  <w:tcW w:w="3634" w:type="dxa"/>
                  <w:tcBorders>
                    <w:tl2br w:val="nil"/>
                    <w:tr2bl w:val="nil"/>
                  </w:tcBorders>
                  <w:noWrap w:val="0"/>
                  <w:vAlign w:val="center"/>
                </w:tcPr>
                <w:p>
                  <w:pPr>
                    <w:pStyle w:val="48"/>
                    <w:keepNext w:val="0"/>
                    <w:keepLines w:val="0"/>
                    <w:suppressLineNumbers w:val="0"/>
                    <w:spacing w:line="320" w:lineRule="exact"/>
                    <w:ind w:left="0" w:right="0" w:firstLine="0"/>
                    <w:jc w:val="center"/>
                    <w:rPr>
                      <w:rFonts w:hint="default" w:ascii="Times New Roman" w:hAnsi="Times New Roman" w:cs="Times New Roman"/>
                      <w:color w:val="000000"/>
                      <w:sz w:val="21"/>
                      <w:szCs w:val="21"/>
                    </w:rPr>
                  </w:pPr>
                  <w:r>
                    <w:rPr>
                      <w:rFonts w:hint="default" w:cs="Times New Roman"/>
                      <w:color w:val="000000"/>
                      <w:sz w:val="21"/>
                      <w:szCs w:val="21"/>
                    </w:rPr>
                    <w:t>1</w:t>
                  </w:r>
                  <w:r>
                    <w:rPr>
                      <w:rFonts w:hint="default" w:ascii="Times New Roman" w:hAnsi="Times New Roman" w:cs="Times New Roman"/>
                      <w:color w:val="000000"/>
                      <w:sz w:val="21"/>
                      <w:szCs w:val="21"/>
                    </w:rPr>
                    <w:t>、禁止新建、改建、扩建燃用II1类高污染燃料燃烧设施，II类高污染燃料具体包括：除单台出力大于等于35蒸吨/小时锅炉以外燃用的煤炭及</w:t>
                  </w:r>
                  <w:r>
                    <w:rPr>
                      <w:rFonts w:hint="eastAsia" w:ascii="Times New Roman" w:hAnsi="Times New Roman" w:cs="Times New Roman"/>
                      <w:color w:val="000000"/>
                      <w:sz w:val="21"/>
                      <w:szCs w:val="21"/>
                      <w:lang w:val="en-US" w:eastAsia="zh-CN"/>
                    </w:rPr>
                    <w:t>其</w:t>
                  </w:r>
                  <w:r>
                    <w:rPr>
                      <w:rFonts w:hint="default" w:ascii="Times New Roman" w:hAnsi="Times New Roman" w:cs="Times New Roman"/>
                      <w:color w:val="000000"/>
                      <w:sz w:val="21"/>
                      <w:szCs w:val="21"/>
                    </w:rPr>
                    <w:t>制品、石油焦、油页岩、原油、重油</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渣油、煤焦油；</w:t>
                  </w:r>
                </w:p>
                <w:p>
                  <w:pPr>
                    <w:pStyle w:val="48"/>
                    <w:keepNext w:val="0"/>
                    <w:keepLines w:val="0"/>
                    <w:suppressLineNumbers w:val="0"/>
                    <w:spacing w:line="320" w:lineRule="exact"/>
                    <w:ind w:left="0" w:right="0" w:firstLine="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、电子新材料：新建、扩建芯片封装项目中水回用比例不低于30%； 新建项目投资强度&gt;430万元/亩、亩均税收&gt;25万元/亩、废水排放强度≤4吨/万元；</w:t>
                  </w:r>
                </w:p>
                <w:p>
                  <w:pPr>
                    <w:pStyle w:val="48"/>
                    <w:keepNext w:val="0"/>
                    <w:keepLines w:val="0"/>
                    <w:suppressLineNumbers w:val="0"/>
                    <w:spacing w:line="320" w:lineRule="exact"/>
                    <w:ind w:left="0" w:right="0" w:firstLine="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、其他产业新建、改建、扩建项目生产技术及工艺、水耗能耗物耗、产排污情况及环境管理等方面应达到同行业先进水平的要求；</w:t>
                  </w:r>
                </w:p>
                <w:p>
                  <w:pPr>
                    <w:pStyle w:val="48"/>
                    <w:keepNext w:val="0"/>
                    <w:keepLines w:val="0"/>
                    <w:suppressLineNumbers w:val="0"/>
                    <w:spacing w:line="320" w:lineRule="exact"/>
                    <w:ind w:left="0" w:right="0" w:firstLine="0"/>
                    <w:jc w:val="center"/>
                    <w:rPr>
                      <w:rFonts w:hint="default" w:cs="Times New Roman"/>
                      <w:color w:val="000000"/>
                      <w:sz w:val="21"/>
                      <w:szCs w:val="21"/>
                    </w:rPr>
                  </w:pPr>
                  <w:r>
                    <w:rPr>
                      <w:rFonts w:hint="eastAsia" w:ascii="Times New Roman" w:hAnsi="Times New Roman" w:cs="Times New Roman"/>
                      <w:color w:val="000000"/>
                      <w:sz w:val="21"/>
                      <w:szCs w:val="21"/>
                      <w:lang w:val="en-US" w:eastAsia="zh-CN"/>
                    </w:rPr>
                    <w:t>4</w:t>
                  </w:r>
                  <w:r>
                    <w:rPr>
                      <w:rFonts w:hint="default" w:ascii="Times New Roman" w:hAnsi="Times New Roman" w:cs="Times New Roman"/>
                      <w:color w:val="000000"/>
                      <w:sz w:val="21"/>
                      <w:szCs w:val="21"/>
                    </w:rPr>
                    <w:t>、完成上级下达的各项碳排放控制目标</w:t>
                  </w:r>
                  <w:r>
                    <w:rPr>
                      <w:rFonts w:hint="default" w:cs="Times New Roman"/>
                      <w:color w:val="000000"/>
                      <w:sz w:val="21"/>
                      <w:szCs w:val="21"/>
                    </w:rPr>
                    <w:t>指标。</w:t>
                  </w:r>
                </w:p>
              </w:tc>
              <w:tc>
                <w:tcPr>
                  <w:tcW w:w="1901"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本项目不涉及高污染燃料</w:t>
                  </w:r>
                </w:p>
              </w:tc>
              <w:tc>
                <w:tcPr>
                  <w:tcW w:w="952" w:type="dxa"/>
                  <w:tcBorders>
                    <w:tl2br w:val="nil"/>
                    <w:tr2bl w:val="nil"/>
                  </w:tcBorders>
                  <w:noWrap w:val="0"/>
                  <w:vAlign w:val="center"/>
                </w:tcPr>
                <w:p>
                  <w:pPr>
                    <w:pStyle w:val="8"/>
                    <w:keepNext w:val="0"/>
                    <w:keepLines w:val="0"/>
                    <w:suppressLineNumbers w:val="0"/>
                    <w:tabs>
                      <w:tab w:val="left" w:pos="1018"/>
                    </w:tabs>
                    <w:spacing w:before="0" w:beforeAutospacing="0" w:after="0" w:afterAutospacing="0" w:line="320" w:lineRule="exact"/>
                    <w:ind w:left="0" w:right="0"/>
                    <w:jc w:val="center"/>
                    <w:rPr>
                      <w:rFonts w:hint="eastAsia" w:ascii="Times New Roman" w:hAns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符合</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cs="Times New Roman"/>
                <w:color w:val="000000"/>
                <w:sz w:val="24"/>
                <w:szCs w:val="24"/>
              </w:rPr>
              <w:t>综上，本项目的建设与《如皋市磨头镇智能制造产业园区开发建设规划（2022-2030年）》及其审查意见相符。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58"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b/>
                <w:bCs/>
                <w:color w:val="000000"/>
                <w:kern w:val="0"/>
                <w:szCs w:val="21"/>
              </w:rPr>
              <w:t>其他符合性分析</w:t>
            </w:r>
          </w:p>
        </w:tc>
        <w:tc>
          <w:tcPr>
            <w:tcW w:w="7712"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lang w:val="en-US" w:eastAsia="zh-CN"/>
              </w:rPr>
              <w:t>1、</w:t>
            </w:r>
            <w:r>
              <w:rPr>
                <w:rFonts w:hint="default" w:ascii="Times New Roman" w:hAnsi="Times New Roman" w:cs="Times New Roman"/>
                <w:b/>
                <w:bCs/>
                <w:color w:val="000000"/>
                <w:sz w:val="24"/>
                <w:szCs w:val="24"/>
              </w:rPr>
              <w:t>产业政策相</w:t>
            </w:r>
            <w:r>
              <w:rPr>
                <w:rFonts w:hint="default" w:ascii="Times New Roman" w:hAnsi="Times New Roman" w:cs="Times New Roman"/>
                <w:b/>
                <w:bCs/>
                <w:color w:val="000000"/>
                <w:sz w:val="24"/>
                <w:szCs w:val="24"/>
                <w:lang w:eastAsia="zh-CN"/>
              </w:rPr>
              <w:t>符</w:t>
            </w:r>
            <w:r>
              <w:rPr>
                <w:rFonts w:hint="default" w:ascii="Times New Roman" w:hAnsi="Times New Roman" w:cs="Times New Roman"/>
                <w:b/>
                <w:bCs/>
                <w:color w:val="000000"/>
                <w:sz w:val="24"/>
                <w:szCs w:val="24"/>
              </w:rPr>
              <w:t>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sz w:val="24"/>
                <w:szCs w:val="24"/>
                <w:lang w:val="en-US" w:eastAsia="zh-CN"/>
              </w:rPr>
              <w:t>本项目行业类别为</w:t>
            </w:r>
            <w:r>
              <w:rPr>
                <w:rFonts w:hint="default" w:ascii="Times New Roman" w:hAnsi="Times New Roman" w:cs="Times New Roman"/>
                <w:color w:val="000000"/>
                <w:sz w:val="24"/>
                <w:szCs w:val="24"/>
              </w:rPr>
              <w:t>〔</w:t>
            </w:r>
            <w:r>
              <w:rPr>
                <w:rFonts w:hint="eastAsia" w:cs="Times New Roman"/>
                <w:color w:val="000000"/>
                <w:sz w:val="24"/>
                <w:szCs w:val="24"/>
                <w:lang w:eastAsia="zh-CN"/>
              </w:rPr>
              <w:t>C2922</w:t>
            </w:r>
            <w:r>
              <w:rPr>
                <w:rFonts w:hint="default" w:ascii="Times New Roman" w:hAnsi="Times New Roman" w:cs="Times New Roman"/>
                <w:color w:val="000000"/>
                <w:sz w:val="24"/>
                <w:szCs w:val="24"/>
              </w:rPr>
              <w:t>〕</w:t>
            </w:r>
            <w:r>
              <w:rPr>
                <w:rFonts w:hint="eastAsia" w:cs="Times New Roman"/>
                <w:color w:val="000000"/>
                <w:sz w:val="24"/>
                <w:szCs w:val="24"/>
                <w:lang w:eastAsia="zh-CN"/>
              </w:rPr>
              <w:t>塑料板、管、型材制造</w:t>
            </w:r>
            <w:r>
              <w:rPr>
                <w:rFonts w:hint="default"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产品为</w:t>
            </w:r>
            <w:r>
              <w:rPr>
                <w:rFonts w:hint="eastAsia" w:cs="Times New Roman"/>
                <w:color w:val="000000"/>
                <w:sz w:val="24"/>
                <w:szCs w:val="24"/>
                <w:lang w:val="en-US" w:eastAsia="zh-CN"/>
              </w:rPr>
              <w:t>聚碳酸酯（PC）板</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rPr>
              <w:t>对照国家和地方产业政策，本项目不属于淘汰和限制类项目，不属于两高项目，符合相关产业政策</w:t>
            </w:r>
            <w:r>
              <w:rPr>
                <w:rFonts w:hint="default" w:ascii="Times New Roman" w:hAnsi="Times New Roman" w:eastAsia="宋体" w:cs="Times New Roman"/>
                <w:color w:val="000000"/>
                <w:sz w:val="24"/>
                <w:szCs w:val="24"/>
                <w:lang w:val="en-US" w:eastAsia="zh-CN"/>
              </w:rPr>
              <w:t>。</w:t>
            </w:r>
          </w:p>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4"/>
                <w:highlight w:val="none"/>
              </w:rPr>
            </w:pPr>
            <w:r>
              <w:rPr>
                <w:rFonts w:hint="eastAsia" w:ascii="Times New Roman" w:hAnsi="Times New Roman" w:cs="Times New Roman"/>
                <w:b/>
                <w:bCs/>
                <w:color w:val="auto"/>
                <w:sz w:val="24"/>
                <w:highlight w:val="none"/>
              </w:rPr>
              <w:t>表1-</w:t>
            </w: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 xml:space="preserve"> </w:t>
            </w:r>
            <w:r>
              <w:rPr>
                <w:rFonts w:hint="eastAsia" w:ascii="Times New Roman" w:hAnsi="Times New Roman" w:cs="Times New Roman"/>
                <w:b/>
                <w:bCs/>
                <w:color w:val="auto"/>
                <w:sz w:val="24"/>
                <w:highlight w:val="none"/>
              </w:rPr>
              <w:t>本项目与相关产业政策相符性分析</w:t>
            </w:r>
          </w:p>
          <w:tbl>
            <w:tblPr>
              <w:tblStyle w:val="26"/>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473"/>
              <w:gridCol w:w="4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序号</w:t>
                  </w:r>
                </w:p>
              </w:tc>
              <w:tc>
                <w:tcPr>
                  <w:tcW w:w="2473"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产业政策名称</w:t>
                  </w:r>
                </w:p>
              </w:tc>
              <w:tc>
                <w:tcPr>
                  <w:tcW w:w="4295"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1</w:t>
                  </w:r>
                </w:p>
              </w:tc>
              <w:tc>
                <w:tcPr>
                  <w:tcW w:w="2473"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《产业结构调整指导目录（2024年本）》</w:t>
                  </w:r>
                </w:p>
              </w:tc>
              <w:tc>
                <w:tcPr>
                  <w:tcW w:w="4295"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按照《产业结构调整指导目录（</w:t>
                  </w:r>
                  <w:r>
                    <w:rPr>
                      <w:rFonts w:hint="eastAsia" w:ascii="Times New Roman" w:hAnsi="Times New Roman" w:cs="Times New Roman"/>
                      <w:b w:val="0"/>
                      <w:color w:val="auto"/>
                      <w:highlight w:val="none"/>
                      <w:lang w:val="en-US" w:eastAsia="zh-CN"/>
                    </w:rPr>
                    <w:t>2024</w:t>
                  </w:r>
                  <w:r>
                    <w:rPr>
                      <w:rFonts w:hint="default" w:ascii="Times New Roman" w:hAnsi="Times New Roman" w:cs="Times New Roman"/>
                      <w:b w:val="0"/>
                      <w:color w:val="auto"/>
                      <w:highlight w:val="none"/>
                      <w:lang w:val="en-US" w:eastAsia="zh-CN"/>
                    </w:rPr>
                    <w:t>年本）》，本项目不属于限制类和淘汰类项目，符合该文件的要求。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2</w:t>
                  </w:r>
                </w:p>
              </w:tc>
              <w:tc>
                <w:tcPr>
                  <w:tcW w:w="2473"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《环境保护综合名录》（2021版）</w:t>
                  </w:r>
                </w:p>
              </w:tc>
              <w:tc>
                <w:tcPr>
                  <w:tcW w:w="4295"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default" w:ascii="Times New Roman" w:hAnsi="Times New Roman" w:cs="Times New Roman"/>
                      <w:b w:val="0"/>
                      <w:color w:val="auto"/>
                      <w:highlight w:val="none"/>
                      <w:lang w:val="en-US" w:eastAsia="zh-CN"/>
                    </w:rPr>
                    <w:t>本项目的产品不在“高污染”产品名录、 “高环境风险”产品名录以及“高污染、高环境风险”产品名录内，因此本项目不属于“两高”项目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3</w:t>
                  </w:r>
                </w:p>
              </w:tc>
              <w:tc>
                <w:tcPr>
                  <w:tcW w:w="2473" w:type="dxa"/>
                  <w:tcBorders>
                    <w:tl2br w:val="nil"/>
                    <w:tr2bl w:val="nil"/>
                  </w:tcBorders>
                  <w:shd w:val="clear" w:color="auto" w:fill="auto"/>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highlight w:val="none"/>
                      <w:lang w:val="en-US" w:eastAsia="zh-CN"/>
                    </w:rPr>
                    <w:t>《江苏省产业结构调整限制、淘汰和禁止目录</w:t>
                  </w:r>
                  <w:r>
                    <w:rPr>
                      <w:rFonts w:hint="eastAsia" w:ascii="Times New Roman" w:hAnsi="Times New Roman" w:cs="Times New Roman"/>
                      <w:b w:val="0"/>
                      <w:color w:val="auto"/>
                      <w:highlight w:val="none"/>
                      <w:lang w:val="en-US" w:eastAsia="zh-CN"/>
                    </w:rPr>
                    <w:t>（</w:t>
                  </w:r>
                  <w:r>
                    <w:rPr>
                      <w:rFonts w:hint="default" w:ascii="Times New Roman" w:hAnsi="Times New Roman" w:cs="Times New Roman"/>
                      <w:b w:val="0"/>
                      <w:color w:val="auto"/>
                      <w:highlight w:val="none"/>
                      <w:lang w:val="en-US" w:eastAsia="zh-CN"/>
                    </w:rPr>
                    <w:t>2018 年</w:t>
                  </w:r>
                  <w:r>
                    <w:rPr>
                      <w:rFonts w:hint="eastAsia" w:ascii="Times New Roman" w:hAnsi="Times New Roman" w:cs="Times New Roman"/>
                      <w:b w:val="0"/>
                      <w:color w:val="auto"/>
                      <w:highlight w:val="none"/>
                      <w:lang w:val="en-US" w:eastAsia="zh-CN"/>
                    </w:rPr>
                    <w:t>）</w:t>
                  </w:r>
                  <w:r>
                    <w:rPr>
                      <w:rFonts w:hint="default" w:ascii="Times New Roman" w:hAnsi="Times New Roman" w:cs="Times New Roman"/>
                      <w:b w:val="0"/>
                      <w:color w:val="auto"/>
                      <w:highlight w:val="none"/>
                      <w:lang w:val="en-US" w:eastAsia="zh-CN"/>
                    </w:rPr>
                    <w:t>》</w:t>
                  </w:r>
                </w:p>
              </w:tc>
              <w:tc>
                <w:tcPr>
                  <w:tcW w:w="4295" w:type="dxa"/>
                  <w:tcBorders>
                    <w:tl2br w:val="nil"/>
                    <w:tr2bl w:val="nil"/>
                  </w:tcBorders>
                  <w:shd w:val="clear" w:color="auto" w:fill="auto"/>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highlight w:val="none"/>
                      <w:lang w:val="en-US" w:eastAsia="zh-CN"/>
                    </w:rPr>
                    <w:t>本项目不属于其中的限制类、淘汰类和禁止类项目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4</w:t>
                  </w:r>
                </w:p>
              </w:tc>
              <w:tc>
                <w:tcPr>
                  <w:tcW w:w="2473" w:type="dxa"/>
                  <w:tcBorders>
                    <w:tl2br w:val="nil"/>
                    <w:tr2bl w:val="nil"/>
                  </w:tcBorders>
                  <w:shd w:val="clear" w:color="auto" w:fill="auto"/>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highlight w:val="none"/>
                      <w:lang w:val="en-US" w:eastAsia="zh-CN"/>
                    </w:rPr>
                    <w:t>《市场准入负面清单》（202</w:t>
                  </w:r>
                  <w:r>
                    <w:rPr>
                      <w:rFonts w:hint="eastAsia" w:ascii="Times New Roman" w:hAnsi="Times New Roman" w:cs="Times New Roman"/>
                      <w:b w:val="0"/>
                      <w:color w:val="auto"/>
                      <w:highlight w:val="none"/>
                      <w:lang w:val="en-US" w:eastAsia="zh-CN"/>
                    </w:rPr>
                    <w:t>5</w:t>
                  </w:r>
                  <w:r>
                    <w:rPr>
                      <w:rFonts w:hint="default" w:ascii="Times New Roman" w:hAnsi="Times New Roman" w:cs="Times New Roman"/>
                      <w:b w:val="0"/>
                      <w:color w:val="auto"/>
                      <w:highlight w:val="none"/>
                      <w:lang w:val="en-US" w:eastAsia="zh-CN"/>
                    </w:rPr>
                    <w:t>年版）</w:t>
                  </w:r>
                </w:p>
              </w:tc>
              <w:tc>
                <w:tcPr>
                  <w:tcW w:w="4295" w:type="dxa"/>
                  <w:tcBorders>
                    <w:tl2br w:val="nil"/>
                    <w:tr2bl w:val="nil"/>
                  </w:tcBorders>
                  <w:shd w:val="clear" w:color="auto" w:fill="auto"/>
                  <w:noWrap w:val="0"/>
                  <w:vAlign w:val="center"/>
                </w:tcPr>
                <w:p>
                  <w:pPr>
                    <w:pStyle w:val="5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b w:val="0"/>
                      <w:color w:val="auto"/>
                      <w:highlight w:val="none"/>
                      <w:lang w:val="en-US" w:eastAsia="zh-CN"/>
                    </w:rPr>
                    <w:t>本项目不</w:t>
                  </w:r>
                  <w:r>
                    <w:rPr>
                      <w:rFonts w:hint="eastAsia" w:ascii="Times New Roman" w:hAnsi="Times New Roman" w:cs="Times New Roman"/>
                      <w:b w:val="0"/>
                      <w:color w:val="auto"/>
                      <w:highlight w:val="none"/>
                      <w:lang w:val="en-US" w:eastAsia="zh-CN"/>
                    </w:rPr>
                    <w:t>涉及</w:t>
                  </w:r>
                  <w:r>
                    <w:rPr>
                      <w:rFonts w:hint="default" w:ascii="Times New Roman" w:hAnsi="Times New Roman" w:cs="Times New Roman"/>
                      <w:b w:val="0"/>
                      <w:color w:val="auto"/>
                      <w:highlight w:val="none"/>
                      <w:lang w:val="en-US" w:eastAsia="zh-CN"/>
                    </w:rPr>
                    <w:t>禁止准入类要求、许可准入类行业要求、禁止性规定，符合该文件的要求。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ascii="Times New Roman" w:hAnsi="Times New Roman" w:cs="Times New Roman"/>
                      <w:b w:val="0"/>
                      <w:color w:val="auto"/>
                      <w:highlight w:val="none"/>
                      <w:lang w:val="en-US" w:eastAsia="zh-CN"/>
                    </w:rPr>
                    <w:t>5</w:t>
                  </w:r>
                </w:p>
              </w:tc>
              <w:tc>
                <w:tcPr>
                  <w:tcW w:w="2473" w:type="dxa"/>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4"/>
                      <w:highlight w:val="none"/>
                      <w:lang w:val="en-US" w:eastAsia="zh-CN" w:bidi="ar"/>
                    </w:rPr>
                  </w:pPr>
                  <w:r>
                    <w:rPr>
                      <w:rFonts w:hint="eastAsia" w:ascii="Times New Roman" w:hAnsi="Times New Roman" w:cs="Times New Roman"/>
                      <w:color w:val="auto"/>
                      <w:sz w:val="21"/>
                      <w:highlight w:val="none"/>
                      <w:lang w:eastAsia="zh-CN" w:bidi="ar"/>
                    </w:rPr>
                    <w:t>《</w:t>
                  </w:r>
                  <w:r>
                    <w:rPr>
                      <w:rFonts w:hint="eastAsia" w:ascii="Times New Roman" w:hAnsi="Times New Roman" w:cs="Times New Roman"/>
                      <w:color w:val="auto"/>
                      <w:sz w:val="21"/>
                      <w:highlight w:val="none"/>
                      <w:lang w:val="en-US" w:eastAsia="zh-CN" w:bidi="ar"/>
                    </w:rPr>
                    <w:t>江苏省“两高”项目管理名录</w:t>
                  </w:r>
                  <w:r>
                    <w:rPr>
                      <w:rFonts w:hint="eastAsia" w:ascii="Times New Roman" w:hAnsi="Times New Roman" w:cs="Times New Roman"/>
                      <w:color w:val="auto"/>
                      <w:sz w:val="21"/>
                      <w:highlight w:val="none"/>
                      <w:lang w:eastAsia="zh-CN" w:bidi="ar"/>
                    </w:rPr>
                    <w:t>》（</w:t>
                  </w:r>
                  <w:r>
                    <w:rPr>
                      <w:rFonts w:hint="eastAsia" w:ascii="Times New Roman" w:hAnsi="Times New Roman" w:cs="Times New Roman"/>
                      <w:color w:val="auto"/>
                      <w:sz w:val="21"/>
                      <w:highlight w:val="none"/>
                      <w:lang w:val="en-US" w:eastAsia="zh-CN" w:bidi="ar"/>
                    </w:rPr>
                    <w:t>202</w:t>
                  </w:r>
                  <w:r>
                    <w:rPr>
                      <w:rFonts w:hint="eastAsia" w:cs="Times New Roman"/>
                      <w:color w:val="auto"/>
                      <w:sz w:val="21"/>
                      <w:highlight w:val="none"/>
                      <w:lang w:val="en-US" w:eastAsia="zh-CN" w:bidi="ar"/>
                    </w:rPr>
                    <w:t>5</w:t>
                  </w:r>
                  <w:r>
                    <w:rPr>
                      <w:rFonts w:hint="eastAsia" w:ascii="Times New Roman" w:hAnsi="Times New Roman" w:cs="Times New Roman"/>
                      <w:color w:val="auto"/>
                      <w:sz w:val="21"/>
                      <w:highlight w:val="none"/>
                      <w:lang w:val="en-US" w:eastAsia="zh-CN" w:bidi="ar"/>
                    </w:rPr>
                    <w:t>年版</w:t>
                  </w:r>
                  <w:r>
                    <w:rPr>
                      <w:rFonts w:hint="eastAsia" w:ascii="Times New Roman" w:hAnsi="Times New Roman" w:cs="Times New Roman"/>
                      <w:color w:val="auto"/>
                      <w:sz w:val="21"/>
                      <w:highlight w:val="none"/>
                      <w:lang w:eastAsia="zh-CN" w:bidi="ar"/>
                    </w:rPr>
                    <w:t>）</w:t>
                  </w:r>
                </w:p>
              </w:tc>
              <w:tc>
                <w:tcPr>
                  <w:tcW w:w="4295" w:type="dxa"/>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本项目不属于“两高”项目。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8" w:type="dxa"/>
                  <w:tcBorders>
                    <w:tl2br w:val="nil"/>
                    <w:tr2bl w:val="nil"/>
                  </w:tcBorders>
                  <w:noWrap w:val="0"/>
                  <w:vAlign w:val="center"/>
                </w:tcPr>
                <w:p>
                  <w:pPr>
                    <w:pStyle w:val="58"/>
                    <w:keepNext w:val="0"/>
                    <w:keepLines w:val="0"/>
                    <w:suppressLineNumbers w:val="0"/>
                    <w:spacing w:before="0" w:beforeAutospacing="0" w:after="0" w:afterAutospacing="0"/>
                    <w:ind w:left="0" w:right="0" w:firstLine="0" w:firstLineChars="0"/>
                    <w:rPr>
                      <w:rFonts w:hint="default" w:ascii="Times New Roman" w:hAnsi="Times New Roman" w:cs="Times New Roman"/>
                      <w:b w:val="0"/>
                      <w:color w:val="auto"/>
                      <w:highlight w:val="none"/>
                      <w:lang w:val="en-US" w:eastAsia="zh-CN"/>
                    </w:rPr>
                  </w:pPr>
                  <w:r>
                    <w:rPr>
                      <w:rFonts w:hint="eastAsia" w:cs="Times New Roman"/>
                      <w:b w:val="0"/>
                      <w:color w:val="auto"/>
                      <w:highlight w:val="none"/>
                      <w:lang w:val="en-US" w:eastAsia="zh-CN"/>
                    </w:rPr>
                    <w:t>6</w:t>
                  </w:r>
                </w:p>
              </w:tc>
              <w:tc>
                <w:tcPr>
                  <w:tcW w:w="2473"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lang w:eastAsia="zh-CN" w:bidi="ar"/>
                    </w:rPr>
                  </w:pPr>
                  <w:r>
                    <w:rPr>
                      <w:rFonts w:hint="default" w:ascii="Times New Roman" w:hAnsi="Times New Roman" w:cs="Times New Roman"/>
                      <w:lang w:bidi="ar"/>
                    </w:rPr>
                    <w:t>《长江经济带发展负面清单指南（2022年版）》</w:t>
                  </w:r>
                  <w:r>
                    <w:rPr>
                      <w:rFonts w:hint="eastAsia" w:cs="Times New Roman"/>
                      <w:lang w:eastAsia="zh-CN" w:bidi="ar"/>
                    </w:rPr>
                    <w:t>、</w:t>
                  </w:r>
                  <w:r>
                    <w:rPr>
                      <w:rFonts w:hint="default" w:ascii="Times New Roman" w:hAnsi="Times New Roman" w:cs="Times New Roman"/>
                      <w:lang w:bidi="ar"/>
                    </w:rPr>
                    <w:t>《〈长江经济带发展负面清单指南〉江苏省实施细则》</w:t>
                  </w:r>
                </w:p>
              </w:tc>
              <w:tc>
                <w:tcPr>
                  <w:tcW w:w="4295"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lang w:val="en-US" w:eastAsia="zh-CN"/>
                    </w:rPr>
                  </w:pPr>
                  <w:r>
                    <w:rPr>
                      <w:rFonts w:hint="eastAsia" w:cs="Times New Roman"/>
                      <w:lang w:val="en-US" w:eastAsia="zh-CN"/>
                    </w:rPr>
                    <w:t>本项目</w:t>
                  </w:r>
                  <w:r>
                    <w:rPr>
                      <w:rFonts w:hint="default" w:ascii="Times New Roman" w:hAnsi="Times New Roman" w:cs="Times New Roman"/>
                    </w:rPr>
                    <w:t>不在长江经济带发展负面清单指南提出的禁止范畴内</w:t>
                  </w:r>
                </w:p>
              </w:tc>
            </w:tr>
          </w:tbl>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000000"/>
                <w:sz w:val="24"/>
                <w:szCs w:val="24"/>
                <w:lang w:val="en-US" w:eastAsia="zh-CN"/>
              </w:rPr>
            </w:pPr>
            <w:r>
              <w:rPr>
                <w:rFonts w:hint="default" w:ascii="Times New Roman" w:hAnsi="Times New Roman" w:cs="Times New Roman"/>
                <w:b/>
                <w:bCs/>
                <w:color w:val="000000"/>
                <w:sz w:val="24"/>
                <w:szCs w:val="24"/>
                <w:lang w:val="en-US" w:eastAsia="zh-CN"/>
              </w:rPr>
              <w:t>项目</w:t>
            </w:r>
            <w:r>
              <w:rPr>
                <w:rFonts w:hint="default" w:ascii="Times New Roman" w:hAnsi="Times New Roman" w:cs="Times New Roman"/>
                <w:b/>
                <w:color w:val="000000"/>
                <w:sz w:val="24"/>
                <w:szCs w:val="24"/>
                <w:lang w:val="en-US" w:eastAsia="zh-CN"/>
              </w:rPr>
              <w:t>选址合理合法性分析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val="0"/>
                <w:color w:val="000000"/>
                <w:kern w:val="2"/>
                <w:sz w:val="24"/>
                <w:szCs w:val="24"/>
                <w:lang w:val="en-US" w:eastAsia="zh-CN" w:bidi="ar"/>
              </w:rPr>
            </w:pPr>
            <w:r>
              <w:rPr>
                <w:rFonts w:hint="default" w:ascii="Times New Roman" w:hAnsi="Times New Roman" w:eastAsia="宋体" w:cs="Times New Roman"/>
                <w:b w:val="0"/>
                <w:bCs w:val="0"/>
                <w:color w:val="000000"/>
                <w:kern w:val="2"/>
                <w:sz w:val="24"/>
                <w:szCs w:val="24"/>
                <w:lang w:val="en-US" w:eastAsia="zh-CN" w:bidi="ar"/>
              </w:rPr>
              <w:t>本项目位于南通市</w:t>
            </w:r>
            <w:r>
              <w:rPr>
                <w:rFonts w:hint="eastAsia" w:cs="Times New Roman"/>
                <w:b w:val="0"/>
                <w:bCs w:val="0"/>
                <w:color w:val="000000"/>
                <w:kern w:val="2"/>
                <w:sz w:val="24"/>
                <w:szCs w:val="24"/>
                <w:lang w:val="en-US" w:eastAsia="zh-CN" w:bidi="ar"/>
              </w:rPr>
              <w:t>磨头镇丁磨路111号</w:t>
            </w:r>
            <w:r>
              <w:rPr>
                <w:rFonts w:hint="default" w:ascii="Times New Roman" w:hAnsi="Times New Roman" w:eastAsia="宋体" w:cs="Times New Roman"/>
                <w:b w:val="0"/>
                <w:bCs w:val="0"/>
                <w:color w:val="000000"/>
                <w:kern w:val="2"/>
                <w:sz w:val="24"/>
                <w:szCs w:val="24"/>
                <w:lang w:val="en-US" w:eastAsia="zh-CN" w:bidi="ar"/>
              </w:rPr>
              <w:t>，用地</w:t>
            </w:r>
            <w:r>
              <w:rPr>
                <w:rFonts w:hint="eastAsia" w:ascii="Times New Roman" w:hAnsi="Times New Roman" w:eastAsia="宋体" w:cs="Times New Roman"/>
                <w:b w:val="0"/>
                <w:bCs w:val="0"/>
                <w:color w:val="000000"/>
                <w:kern w:val="2"/>
                <w:sz w:val="24"/>
                <w:szCs w:val="24"/>
                <w:lang w:val="en-US" w:eastAsia="zh-CN" w:bidi="ar"/>
              </w:rPr>
              <w:t>性质为</w:t>
            </w:r>
            <w:r>
              <w:rPr>
                <w:rFonts w:hint="default" w:ascii="Times New Roman" w:hAnsi="Times New Roman" w:eastAsia="宋体" w:cs="Times New Roman"/>
                <w:b w:val="0"/>
                <w:bCs w:val="0"/>
                <w:color w:val="000000"/>
                <w:kern w:val="2"/>
                <w:sz w:val="24"/>
                <w:szCs w:val="24"/>
                <w:lang w:val="en-US" w:eastAsia="zh-CN" w:bidi="ar"/>
              </w:rPr>
              <w:t>工业用地，符合</w:t>
            </w:r>
            <w:r>
              <w:rPr>
                <w:rFonts w:hint="eastAsia" w:cs="Times New Roman"/>
                <w:b w:val="0"/>
                <w:bCs w:val="0"/>
                <w:color w:val="000000"/>
                <w:kern w:val="2"/>
                <w:sz w:val="24"/>
                <w:szCs w:val="24"/>
                <w:lang w:val="en-US" w:eastAsia="zh-CN" w:bidi="ar"/>
              </w:rPr>
              <w:t>如皋市磨头镇</w:t>
            </w:r>
            <w:r>
              <w:rPr>
                <w:rFonts w:hint="default" w:ascii="Times New Roman" w:hAnsi="Times New Roman" w:eastAsia="宋体" w:cs="Times New Roman"/>
                <w:b w:val="0"/>
                <w:bCs w:val="0"/>
                <w:color w:val="000000"/>
                <w:kern w:val="2"/>
                <w:sz w:val="24"/>
                <w:szCs w:val="24"/>
                <w:lang w:val="en-US" w:eastAsia="zh-CN" w:bidi="ar"/>
              </w:rPr>
              <w:t>土地利用总体规划和城镇建设规划。</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color w:val="000000"/>
                <w:sz w:val="24"/>
              </w:rPr>
              <w:t>项目用地不属于国家《自然资源要素支撑产业高质量发展指导目录（2024年本）》中禁止、限制用地类项目</w:t>
            </w:r>
            <w:r>
              <w:rPr>
                <w:rFonts w:hint="default" w:ascii="Times New Roman" w:hAnsi="Times New Roman" w:cs="Times New Roman"/>
                <w:b w:val="0"/>
                <w:bCs w:val="0"/>
                <w:color w:val="000000"/>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因此，本项目选址合理且符合用地规划</w:t>
            </w:r>
            <w:r>
              <w:rPr>
                <w:rFonts w:hint="eastAsia" w:ascii="Times New Roman" w:hAnsi="Times New Roman" w:cs="Times New Roman"/>
                <w:b w:val="0"/>
                <w:bCs w:val="0"/>
                <w:color w:val="00000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（1）与《市政府办公室印发《关于进一步促进全市乡镇工业集聚区高质量发展的实施意见》的通知》（通政办发〔2022〕70号）相符性分析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color w:val="000000"/>
                <w:sz w:val="24"/>
              </w:rPr>
              <w:t>根据《市政府办公室印发&lt;关于进一步促进全市乡镇工业集聚区高质量发展的实施意见&gt;的通知》（通政办发〔2022〕70号）中“各地新建项目一律进入开发区（园区）和集聚区，按照管理权限履行好审批手续。”本项目位于</w:t>
            </w:r>
            <w:r>
              <w:rPr>
                <w:rFonts w:hint="eastAsia" w:cs="Times New Roman"/>
                <w:color w:val="000000"/>
                <w:sz w:val="24"/>
                <w:lang w:val="en-US" w:eastAsia="zh-CN"/>
              </w:rPr>
              <w:t>如皋市磨头镇工业集中区（单元编码：ZH32068223341）</w:t>
            </w:r>
            <w:r>
              <w:rPr>
                <w:rFonts w:hint="eastAsia" w:ascii="Times New Roman" w:hAnsi="Times New Roman" w:cs="Times New Roman"/>
                <w:color w:val="000000"/>
                <w:sz w:val="24"/>
              </w:rPr>
              <w:t>，项目符合</w:t>
            </w:r>
            <w:r>
              <w:rPr>
                <w:rFonts w:hint="eastAsia" w:cs="Times New Roman"/>
                <w:color w:val="000000"/>
                <w:sz w:val="24"/>
                <w:lang w:val="en-US" w:eastAsia="zh-CN"/>
              </w:rPr>
              <w:t>如皋市磨头镇</w:t>
            </w:r>
            <w:r>
              <w:rPr>
                <w:rFonts w:hint="eastAsia" w:ascii="Times New Roman" w:hAnsi="Times New Roman" w:cs="Times New Roman"/>
                <w:color w:val="000000"/>
                <w:sz w:val="24"/>
              </w:rPr>
              <w:t>用地规划，属于工业用地；因此，本项目符合《市政府办公室印发&lt;关于进一步促进全市乡镇工业集聚区高质量发展的实施意见&gt;的通知》</w:t>
            </w:r>
            <w:r>
              <w:rPr>
                <w:rFonts w:hint="eastAsia" w:ascii="Times New Roman" w:hAnsi="Times New Roman" w:cs="Times New Roman"/>
                <w:b w:val="0"/>
                <w:bCs w:val="0"/>
                <w:color w:val="00000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与“三区三线”划定成果相符性分析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“三区三线”：是指城镇空间、农业空间、生态空间三种类型的空间，分别对应划定的城镇开发边界、永久基本农田保护红线、生态保护红线三条控制线。本项目位于江苏省南通市</w:t>
            </w:r>
            <w:r>
              <w:rPr>
                <w:rFonts w:hint="eastAsia" w:cs="Times New Roman"/>
                <w:b w:val="0"/>
                <w:bCs w:val="0"/>
                <w:color w:val="auto"/>
                <w:kern w:val="2"/>
                <w:sz w:val="24"/>
                <w:szCs w:val="24"/>
                <w:lang w:val="en-US" w:eastAsia="zh-CN" w:bidi="ar"/>
              </w:rPr>
              <w:t>磨头镇丁磨路111号</w:t>
            </w:r>
            <w:r>
              <w:rPr>
                <w:rFonts w:hint="default" w:ascii="Times New Roman" w:hAnsi="Times New Roman" w:cs="Times New Roman"/>
                <w:b w:val="0"/>
                <w:bCs w:val="0"/>
                <w:color w:val="auto"/>
                <w:sz w:val="24"/>
                <w:szCs w:val="24"/>
                <w:lang w:val="en-US" w:eastAsia="zh-CN"/>
              </w:rPr>
              <w:t>，为工业用地，在城镇开发边界内，不涉及基本农田和生态红线，符合“三区三线”要求。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3、生态环境分区管控动态更新成果相符性分析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eastAsia"/>
                <w:sz w:val="24"/>
              </w:rPr>
              <w:t>（1）</w:t>
            </w:r>
            <w:r>
              <w:rPr>
                <w:rFonts w:hint="default"/>
                <w:sz w:val="24"/>
              </w:rPr>
              <w:t>对照《江苏省2023年生态环境分区管控动态更新成果公告》，本项目位于</w:t>
            </w:r>
            <w:r>
              <w:rPr>
                <w:rFonts w:hint="eastAsia"/>
                <w:sz w:val="24"/>
              </w:rPr>
              <w:t>重点</w:t>
            </w:r>
            <w:r>
              <w:rPr>
                <w:rFonts w:hint="default"/>
                <w:sz w:val="24"/>
              </w:rPr>
              <w:t>管控单元，总体要求对照如下。</w:t>
            </w:r>
          </w:p>
          <w:p>
            <w:pPr>
              <w:pStyle w:val="58"/>
              <w:keepNext w:val="0"/>
              <w:keepLines w:val="0"/>
              <w:suppressLineNumbers w:val="0"/>
              <w:spacing w:before="0" w:beforeAutospacing="0" w:after="0" w:afterAutospacing="0"/>
              <w:ind w:left="0" w:right="0" w:firstLine="0" w:firstLineChars="0"/>
              <w:rPr>
                <w:rFonts w:hint="default"/>
                <w:b/>
                <w:sz w:val="24"/>
                <w:szCs w:val="24"/>
              </w:rPr>
            </w:pPr>
            <w:r>
              <w:rPr>
                <w:rFonts w:hint="default"/>
                <w:b/>
                <w:sz w:val="24"/>
                <w:szCs w:val="24"/>
              </w:rPr>
              <w:t>表1-</w:t>
            </w:r>
            <w:r>
              <w:rPr>
                <w:rFonts w:hint="eastAsia"/>
                <w:b/>
                <w:sz w:val="24"/>
                <w:szCs w:val="24"/>
                <w:lang w:val="en-US" w:eastAsia="zh-CN"/>
              </w:rPr>
              <w:t>4</w:t>
            </w:r>
            <w:r>
              <w:rPr>
                <w:rFonts w:hint="default"/>
                <w:b/>
                <w:sz w:val="24"/>
                <w:szCs w:val="24"/>
              </w:rPr>
              <w:t xml:space="preserve"> 与《江苏省2023年生态环境分区管控动态更新成果公告》相符性</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05"/>
              <w:gridCol w:w="1516"/>
              <w:gridCol w:w="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管控</w:t>
                  </w:r>
                </w:p>
                <w:p>
                  <w:pPr>
                    <w:keepNext w:val="0"/>
                    <w:keepLines w:val="0"/>
                    <w:suppressLineNumbers w:val="0"/>
                    <w:adjustRightInd w:val="0"/>
                    <w:snapToGrid w:val="0"/>
                    <w:spacing w:before="0" w:beforeAutospacing="0" w:after="0" w:afterAutospacing="0"/>
                    <w:ind w:left="0" w:right="0"/>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类别</w:t>
                  </w:r>
                </w:p>
              </w:tc>
              <w:tc>
                <w:tcPr>
                  <w:tcW w:w="31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管控要求</w:t>
                  </w:r>
                </w:p>
              </w:tc>
              <w:tc>
                <w:tcPr>
                  <w:tcW w:w="101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本项目建设情况</w:t>
                  </w:r>
                </w:p>
              </w:tc>
              <w:tc>
                <w:tcPr>
                  <w:tcW w:w="3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b/>
                      <w:bCs/>
                      <w:color w:val="000000" w:themeColor="text1"/>
                      <w:szCs w:val="21"/>
                      <w14:textFill>
                        <w14:solidFill>
                          <w14:schemeClr w14:val="tx1"/>
                        </w14:solidFill>
                      </w14:textFill>
                    </w:rPr>
                  </w:pPr>
                  <w:r>
                    <w:rPr>
                      <w:rFonts w:hint="default"/>
                      <w:b/>
                      <w:bCs/>
                      <w:color w:val="000000" w:themeColor="text1"/>
                      <w:szCs w:val="21"/>
                      <w14:textFill>
                        <w14:solidFill>
                          <w14:schemeClr w14:val="tx1"/>
                        </w14:solidFill>
                      </w14:textFill>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空间布局约束</w:t>
                  </w:r>
                </w:p>
              </w:tc>
              <w:tc>
                <w:tcPr>
                  <w:tcW w:w="31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①按照《省政府关于印发江苏省生态空间管控区域规划的通知》（苏政发〔2020〕1号）、《省政府关于印发江苏省国家级生态保护红线规划的通知》（苏政发</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2018</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74号），坚持节约优先、保护优先、自然恢复为主的方针，以</w:t>
                  </w:r>
                  <w:r>
                    <w:rPr>
                      <w:rFonts w:hint="eastAsia"/>
                      <w:color w:val="000000" w:themeColor="text1"/>
                      <w:szCs w:val="21"/>
                      <w14:textFill>
                        <w14:solidFill>
                          <w14:schemeClr w14:val="tx1"/>
                        </w14:solidFill>
                      </w14:textFill>
                    </w:rPr>
                    <w:t>改善</w:t>
                  </w:r>
                  <w:r>
                    <w:rPr>
                      <w:rFonts w:hint="default"/>
                      <w:color w:val="000000" w:themeColor="text1"/>
                      <w:szCs w:val="21"/>
                      <w14:textFill>
                        <w14:solidFill>
                          <w14:schemeClr w14:val="tx1"/>
                        </w14:solidFill>
                      </w14:textFill>
                    </w:rPr>
                    <w:t>生态环境质量为核心，以保障和维护生态功能为主线，统筹山水林田湖草一体化保护和修复，严守生态保护红线</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实行最严格的生态空间管控制度，确保全省生态功能不降低、面积不减少、性质不改变，切实维护生态安全。</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②牢牢把握推动长江经济带发展</w:t>
                  </w:r>
                  <w:r>
                    <w:rPr>
                      <w:rFonts w:hint="eastAsia"/>
                      <w:color w:val="000000" w:themeColor="text1"/>
                      <w:szCs w:val="21"/>
                      <w14:textFill>
                        <w14:solidFill>
                          <w14:schemeClr w14:val="tx1"/>
                        </w14:solidFill>
                      </w14:textFill>
                    </w:rPr>
                    <w:t>“共抓大保护、不搞大开发”</w:t>
                  </w:r>
                  <w:r>
                    <w:rPr>
                      <w:rFonts w:hint="default"/>
                      <w:color w:val="000000" w:themeColor="text1"/>
                      <w:szCs w:val="21"/>
                      <w14:textFill>
                        <w14:solidFill>
                          <w14:schemeClr w14:val="tx1"/>
                        </w14:solidFill>
                      </w14:textFill>
                    </w:rPr>
                    <w:t>战略导向。对省域范围内需要重点保护的岸线、河段和区域实行严格空间布局管控，管控好排放量大、耗能高、产能过剩的产业，推动长江经济带高质量发展。</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③大幅压减沿长江干支流两侧1公里范围内、环境敏感区域、城镇人口密集区、化工园区外和规模以下化工生产企业，着力破解</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重化围江</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突出问题，高起点同步推进沿江地区战略性转型和沿海地区战略性布局。</w:t>
                  </w:r>
                </w:p>
                <w:p>
                  <w:pPr>
                    <w:pStyle w:val="11"/>
                    <w:keepNext w:val="0"/>
                    <w:keepLines w:val="0"/>
                    <w:widowControl w:val="0"/>
                    <w:suppressLineNumbers w:val="0"/>
                    <w:spacing w:before="0" w:beforeAutospacing="0" w:after="0" w:afterAutospacing="0" w:line="240" w:lineRule="auto"/>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④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pPr>
                    <w:pStyle w:val="11"/>
                    <w:keepNext w:val="0"/>
                    <w:keepLines w:val="0"/>
                    <w:widowControl w:val="0"/>
                    <w:suppressLineNumbers w:val="0"/>
                    <w:spacing w:before="0" w:beforeAutospacing="0" w:after="0" w:afterAutospacing="0" w:line="240" w:lineRule="auto"/>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⑤对列入国家和省规划，涉及生态保护红线和相关法定保护区的重大民生项目、重大基础设施项目（交通基础设施项目等），应优先空间布局（选线）、主动避让；确实无法避让的，应采取无害化方式（如无害化穿、跨越方式等），依法依规履行行政审批手续，强化减缓生态环境影响和生态补偿影响。</w:t>
                  </w:r>
                </w:p>
              </w:tc>
              <w:tc>
                <w:tcPr>
                  <w:tcW w:w="101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本项目不在生态空间管控区域规划范围内，不属于排放量大、耗能高、产能过剩的产业；不属于化工企业、钢铁企业；不属于重大民生项目、重大基础设施项目。</w:t>
                  </w:r>
                </w:p>
              </w:tc>
              <w:tc>
                <w:tcPr>
                  <w:tcW w:w="3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污染物排放管控</w:t>
                  </w:r>
                </w:p>
              </w:tc>
              <w:tc>
                <w:tcPr>
                  <w:tcW w:w="31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①坚持生态环境质量只能更好、不能变坏，实施污染物总量控制，以环境容量定产业、定项目、定规模，确保开发建设行为不突破生态环境承载力。</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②2020年主要污染物排放总量要求：全省</w:t>
                  </w:r>
                  <w:r>
                    <w:rPr>
                      <w:rFonts w:hint="eastAsia"/>
                      <w:color w:val="000000" w:themeColor="text1"/>
                      <w:szCs w:val="21"/>
                      <w14:textFill>
                        <w14:solidFill>
                          <w14:schemeClr w14:val="tx1"/>
                        </w14:solidFill>
                      </w14:textFill>
                    </w:rPr>
                    <w:t>二氧化硫</w:t>
                  </w:r>
                  <w:r>
                    <w:rPr>
                      <w:rFonts w:hint="default"/>
                      <w:color w:val="000000" w:themeColor="text1"/>
                      <w:szCs w:val="21"/>
                      <w14:textFill>
                        <w14:solidFill>
                          <w14:schemeClr w14:val="tx1"/>
                        </w14:solidFill>
                      </w14:textFill>
                    </w:rPr>
                    <w:t>、氮氧化物、挥发性有机物、化学需氧量、氨氮、总氮、总磷排放总量分别为66.8万吨、85.4万吨、149.6万吨、91.2万吨、11.9万吨、29.2万吨、2.7万吨。</w:t>
                  </w:r>
                </w:p>
              </w:tc>
              <w:tc>
                <w:tcPr>
                  <w:tcW w:w="101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本项目排污许可类别为登记管理，无需总量平衡。</w:t>
                  </w:r>
                </w:p>
              </w:tc>
              <w:tc>
                <w:tcPr>
                  <w:tcW w:w="3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环境风险防控</w:t>
                  </w:r>
                </w:p>
              </w:tc>
              <w:tc>
                <w:tcPr>
                  <w:tcW w:w="31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①强化环境事故应急管理，深化跨部门、跨区域环境应急协调联动，分区域建立环境应急物资储备库。各级工业园区（集聚区）和企业的环境应急装备和储备物资应纳入储备体系。</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②强化环境风险防控能力建设。按照统一信息平台、统一监管力度、统一应急等级、协同应急救援的思路，在沿江发展带、沿海发展带、环太湖等地区构建区域性环境风险预警应急响应机制</w:t>
                  </w:r>
                  <w:r>
                    <w:rPr>
                      <w:rFonts w:hint="eastAsia"/>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实施区域突发环境风险预警联防联控。</w:t>
                  </w:r>
                </w:p>
              </w:tc>
              <w:tc>
                <w:tcPr>
                  <w:tcW w:w="101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本项目建成后将</w:t>
                  </w:r>
                  <w:r>
                    <w:rPr>
                      <w:rFonts w:hint="eastAsia"/>
                      <w:color w:val="000000" w:themeColor="text1"/>
                      <w:szCs w:val="21"/>
                      <w14:textFill>
                        <w14:solidFill>
                          <w14:schemeClr w14:val="tx1"/>
                        </w14:solidFill>
                      </w14:textFill>
                    </w:rPr>
                    <w:t>完善</w:t>
                  </w:r>
                  <w:r>
                    <w:rPr>
                      <w:rFonts w:hint="default"/>
                      <w:color w:val="000000" w:themeColor="text1"/>
                      <w:szCs w:val="21"/>
                      <w14:textFill>
                        <w14:solidFill>
                          <w14:schemeClr w14:val="tx1"/>
                        </w14:solidFill>
                      </w14:textFill>
                    </w:rPr>
                    <w:t>环境风险应急预案，同时企业内储备有足够的环境应急物资，实现环境风险联防联控，故能满足环境风险防控的相关要求</w:t>
                  </w:r>
                </w:p>
              </w:tc>
              <w:tc>
                <w:tcPr>
                  <w:tcW w:w="3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资源利用效率要求</w:t>
                  </w:r>
                </w:p>
              </w:tc>
              <w:tc>
                <w:tcPr>
                  <w:tcW w:w="31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①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到90%。</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②土地资源总量要求：到2020年，全省耕地保有量不低于456.87万</w:t>
                  </w:r>
                  <w:r>
                    <w:rPr>
                      <w:rFonts w:hint="eastAsia"/>
                      <w:color w:val="000000" w:themeColor="text1"/>
                      <w:szCs w:val="21"/>
                      <w14:textFill>
                        <w14:solidFill>
                          <w14:schemeClr w14:val="tx1"/>
                        </w14:solidFill>
                      </w14:textFill>
                    </w:rPr>
                    <w:t>公顷</w:t>
                  </w:r>
                  <w:r>
                    <w:rPr>
                      <w:rFonts w:hint="default"/>
                      <w:color w:val="000000" w:themeColor="text1"/>
                      <w:szCs w:val="21"/>
                      <w14:textFill>
                        <w14:solidFill>
                          <w14:schemeClr w14:val="tx1"/>
                        </w14:solidFill>
                      </w14:textFill>
                    </w:rPr>
                    <w:t>，永久基本农田保护面积不低于390.67万公顷。</w:t>
                  </w:r>
                </w:p>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③禁燃区要求：在禁燃区内，禁止销售、燃用高污染燃料；禁止新建、扩建燃用高污染燃料的设施，已建成的，应当在城市</w:t>
                  </w:r>
                  <w:r>
                    <w:rPr>
                      <w:rFonts w:hint="eastAsia"/>
                      <w:color w:val="000000" w:themeColor="text1"/>
                      <w:szCs w:val="21"/>
                      <w14:textFill>
                        <w14:solidFill>
                          <w14:schemeClr w14:val="tx1"/>
                        </w14:solidFill>
                      </w14:textFill>
                    </w:rPr>
                    <w:t>人民政府</w:t>
                  </w:r>
                  <w:r>
                    <w:rPr>
                      <w:rFonts w:hint="default"/>
                      <w:color w:val="000000" w:themeColor="text1"/>
                      <w:szCs w:val="21"/>
                      <w14:textFill>
                        <w14:solidFill>
                          <w14:schemeClr w14:val="tx1"/>
                        </w14:solidFill>
                      </w14:textFill>
                    </w:rPr>
                    <w:t>规定的</w:t>
                  </w:r>
                  <w:r>
                    <w:rPr>
                      <w:rFonts w:hint="eastAsia"/>
                      <w:color w:val="000000" w:themeColor="text1"/>
                      <w:szCs w:val="21"/>
                      <w14:textFill>
                        <w14:solidFill>
                          <w14:schemeClr w14:val="tx1"/>
                        </w14:solidFill>
                      </w14:textFill>
                    </w:rPr>
                    <w:t>期限</w:t>
                  </w:r>
                  <w:r>
                    <w:rPr>
                      <w:rFonts w:hint="default"/>
                      <w:color w:val="000000" w:themeColor="text1"/>
                      <w:szCs w:val="21"/>
                      <w14:textFill>
                        <w14:solidFill>
                          <w14:schemeClr w14:val="tx1"/>
                        </w14:solidFill>
                      </w14:textFill>
                    </w:rPr>
                    <w:t>内改用天然气、页岩气、液化石油气、电或者其他清洁能源。</w:t>
                  </w:r>
                </w:p>
              </w:tc>
              <w:tc>
                <w:tcPr>
                  <w:tcW w:w="101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本项目不新增用地，满足土地资源总量要求；生产过程中使用电能，不使用高污染燃料，故符合禁燃区的相关要求</w:t>
                  </w:r>
                </w:p>
              </w:tc>
              <w:tc>
                <w:tcPr>
                  <w:tcW w:w="351"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rPr>
            </w:pPr>
            <w:r>
              <w:rPr>
                <w:rFonts w:hint="default"/>
                <w:sz w:val="24"/>
              </w:rPr>
              <w:t>由上表可知，本项目建设符合《江苏省2023年生态环境分区管控动态更新成果公告》中总体要求。</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（2）</w:t>
            </w:r>
            <w:r>
              <w:rPr>
                <w:rFonts w:hint="default"/>
                <w:sz w:val="24"/>
              </w:rPr>
              <w:t>与江苏省重点区域（流域）生态环境分区管控要求相符性</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本项目位于江苏省如皋</w:t>
            </w:r>
            <w:r>
              <w:rPr>
                <w:rFonts w:hint="eastAsia"/>
                <w:sz w:val="24"/>
              </w:rPr>
              <w:t>市城南街道</w:t>
            </w:r>
            <w:r>
              <w:rPr>
                <w:rFonts w:hint="default"/>
                <w:sz w:val="24"/>
              </w:rPr>
              <w:t>，属于长江流域、淮河流域、沿海地区，对照江苏省重点区域（流域）生态环境分区管控要求，具体分析如下表1-</w:t>
            </w:r>
            <w:r>
              <w:rPr>
                <w:rFonts w:hint="eastAsia"/>
                <w:sz w:val="24"/>
                <w:lang w:val="en-US" w:eastAsia="zh-CN"/>
              </w:rPr>
              <w:t>5</w:t>
            </w:r>
            <w:r>
              <w:rPr>
                <w:rFonts w:hint="default"/>
                <w:sz w:val="24"/>
              </w:rPr>
              <w:t>。</w:t>
            </w:r>
          </w:p>
          <w:p>
            <w:pPr>
              <w:pStyle w:val="58"/>
              <w:keepNext w:val="0"/>
              <w:keepLines w:val="0"/>
              <w:suppressLineNumbers w:val="0"/>
              <w:spacing w:before="0" w:beforeAutospacing="0" w:after="0" w:afterAutospacing="0"/>
              <w:ind w:left="0" w:right="0" w:firstLine="0" w:firstLineChars="0"/>
              <w:rPr>
                <w:rFonts w:hint="default"/>
                <w:b/>
                <w:sz w:val="24"/>
                <w:szCs w:val="24"/>
              </w:rPr>
            </w:pPr>
            <w:r>
              <w:rPr>
                <w:rFonts w:hint="default"/>
                <w:b/>
                <w:sz w:val="24"/>
                <w:szCs w:val="24"/>
              </w:rPr>
              <w:t>表1-</w:t>
            </w:r>
            <w:r>
              <w:rPr>
                <w:rFonts w:hint="eastAsia"/>
                <w:b/>
                <w:sz w:val="24"/>
                <w:szCs w:val="24"/>
                <w:lang w:val="en-US" w:eastAsia="zh-CN"/>
              </w:rPr>
              <w:t>5</w:t>
            </w:r>
            <w:r>
              <w:rPr>
                <w:rFonts w:hint="default"/>
                <w:b/>
                <w:sz w:val="24"/>
                <w:szCs w:val="24"/>
              </w:rPr>
              <w:t xml:space="preserve"> 与江苏省重点区域（流域）生态环境分区管控要求相符性</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773"/>
              <w:gridCol w:w="3843"/>
              <w:gridCol w:w="2194"/>
              <w:gridCol w:w="6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管控类别</w:t>
                  </w:r>
                </w:p>
              </w:tc>
              <w:tc>
                <w:tcPr>
                  <w:tcW w:w="2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重点管控要求</w:t>
                  </w:r>
                </w:p>
              </w:tc>
              <w:tc>
                <w:tcPr>
                  <w:tcW w:w="14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本项目建设情况</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一、长江流域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空间布局约束</w:t>
                  </w:r>
                </w:p>
              </w:tc>
              <w:tc>
                <w:tcPr>
                  <w:tcW w:w="2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1.始终把长江生态修复放在首位，坚持共抓大保护、不搞大开发，引导长江流域产业转型升级和布局优化调整，实现科学发展、有序发展、高质量发展。</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2.加强生态空间保护，禁止在国家确定的生态保护红线和永久基本农田范围内，投资建设除国家重大战略资源勒查项目、生态保护修复和地质灾害治理项目、重大基础设施项目、军事国防项目以及农民基本生产生活等必要的民生项目以外的项目。</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5.禁止新建独立焦化项目。</w:t>
                  </w:r>
                </w:p>
              </w:tc>
              <w:tc>
                <w:tcPr>
                  <w:tcW w:w="14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本项目</w:t>
                  </w:r>
                  <w:r>
                    <w:rPr>
                      <w:rFonts w:hint="default"/>
                      <w:spacing w:val="4"/>
                      <w:kern w:val="0"/>
                      <w:szCs w:val="21"/>
                    </w:rPr>
                    <w:t>属于</w:t>
                  </w:r>
                  <w:r>
                    <w:rPr>
                      <w:rFonts w:hint="eastAsia"/>
                      <w:szCs w:val="21"/>
                    </w:rPr>
                    <w:t>〔C2922〕塑料板、管、型材制造</w:t>
                  </w:r>
                  <w:r>
                    <w:rPr>
                      <w:rFonts w:hint="default"/>
                      <w:szCs w:val="21"/>
                    </w:rPr>
                    <w:t>，不在生态空间管控区域规划范围内，不属于化工、钢铁行业。</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污染物排放管控</w:t>
                  </w:r>
                </w:p>
              </w:tc>
              <w:tc>
                <w:tcPr>
                  <w:tcW w:w="2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1.根据《江苏省长江水污染防治条例》实施污染物总量控制制度。</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2.全面加强和规范长江入河排污口管理，有效管控入河污染物排放，形成权责清晰、监控到位、管理规范的长江入河排污口监管体系，加快改善长江水环境质量。</w:t>
                  </w:r>
                </w:p>
              </w:tc>
              <w:tc>
                <w:tcPr>
                  <w:tcW w:w="146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根据《固定污染源分 类管理名录》（2019版），本项目为登记管理，无需实施总量平衡。项目不设长江入河排污口。</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环境风险防控</w:t>
                  </w:r>
                </w:p>
              </w:tc>
              <w:tc>
                <w:tcPr>
                  <w:tcW w:w="2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1.防范沿江环境风险。深化沿江石化、化工、医药、纺织、印染、化纤、危化品和石油类仓储、涉重金属和危险废物处置等重点企业环境风险防控。</w:t>
                  </w:r>
                </w:p>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2.加强饮用水水源保护。优化水源保护区划定，推动饮用水水源地规范化建设。</w:t>
                  </w:r>
                </w:p>
              </w:tc>
              <w:tc>
                <w:tcPr>
                  <w:tcW w:w="14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本项目建成后将制定环境风险应急预案，同时企业内储备有足够的环境应急物资，实现环境风险联防联控，故能满足环境风险防控的相关要求。</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资源利用效率要求</w:t>
                  </w:r>
                </w:p>
              </w:tc>
              <w:tc>
                <w:tcPr>
                  <w:tcW w:w="2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到2020年长江干支流自然岸线保有率达到国家要求。</w:t>
                  </w:r>
                </w:p>
              </w:tc>
              <w:tc>
                <w:tcPr>
                  <w:tcW w:w="146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本项目不新增岸线要求，满足资源利用效率要求。</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b/>
                      <w:bCs/>
                      <w:szCs w:val="21"/>
                    </w:rPr>
                    <w:t>二、淮河流域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color w:val="000000"/>
                      <w:kern w:val="0"/>
                      <w:szCs w:val="21"/>
                      <w:lang w:bidi="ar"/>
                    </w:rPr>
                    <w:t>空间局束</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1.禁止在淮河流域新建化学制浆造纸企业，禁止在淮河流域新建制革、化工、印染、电镀、酿造等污染严重的小型企业。</w:t>
                  </w:r>
                </w:p>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3.在通榆河一级保护区，禁止新建、扩建直接或者间接向水体排放污染物的项目，禁止建设工业固体废物集中贮存、利用、处置设施或者场所以及城市生活垃圾填埋场，禁止新建规模化畜禽养殖场。</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color w:val="000000"/>
                      <w:kern w:val="0"/>
                      <w:szCs w:val="21"/>
                      <w:lang w:bidi="ar"/>
                    </w:rPr>
                    <w:t>本项目</w:t>
                  </w:r>
                  <w:r>
                    <w:rPr>
                      <w:rFonts w:hint="default"/>
                      <w:spacing w:val="4"/>
                      <w:kern w:val="0"/>
                      <w:szCs w:val="21"/>
                    </w:rPr>
                    <w:t>属于</w:t>
                  </w:r>
                  <w:r>
                    <w:rPr>
                      <w:rFonts w:hint="eastAsia"/>
                      <w:szCs w:val="21"/>
                    </w:rPr>
                    <w:t>〔C2922〕塑料板、管、型材制造</w:t>
                  </w:r>
                  <w:r>
                    <w:rPr>
                      <w:rFonts w:hint="default"/>
                      <w:color w:val="000000"/>
                      <w:kern w:val="0"/>
                      <w:szCs w:val="21"/>
                      <w:lang w:bidi="ar"/>
                    </w:rPr>
                    <w:t>，不属于上述禁止建设类项目类别。且本项目无生产废水产生，生活污水经化粪池处理后接管</w:t>
                  </w:r>
                  <w:r>
                    <w:rPr>
                      <w:rFonts w:hint="eastAsia"/>
                      <w:color w:val="000000"/>
                      <w:kern w:val="0"/>
                      <w:szCs w:val="21"/>
                      <w:lang w:eastAsia="zh-CN" w:bidi="ar"/>
                    </w:rPr>
                    <w:t>如皋市碧水污水处理设施运行管理有限公司</w:t>
                  </w:r>
                  <w:r>
                    <w:rPr>
                      <w:rFonts w:hint="default"/>
                      <w:color w:val="000000"/>
                      <w:kern w:val="0"/>
                      <w:szCs w:val="21"/>
                      <w:lang w:bidi="ar"/>
                    </w:rPr>
                    <w:t>处理。</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污染物排放管控</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按照《淮河流域水污染防治暂行条例》实施排污总量控制制度。</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eastAsia"/>
                      <w:szCs w:val="21"/>
                    </w:rPr>
                    <w:t>根据《固定污染源分 类管理名录》（2019版），本项目为登记管理，无需实施总量平衡。</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环境风险防控</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禁止运输剧毒化学品以及国家规定禁止通过内河运输的其他危险化学品的船舶进入通榆河及主要供水河道。</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本项目不涉及剧毒化学品。</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资源利用效率要求</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限制缺水地区发展耗水型产业，调整缺水地区的产业结构，严格控制高耗水、高耗能和重污染的建设项目。</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本项目不属于高耗水、高耗能和重污染项目。</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b/>
                      <w:bCs/>
                      <w:szCs w:val="21"/>
                    </w:rPr>
                    <w:t>三、沿海地区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szCs w:val="21"/>
                    </w:rPr>
                  </w:pPr>
                  <w:r>
                    <w:rPr>
                      <w:rFonts w:hint="default"/>
                      <w:color w:val="000000"/>
                      <w:kern w:val="0"/>
                      <w:szCs w:val="21"/>
                      <w:lang w:bidi="ar"/>
                    </w:rPr>
                    <w:t>空间局束</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1.禁止在沿海陆域内新建不具备有效治理措施的化学制浆造纸、化工、印染、制革、电镀、酿造、炼油、岸边冲滩拆船以及其他严重污染海洋环境的工业生产项目。</w:t>
                  </w:r>
                </w:p>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2.沿海地区严格控制新建医药、农药和染料中间体项目。</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本项目不属于以上管控项目</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污染物排放管控</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按照《江苏省海洋环境保护条例》实施重点海域排污总量控制制度。</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000000"/>
                      <w:kern w:val="0"/>
                      <w:szCs w:val="21"/>
                      <w:lang w:eastAsia="zh-CN" w:bidi="ar"/>
                    </w:rPr>
                  </w:pPr>
                  <w:r>
                    <w:rPr>
                      <w:rFonts w:hint="eastAsia"/>
                      <w:szCs w:val="21"/>
                      <w:lang w:val="en-US" w:eastAsia="zh-CN"/>
                    </w:rPr>
                    <w:t>不涉及</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环境风险防控</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1.禁止向海洋倾倒汞及汞化合物、强放射性物质等国家规定的一类废弃物。</w:t>
                  </w:r>
                </w:p>
                <w:p>
                  <w:pPr>
                    <w:keepNext w:val="0"/>
                    <w:keepLines w:val="0"/>
                    <w:widowControl/>
                    <w:suppressLineNumbers w:val="0"/>
                    <w:spacing w:before="0" w:beforeAutospacing="0" w:after="0" w:afterAutospacing="0"/>
                    <w:ind w:left="0" w:right="0"/>
                    <w:jc w:val="left"/>
                    <w:rPr>
                      <w:rFonts w:hint="default"/>
                      <w:szCs w:val="21"/>
                    </w:rPr>
                  </w:pPr>
                  <w:r>
                    <w:rPr>
                      <w:rFonts w:hint="default"/>
                      <w:color w:val="000000"/>
                      <w:kern w:val="0"/>
                      <w:szCs w:val="21"/>
                      <w:lang w:bidi="ar"/>
                    </w:rPr>
                    <w:t>2.加强对赤潮、浒苔绿潮、溢油、危险化学品泄漏及海洋核辐射等海上突发性海洋灾害事故的应急监视，防治突发性海洋环境灾害。</w:t>
                  </w:r>
                </w:p>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3.沿海地区应加强危险货物运输风险、船舶污染事故风险应急管控。</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本项目无生产废水，生活污水经化粪池处理后接管</w:t>
                  </w:r>
                  <w:r>
                    <w:rPr>
                      <w:rFonts w:hint="eastAsia"/>
                      <w:color w:val="000000"/>
                      <w:kern w:val="0"/>
                      <w:szCs w:val="21"/>
                      <w:lang w:eastAsia="zh-CN" w:bidi="ar"/>
                    </w:rPr>
                    <w:t>如皋市碧水污水处理设施运行管理有限公司</w:t>
                  </w:r>
                  <w:r>
                    <w:rPr>
                      <w:rFonts w:hint="default"/>
                      <w:color w:val="000000"/>
                      <w:kern w:val="0"/>
                      <w:szCs w:val="21"/>
                      <w:lang w:bidi="ar"/>
                    </w:rPr>
                    <w:t>处理，不会向海洋倾倒汞及汞化合物、强放射性物质等一等废弃物、不涉及海洋运输、不涉及危险货物运输、无船舶污染事故风险。</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jc w:val="center"/>
              </w:trPr>
              <w:tc>
                <w:tcPr>
                  <w:tcW w:w="518"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资源利用效率要求</w:t>
                  </w:r>
                </w:p>
              </w:tc>
              <w:tc>
                <w:tcPr>
                  <w:tcW w:w="2574" w:type="pct"/>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color w:val="000000"/>
                      <w:kern w:val="0"/>
                      <w:szCs w:val="21"/>
                      <w:lang w:bidi="ar"/>
                    </w:rPr>
                  </w:pPr>
                  <w:r>
                    <w:rPr>
                      <w:rFonts w:hint="default"/>
                      <w:color w:val="000000"/>
                      <w:kern w:val="0"/>
                      <w:szCs w:val="21"/>
                      <w:lang w:bidi="ar"/>
                    </w:rPr>
                    <w:t>至2025年，大陆自然岸线保有率不低于36.1%。</w:t>
                  </w:r>
                </w:p>
              </w:tc>
              <w:tc>
                <w:tcPr>
                  <w:tcW w:w="1469"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lang w:bidi="ar"/>
                    </w:rPr>
                  </w:pPr>
                  <w:r>
                    <w:rPr>
                      <w:rFonts w:hint="default"/>
                      <w:color w:val="000000"/>
                      <w:kern w:val="0"/>
                      <w:szCs w:val="21"/>
                      <w:lang w:bidi="ar"/>
                    </w:rPr>
                    <w:t>本项目所在地不在大陆自然岸线</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符合</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综上，本项目符合江苏省重点区域（流域）生态环境分区管控要求。</w:t>
            </w:r>
          </w:p>
          <w:p>
            <w:pPr>
              <w:keepNext w:val="0"/>
              <w:keepLines w:val="0"/>
              <w:suppressLineNumbers w:val="0"/>
              <w:spacing w:before="0" w:beforeAutospacing="0" w:after="0" w:afterAutospacing="0" w:line="360" w:lineRule="auto"/>
              <w:ind w:left="0" w:right="0" w:firstLine="480" w:firstLineChars="200"/>
              <w:rPr>
                <w:rFonts w:hint="default"/>
                <w:sz w:val="24"/>
              </w:rPr>
            </w:pPr>
            <w:r>
              <w:rPr>
                <w:rFonts w:hint="eastAsia"/>
                <w:sz w:val="24"/>
              </w:rPr>
              <w:t>（3）</w:t>
            </w:r>
            <w:r>
              <w:rPr>
                <w:rFonts w:hint="default"/>
                <w:sz w:val="24"/>
              </w:rPr>
              <w:t>与《南通市2023年度生态环境分区管控动态更新成果公告》相符性分析</w:t>
            </w:r>
          </w:p>
          <w:p>
            <w:pPr>
              <w:pStyle w:val="58"/>
              <w:keepNext w:val="0"/>
              <w:keepLines w:val="0"/>
              <w:suppressLineNumbers w:val="0"/>
              <w:spacing w:before="0" w:beforeAutospacing="0" w:after="0" w:afterAutospacing="0"/>
              <w:ind w:left="0" w:right="0" w:firstLine="0" w:firstLineChars="0"/>
              <w:rPr>
                <w:rFonts w:hint="default"/>
                <w:b/>
                <w:sz w:val="24"/>
                <w:szCs w:val="24"/>
              </w:rPr>
            </w:pPr>
            <w:r>
              <w:rPr>
                <w:rFonts w:hint="default"/>
                <w:b/>
                <w:sz w:val="24"/>
                <w:szCs w:val="24"/>
              </w:rPr>
              <w:t>表1-</w:t>
            </w:r>
            <w:r>
              <w:rPr>
                <w:rFonts w:hint="eastAsia"/>
                <w:b/>
                <w:sz w:val="24"/>
                <w:szCs w:val="24"/>
                <w:lang w:val="en-US" w:eastAsia="zh-CN"/>
              </w:rPr>
              <w:t>6</w:t>
            </w:r>
            <w:r>
              <w:rPr>
                <w:rFonts w:hint="default"/>
                <w:b/>
                <w:sz w:val="24"/>
                <w:szCs w:val="24"/>
              </w:rPr>
              <w:t xml:space="preserve"> 与《南通市2023年生态环境分区管控动态更新成果公告》相符性</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4875"/>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管控</w:t>
                  </w:r>
                </w:p>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类别</w:t>
                  </w:r>
                </w:p>
              </w:tc>
              <w:tc>
                <w:tcPr>
                  <w:tcW w:w="326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管控要求</w:t>
                  </w:r>
                </w:p>
              </w:tc>
              <w:tc>
                <w:tcPr>
                  <w:tcW w:w="110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空间布局约束</w:t>
                  </w:r>
                </w:p>
              </w:tc>
              <w:tc>
                <w:tcPr>
                  <w:tcW w:w="3264" w:type="pct"/>
                  <w:tcBorders>
                    <w:tl2br w:val="nil"/>
                    <w:tr2bl w:val="nil"/>
                  </w:tcBorders>
                  <w:vAlign w:val="center"/>
                </w:tcPr>
                <w:p>
                  <w:pPr>
                    <w:keepNext w:val="0"/>
                    <w:keepLines w:val="0"/>
                    <w:numPr>
                      <w:ilvl w:val="0"/>
                      <w:numId w:val="5"/>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落实国土空间总体规划，严守生态保护红线，陆域生态保护红线53.4917平方公里，海洋生态保护红线2480.777平方公里。南通市生态空间管控区域面积1532.87平方公里。</w:t>
                  </w:r>
                </w:p>
                <w:p>
                  <w:pPr>
                    <w:pStyle w:val="102"/>
                    <w:keepNext w:val="0"/>
                    <w:keepLines w:val="0"/>
                    <w:widowControl/>
                    <w:numPr>
                      <w:ilvl w:val="0"/>
                      <w:numId w:val="5"/>
                    </w:numPr>
                    <w:suppressLineNumbers w:val="0"/>
                    <w:spacing w:before="0" w:beforeAutospacing="0" w:after="0" w:afterAutospacing="0"/>
                    <w:ind w:left="0" w:right="0"/>
                    <w:rPr>
                      <w:rFonts w:hint="default" w:ascii="Times New Roman"/>
                      <w:szCs w:val="21"/>
                    </w:rPr>
                  </w:pPr>
                  <w:r>
                    <w:rPr>
                      <w:rFonts w:hint="default" w:ascii="Times New Roman"/>
                      <w:szCs w:val="21"/>
                    </w:rPr>
                    <w:t>严格执行《（长江经济带发展负面清单指南）江苏省实施细则（试行）》；禁止引进引入《南通市工业结构调整指导目录》淘汰类的产品、列入《南通市工业产业技术改造负面清单》严格禁止的技术改造工艺装备及产品。</w:t>
                  </w:r>
                </w:p>
                <w:p>
                  <w:pPr>
                    <w:pStyle w:val="102"/>
                    <w:keepNext w:val="0"/>
                    <w:keepLines w:val="0"/>
                    <w:widowControl/>
                    <w:numPr>
                      <w:ilvl w:val="0"/>
                      <w:numId w:val="5"/>
                    </w:numPr>
                    <w:suppressLineNumbers w:val="0"/>
                    <w:spacing w:before="0" w:beforeAutospacing="0" w:after="0" w:afterAutospacing="0"/>
                    <w:ind w:left="0" w:right="0"/>
                    <w:rPr>
                      <w:rFonts w:hint="default" w:ascii="Times New Roman"/>
                      <w:szCs w:val="21"/>
                    </w:rPr>
                  </w:pPr>
                  <w:r>
                    <w:rPr>
                      <w:rFonts w:hint="default" w:ascii="Times New Roman"/>
                      <w:szCs w:val="21"/>
                    </w:rPr>
                    <w:t>根据《省政府关于加强全省化工园区化工集中区规范化管理的通知》（苏政发〔2020〕94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存在新上医药中间体、农药中间体、染料中间体项目（具有自主知识产权的关键中间体及高产出、低污染项目除外，分别由科技部门和环保部门认定）。沿江化工园区不再新建农药、染料化工企业。</w:t>
                  </w:r>
                </w:p>
                <w:p>
                  <w:pPr>
                    <w:pStyle w:val="102"/>
                    <w:keepNext w:val="0"/>
                    <w:keepLines w:val="0"/>
                    <w:widowControl/>
                    <w:numPr>
                      <w:ilvl w:val="0"/>
                      <w:numId w:val="5"/>
                    </w:numPr>
                    <w:suppressLineNumbers w:val="0"/>
                    <w:spacing w:before="0" w:beforeAutospacing="0" w:after="0" w:afterAutospacing="0"/>
                    <w:ind w:left="0" w:right="0"/>
                    <w:rPr>
                      <w:rFonts w:hint="default" w:ascii="Times New Roman"/>
                      <w:szCs w:val="21"/>
                    </w:rPr>
                  </w:pPr>
                  <w:r>
                    <w:rPr>
                      <w:rFonts w:hint="default" w:ascii="Times New Roman"/>
                      <w:szCs w:val="21"/>
                    </w:rPr>
                    <w:t>落实《市政府办公室印发〈关于进一步促进全市乡镇工业集聚区高质量发展的实施意见〉的通知》（通政办发〔2022〕70号），严格控制新增集聚区，推动园区外企业入园进区。除保障农村一二三产业融合发展所需项目外，对招商中不符合规划的项目实行一票否决，各地不得为项目随意调整规划。</w:t>
                  </w:r>
                </w:p>
                <w:p>
                  <w:pPr>
                    <w:pStyle w:val="102"/>
                    <w:keepNext w:val="0"/>
                    <w:keepLines w:val="0"/>
                    <w:widowControl/>
                    <w:numPr>
                      <w:ilvl w:val="0"/>
                      <w:numId w:val="5"/>
                    </w:numPr>
                    <w:suppressLineNumbers w:val="0"/>
                    <w:spacing w:before="0" w:beforeAutospacing="0" w:after="0" w:afterAutospacing="0"/>
                    <w:ind w:left="0" w:right="0"/>
                    <w:rPr>
                      <w:rFonts w:hint="default" w:ascii="Times New Roman"/>
                      <w:szCs w:val="21"/>
                    </w:rPr>
                  </w:pPr>
                  <w:r>
                    <w:rPr>
                      <w:rFonts w:hint="default" w:ascii="Times New Roman"/>
                      <w:szCs w:val="21"/>
                    </w:rPr>
                    <w:t>落实《市政府办公室关于印发南通市减污降碳协同增效三年行动计划（2023—2025年）的通知》（通政办发〔2023〕24号），实施“两高”项目清单化管理，推进沿江产业转型和沿海钢铁石化产业布局，推动落后和过剩产能退出。加快工业领域低碳工艺革新，全面提升船舶海工、新材料、建筑等重点行业数字化水平。推动生态环保产业与5G、人工智能、区块链等创新技术融合发展，构建自主可控、安全可靠的绿色产业链。</w:t>
                  </w:r>
                </w:p>
                <w:p>
                  <w:pPr>
                    <w:pStyle w:val="102"/>
                    <w:keepNext w:val="0"/>
                    <w:keepLines w:val="0"/>
                    <w:widowControl/>
                    <w:numPr>
                      <w:ilvl w:val="0"/>
                      <w:numId w:val="5"/>
                    </w:numPr>
                    <w:suppressLineNumbers w:val="0"/>
                    <w:spacing w:before="0" w:beforeAutospacing="0" w:after="0" w:afterAutospacing="0"/>
                    <w:ind w:left="0" w:right="0"/>
                    <w:rPr>
                      <w:rFonts w:hint="default" w:ascii="Times New Roman"/>
                      <w:szCs w:val="21"/>
                    </w:rPr>
                  </w:pPr>
                  <w:r>
                    <w:rPr>
                      <w:rFonts w:hint="default" w:ascii="Times New Roman"/>
                      <w:szCs w:val="21"/>
                    </w:rPr>
                    <w:t>落实《自然资源部国家发展改革委农业农村部关于保障和规范农村一二三产业融合发展用地的通知》（自然资发〔2021〕16号）要求，引导农村产业在县域范围内统筹布局，规模较大、工业化程度高、分散布局配套设施成本高的产业项目要进产业园区；具有一定规模的农产品加工要向县域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w:t>
                  </w:r>
                  <w:r>
                    <w:rPr>
                      <w:rFonts w:hint="eastAsia" w:ascii="Times New Roman"/>
                      <w:szCs w:val="21"/>
                      <w:lang w:eastAsia="zh-CN"/>
                    </w:rPr>
                    <w:t>的</w:t>
                  </w:r>
                  <w:r>
                    <w:rPr>
                      <w:rFonts w:hint="default" w:ascii="Times New Roman"/>
                      <w:szCs w:val="21"/>
                    </w:rPr>
                    <w:t>配套设施建设，可在不占用永久基本农田和生态保护红线、不突破国土空间规划建设用地指标等约束条件，不破坏生态环境和乡村风貌的前提下，在村庄建设边界外安排少量建设用地，实行比例和面积控制，并依法办理农用地转用审批和供地手续。</w:t>
                  </w:r>
                </w:p>
              </w:tc>
              <w:tc>
                <w:tcPr>
                  <w:tcW w:w="1109" w:type="pct"/>
                  <w:tcBorders>
                    <w:tl2br w:val="nil"/>
                    <w:tr2bl w:val="nil"/>
                  </w:tcBorders>
                  <w:vAlign w:val="center"/>
                </w:tcPr>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本项目所在地不在生态管控区域范围内，项目建设符合生态红线相关管控要求，不会导致如皋市生态红线区域生产服务功能下降；</w:t>
                  </w:r>
                </w:p>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本项目不使用限制淘汰类工艺装备；</w:t>
                  </w:r>
                </w:p>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本项目不涉及化工；</w:t>
                  </w:r>
                </w:p>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w:t>
                  </w:r>
                  <w:r>
                    <w:rPr>
                      <w:rFonts w:hint="eastAsia"/>
                      <w:szCs w:val="21"/>
                      <w:lang w:val="en-US" w:eastAsia="zh-CN"/>
                    </w:rPr>
                    <w:t>利用现有闲置厂房，不新增用地，位于磨头镇智能制造产业园区范围内</w:t>
                  </w:r>
                  <w:r>
                    <w:rPr>
                      <w:rFonts w:hint="default"/>
                      <w:szCs w:val="21"/>
                    </w:rPr>
                    <w:t>；</w:t>
                  </w:r>
                </w:p>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本项目不属于“两高”项目；</w:t>
                  </w:r>
                </w:p>
                <w:p>
                  <w:pPr>
                    <w:keepNext w:val="0"/>
                    <w:keepLines w:val="0"/>
                    <w:numPr>
                      <w:ilvl w:val="0"/>
                      <w:numId w:val="6"/>
                    </w:numPr>
                    <w:suppressLineNumbers w:val="0"/>
                    <w:adjustRightInd w:val="0"/>
                    <w:snapToGrid w:val="0"/>
                    <w:spacing w:before="0" w:beforeAutospacing="0" w:after="0" w:afterAutospacing="0"/>
                    <w:ind w:left="0" w:right="0"/>
                    <w:jc w:val="center"/>
                    <w:rPr>
                      <w:rFonts w:hint="default"/>
                      <w:szCs w:val="21"/>
                    </w:rPr>
                  </w:pPr>
                  <w:r>
                    <w:rPr>
                      <w:rFonts w:hint="default"/>
                      <w:szCs w:val="21"/>
                    </w:rPr>
                    <w:t>本项目选址位于城镇开发边界，不涉及基本农田及生态红线。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污染物排放管控</w:t>
                  </w:r>
                </w:p>
              </w:tc>
              <w:tc>
                <w:tcPr>
                  <w:tcW w:w="3264" w:type="pct"/>
                  <w:tcBorders>
                    <w:tl2br w:val="nil"/>
                    <w:tr2bl w:val="nil"/>
                  </w:tcBorders>
                  <w:vAlign w:val="center"/>
                </w:tcPr>
                <w:p>
                  <w:pPr>
                    <w:keepNext w:val="0"/>
                    <w:keepLines w:val="0"/>
                    <w:numPr>
                      <w:ilvl w:val="0"/>
                      <w:numId w:val="7"/>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keepNext w:val="0"/>
                    <w:keepLines w:val="0"/>
                    <w:numPr>
                      <w:ilvl w:val="0"/>
                      <w:numId w:val="7"/>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2.5）年平均浓度不达标的地区，二氧化硫、氮氧化物、烟粉尘、挥发性有机物四项污染物均需进行2倍削减替代（燃煤发电机组大气污染物排放浓度基本达到燃气轮机组排放限值的除外）。</w:t>
                  </w:r>
                </w:p>
                <w:p>
                  <w:pPr>
                    <w:keepNext w:val="0"/>
                    <w:keepLines w:val="0"/>
                    <w:numPr>
                      <w:ilvl w:val="0"/>
                      <w:numId w:val="7"/>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落实《省政府办公厅关于印发江苏省排污权有偿使用和交易管理暂行办法的通知》（苏政办发〔2017〕115号）及配套的实施细则中，关于新、改扩建项目获得排污权指标的相关要求。</w:t>
                  </w:r>
                </w:p>
                <w:p>
                  <w:pPr>
                    <w:keepNext w:val="0"/>
                    <w:keepLines w:val="0"/>
                    <w:numPr>
                      <w:ilvl w:val="0"/>
                      <w:numId w:val="7"/>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南通市减污降碳协同增效三年行动计划（2023—2025年）》（通政办发〔2023〕24号），升级产业结构，健全绿色交通运输体系，单位GDP二氧化碳排放下降率力争超额完成省定目标。完善园区排污总量与环境质量挂钩的动态分配机制，构建市、县、园区三级总量管理体系，促进排污指标优化配置，差异化保障市级以上重大项目，实施污染物排放浓度和总量“双控”。</w:t>
                  </w:r>
                </w:p>
              </w:tc>
              <w:tc>
                <w:tcPr>
                  <w:tcW w:w="110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本项目排污许可为登记管理，无需总量平衡，项目建设不会突破区域生态环境承载力</w:t>
                  </w:r>
                  <w:r>
                    <w:rPr>
                      <w:rFonts w:hint="default"/>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环境风险防控</w:t>
                  </w:r>
                </w:p>
              </w:tc>
              <w:tc>
                <w:tcPr>
                  <w:tcW w:w="3264" w:type="pct"/>
                  <w:tcBorders>
                    <w:tl2br w:val="nil"/>
                    <w:tr2bl w:val="nil"/>
                  </w:tcBorders>
                  <w:vAlign w:val="center"/>
                </w:tcPr>
                <w:p>
                  <w:pPr>
                    <w:keepNext w:val="0"/>
                    <w:keepLines w:val="0"/>
                    <w:numPr>
                      <w:ilvl w:val="0"/>
                      <w:numId w:val="8"/>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落实《南通市突发环境事件应急预案（2020年修订版）》（通政办发〔2020〕46号）。</w:t>
                  </w:r>
                </w:p>
                <w:p>
                  <w:pPr>
                    <w:keepNext w:val="0"/>
                    <w:keepLines w:val="0"/>
                    <w:numPr>
                      <w:ilvl w:val="0"/>
                      <w:numId w:val="8"/>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p>
                  <w:pPr>
                    <w:keepNext w:val="0"/>
                    <w:keepLines w:val="0"/>
                    <w:numPr>
                      <w:ilvl w:val="0"/>
                      <w:numId w:val="8"/>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市政府办公室关于印发南通市减污降碳协同增效三年行动计划（2023—2025年）的通知》（通政办发〔2023〕24号），完善空气质量异常预警管控、重污染天气应急管控机制，严格落实应急减排措施清单化管理，基于环境绩效推动重点行业企业错峰生产，确保污染缩时削峰。推进土壤污染重点监管单位隐患排查，严格防范关闭搬迁化工企业拆除活动可能造成的土壤污染风险。</w:t>
                  </w:r>
                </w:p>
              </w:tc>
              <w:tc>
                <w:tcPr>
                  <w:tcW w:w="110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rPr>
                      <w:rFonts w:hint="default"/>
                      <w:szCs w:val="21"/>
                    </w:rPr>
                  </w:pPr>
                  <w:r>
                    <w:rPr>
                      <w:rFonts w:hint="default"/>
                      <w:szCs w:val="21"/>
                    </w:rPr>
                    <w:t>本项目建成后将制定环境风险应急预案，同时企业内储备有足够的环境应急物资，实现环境风险联防联控，故能满足环境风险防控的相关要求。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p>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资源利用效率要求</w:t>
                  </w:r>
                </w:p>
              </w:tc>
              <w:tc>
                <w:tcPr>
                  <w:tcW w:w="3264" w:type="pct"/>
                  <w:tcBorders>
                    <w:tl2br w:val="nil"/>
                    <w:tr2bl w:val="nil"/>
                  </w:tcBorders>
                  <w:vAlign w:val="center"/>
                </w:tcPr>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根据《中华人民共和国大气污染防治法》，禁燃区禁止新建、扩建燃用高污染燃料的项目和设施，已建成的应逐步或依法限期改用天然气、电或者其他清洁能源。</w:t>
                  </w:r>
                </w:p>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落实《市政府办公室印发〈关于进一步促进全市乡镇工业集聚区高质量发展的实施意见〉的通知》（通政办发〔2022〕70号），原则上，</w:t>
                  </w:r>
                  <w:r>
                    <w:rPr>
                      <w:rFonts w:hint="default"/>
                      <w:color w:val="auto"/>
                      <w:szCs w:val="21"/>
                      <w:highlight w:val="none"/>
                    </w:rPr>
                    <w:t>集聚区新上工业项目的亩均固定资产投资一般不低于250万元，亩均税收一般不低于15万元。结合国土空间总体规划及产业发展规划，进一步优</w:t>
                  </w:r>
                  <w:r>
                    <w:rPr>
                      <w:rFonts w:hint="default"/>
                      <w:szCs w:val="21"/>
                    </w:rPr>
                    <w:t>化配置土地资源，对不符合产业政策、位于城镇开发边界外较为碎片化的散乱污、低效产业、僵尸企业用地实施有计划盘活，归并入园区统筹利用，实现布局优化、“化零为整”。</w:t>
                  </w:r>
                </w:p>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落实《市政府办公室关于印发南通市减污降碳协同增效三年行动计划（2023—2025年）的通知》（通政办发〔2023〕24号），加强岸线动态监管，严禁工贸和港口企业无序占用港口岸线。严控煤炭消费总量，严禁新（扩）建燃煤自备电厂，新建燃煤发电机组达到煤炭清洁高效利用标杆水平，2025年底前现有机组达到标杆水平。</w:t>
                  </w:r>
                </w:p>
                <w:p>
                  <w:pPr>
                    <w:keepNext w:val="0"/>
                    <w:keepLines w:val="0"/>
                    <w:numPr>
                      <w:ilvl w:val="0"/>
                      <w:numId w:val="9"/>
                    </w:numPr>
                    <w:suppressLineNumbers w:val="0"/>
                    <w:adjustRightInd w:val="0"/>
                    <w:snapToGrid w:val="0"/>
                    <w:spacing w:before="0" w:beforeAutospacing="0" w:after="0" w:afterAutospacing="0"/>
                    <w:ind w:left="0" w:right="0" w:firstLine="420" w:firstLineChars="200"/>
                    <w:rPr>
                      <w:rFonts w:hint="default"/>
                      <w:szCs w:val="21"/>
                    </w:rPr>
                  </w:pPr>
                  <w:r>
                    <w:rPr>
                      <w:rFonts w:hint="default"/>
                      <w:szCs w:val="21"/>
                    </w:rPr>
                    <w:t>根据《省最严格水资源管理考核和节约用水工作联席会议办公室关于下达2023年度实行最严格水资源管理制度目标任务的通知》（苏水办资联﹝2023﹞2号），2023年南通市地下水用水总量为2800万立方米。</w:t>
                  </w:r>
                </w:p>
              </w:tc>
              <w:tc>
                <w:tcPr>
                  <w:tcW w:w="110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本项目不涉及燃料；不属于化工项目；不使用地下水资源；本项目亩均</w:t>
                  </w:r>
                  <w:r>
                    <w:rPr>
                      <w:rFonts w:hint="eastAsia"/>
                      <w:szCs w:val="21"/>
                      <w:lang w:val="en-US" w:eastAsia="zh-CN"/>
                    </w:rPr>
                    <w:t>固定资产投资为294万元，亩均税收24.4万元，</w:t>
                  </w:r>
                  <w:r>
                    <w:rPr>
                      <w:rFonts w:hint="eastAsia"/>
                      <w:szCs w:val="21"/>
                    </w:rPr>
                    <w:t>达到当地要求。</w:t>
                  </w:r>
                </w:p>
              </w:tc>
            </w:tr>
          </w:tbl>
          <w:p>
            <w:pPr>
              <w:keepNext w:val="0"/>
              <w:keepLines w:val="0"/>
              <w:suppressLineNumbers w:val="0"/>
              <w:spacing w:before="0" w:beforeAutospacing="0" w:after="0" w:afterAutospacing="0" w:line="360" w:lineRule="auto"/>
              <w:ind w:left="0" w:right="0" w:firstLine="480" w:firstLineChars="200"/>
              <w:rPr>
                <w:rFonts w:hint="default"/>
                <w:sz w:val="24"/>
              </w:rPr>
            </w:pPr>
            <w:r>
              <w:rPr>
                <w:rFonts w:hint="default"/>
                <w:sz w:val="24"/>
              </w:rPr>
              <w:t>由上表可知，本项目建设符合《南通市2023年生态环境分区管控动态更新成果公告》中对南通市市域生态环境重点管控的要求。</w:t>
            </w:r>
          </w:p>
          <w:p>
            <w:pPr>
              <w:keepNext w:val="0"/>
              <w:keepLines w:val="0"/>
              <w:suppressLineNumbers w:val="0"/>
              <w:spacing w:before="0" w:beforeAutospacing="0" w:after="0" w:afterAutospacing="0" w:line="360" w:lineRule="auto"/>
              <w:ind w:left="0" w:right="0" w:firstLine="480" w:firstLineChars="200"/>
              <w:rPr>
                <w:rFonts w:hint="default"/>
                <w:b/>
                <w:bCs/>
                <w:sz w:val="24"/>
              </w:rPr>
            </w:pPr>
            <w:r>
              <w:rPr>
                <w:rFonts w:hint="eastAsia"/>
                <w:sz w:val="24"/>
              </w:rPr>
              <w:t>（4）</w:t>
            </w:r>
            <w:r>
              <w:rPr>
                <w:rFonts w:hint="default"/>
                <w:sz w:val="24"/>
              </w:rPr>
              <w:t>与生态环境管控单元相符性分析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val="en-US" w:eastAsia="zh-CN"/>
              </w:rPr>
            </w:pPr>
            <w:r>
              <w:rPr>
                <w:rFonts w:hint="default"/>
                <w:sz w:val="24"/>
              </w:rPr>
              <w:t>对照江苏省生态环境厅关于江苏省2023年度生态分区管控动态更新成果公告（查询结果见附件</w:t>
            </w:r>
            <w:r>
              <w:rPr>
                <w:rFonts w:hint="eastAsia"/>
                <w:sz w:val="24"/>
                <w:lang w:val="en-US" w:eastAsia="zh-CN"/>
              </w:rPr>
              <w:t>9</w:t>
            </w:r>
            <w:r>
              <w:rPr>
                <w:rFonts w:hint="default"/>
                <w:sz w:val="24"/>
              </w:rPr>
              <w:t>，属于</w:t>
            </w:r>
            <w:r>
              <w:rPr>
                <w:rFonts w:hint="eastAsia"/>
                <w:sz w:val="24"/>
              </w:rPr>
              <w:t>重点</w:t>
            </w:r>
            <w:r>
              <w:rPr>
                <w:rFonts w:hint="default"/>
                <w:sz w:val="24"/>
              </w:rPr>
              <w:t>管控单元），本项目与</w:t>
            </w:r>
            <w:r>
              <w:rPr>
                <w:rFonts w:hint="eastAsia"/>
                <w:sz w:val="24"/>
                <w:lang w:eastAsia="zh-CN"/>
              </w:rPr>
              <w:t>磨头镇智能制造产业园区</w:t>
            </w:r>
            <w:r>
              <w:rPr>
                <w:rFonts w:hint="default"/>
                <w:sz w:val="24"/>
              </w:rPr>
              <w:t>生态环境分区管控方案相符性见表1-</w:t>
            </w:r>
            <w:r>
              <w:rPr>
                <w:rFonts w:hint="eastAsia"/>
                <w:sz w:val="24"/>
                <w:lang w:val="en-US" w:eastAsia="zh-CN"/>
              </w:rPr>
              <w:t>7</w:t>
            </w:r>
            <w:r>
              <w:rPr>
                <w:rFonts w:hint="default"/>
                <w:sz w:val="24"/>
              </w:rPr>
              <w:t>。</w:t>
            </w:r>
          </w:p>
          <w:p>
            <w:pPr>
              <w:pStyle w:val="88"/>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sz w:val="24"/>
                <w:szCs w:val="24"/>
              </w:rPr>
            </w:pPr>
            <w:r>
              <w:rPr>
                <w:rFonts w:hint="eastAsia" w:ascii="Times New Roman" w:hAnsi="Times New Roman" w:cs="Times New Roman"/>
                <w:b/>
                <w:bCs/>
                <w:sz w:val="24"/>
                <w:szCs w:val="24"/>
              </w:rPr>
              <w:t>表</w:t>
            </w:r>
            <w:r>
              <w:rPr>
                <w:rFonts w:hint="eastAsia" w:ascii="Times New Roman" w:hAnsi="Times New Roman" w:cs="Times New Roman"/>
                <w:b/>
                <w:bCs/>
                <w:sz w:val="24"/>
                <w:szCs w:val="24"/>
                <w:lang w:val="en-US" w:eastAsia="zh-CN"/>
              </w:rPr>
              <w:t>1-</w:t>
            </w:r>
            <w:r>
              <w:rPr>
                <w:rFonts w:hint="eastAsia" w:cs="Times New Roman"/>
                <w:b/>
                <w:bCs/>
                <w:sz w:val="24"/>
                <w:szCs w:val="24"/>
                <w:lang w:val="en-US" w:eastAsia="zh-CN"/>
              </w:rPr>
              <w:t>7</w:t>
            </w:r>
            <w:r>
              <w:rPr>
                <w:rFonts w:hint="eastAsia" w:ascii="Times New Roman" w:hAnsi="Times New Roman" w:cs="Times New Roman"/>
                <w:b/>
                <w:bCs/>
                <w:sz w:val="24"/>
                <w:szCs w:val="24"/>
              </w:rPr>
              <w:t xml:space="preserve"> 与</w:t>
            </w:r>
            <w:r>
              <w:rPr>
                <w:rFonts w:hint="eastAsia" w:cs="Times New Roman"/>
                <w:b/>
                <w:bCs/>
                <w:sz w:val="24"/>
                <w:szCs w:val="24"/>
                <w:lang w:val="en-US" w:eastAsia="zh-CN"/>
              </w:rPr>
              <w:t>如皋市磨头镇</w:t>
            </w:r>
            <w:r>
              <w:rPr>
                <w:rFonts w:hint="eastAsia" w:ascii="Times New Roman" w:hAnsi="Times New Roman" w:cs="Times New Roman"/>
                <w:b/>
                <w:bCs/>
                <w:sz w:val="24"/>
                <w:szCs w:val="24"/>
                <w:lang w:val="en-US" w:eastAsia="zh-CN"/>
              </w:rPr>
              <w:t>重点</w:t>
            </w:r>
            <w:r>
              <w:rPr>
                <w:rFonts w:hint="eastAsia" w:ascii="Times New Roman" w:hAnsi="Times New Roman" w:cs="Times New Roman"/>
                <w:b/>
                <w:bCs/>
                <w:sz w:val="24"/>
                <w:szCs w:val="24"/>
              </w:rPr>
              <w:t>管控单元生态环境准入清单相符性分析</w:t>
            </w:r>
          </w:p>
          <w:tbl>
            <w:tblPr>
              <w:tblStyle w:val="27"/>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4475"/>
              <w:gridCol w:w="1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管控类别</w:t>
                  </w:r>
                </w:p>
              </w:tc>
              <w:tc>
                <w:tcPr>
                  <w:tcW w:w="299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重点</w:t>
                  </w:r>
                  <w:r>
                    <w:rPr>
                      <w:rFonts w:hint="default" w:ascii="Times New Roman" w:hAnsi="Times New Roman" w:cs="Times New Roman"/>
                      <w:b/>
                      <w:bCs/>
                      <w:sz w:val="21"/>
                      <w:szCs w:val="21"/>
                    </w:rPr>
                    <w:t>管控</w:t>
                  </w:r>
                  <w:r>
                    <w:rPr>
                      <w:rFonts w:hint="eastAsia" w:ascii="Times New Roman" w:hAnsi="Times New Roman" w:cs="Times New Roman"/>
                      <w:b/>
                      <w:bCs/>
                      <w:sz w:val="21"/>
                      <w:szCs w:val="21"/>
                      <w:lang w:val="en-US" w:eastAsia="zh-CN"/>
                    </w:rPr>
                    <w:t>单元</w:t>
                  </w:r>
                  <w:r>
                    <w:rPr>
                      <w:rFonts w:hint="default" w:ascii="Times New Roman" w:hAnsi="Times New Roman" w:cs="Times New Roman"/>
                      <w:b/>
                      <w:bCs/>
                      <w:sz w:val="21"/>
                      <w:szCs w:val="21"/>
                    </w:rPr>
                    <w:t>要求</w:t>
                  </w:r>
                </w:p>
              </w:tc>
              <w:tc>
                <w:tcPr>
                  <w:tcW w:w="12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1"/>
                      <w:szCs w:val="21"/>
                    </w:rPr>
                  </w:pPr>
                  <w:r>
                    <w:rPr>
                      <w:rFonts w:hint="eastAsia" w:ascii="Times New Roman" w:hAnsi="Times New Roman" w:cs="Times New Roman"/>
                      <w:b/>
                      <w:bCs/>
                      <w:sz w:val="21"/>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空间布局约束</w:t>
                  </w:r>
                </w:p>
              </w:tc>
              <w:tc>
                <w:tcPr>
                  <w:tcW w:w="299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rPr>
                  </w:pPr>
                  <w:r>
                    <w:rPr>
                      <w:rFonts w:hint="eastAsia" w:ascii="Times New Roman" w:hAnsi="Times New Roman" w:cs="Times New Roman"/>
                      <w:sz w:val="21"/>
                      <w:szCs w:val="21"/>
                    </w:rPr>
                    <w:t>1.重点发展模具制造、机械电子产业。</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2.按照《产业结构调整指导目录》和《江苏省产业结构目录》的要求，禁止引入高能耗、不符合产业政策、重污染的项目。</w:t>
                  </w:r>
                </w:p>
              </w:tc>
              <w:tc>
                <w:tcPr>
                  <w:tcW w:w="12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本项目为〔</w:t>
                  </w:r>
                  <w:r>
                    <w:rPr>
                      <w:rFonts w:hint="eastAsia" w:cs="Times New Roman"/>
                      <w:sz w:val="21"/>
                      <w:szCs w:val="21"/>
                      <w:lang w:eastAsia="zh-CN"/>
                    </w:rPr>
                    <w:t>C2922</w:t>
                  </w:r>
                  <w:r>
                    <w:rPr>
                      <w:rFonts w:hint="eastAsia" w:ascii="Times New Roman" w:hAnsi="Times New Roman" w:cs="Times New Roman"/>
                      <w:sz w:val="21"/>
                      <w:szCs w:val="21"/>
                    </w:rPr>
                    <w:t>〕</w:t>
                  </w:r>
                  <w:r>
                    <w:rPr>
                      <w:rFonts w:hint="eastAsia" w:cs="Times New Roman"/>
                      <w:sz w:val="21"/>
                      <w:szCs w:val="21"/>
                      <w:lang w:eastAsia="zh-CN"/>
                    </w:rPr>
                    <w:t>塑料板、管、型材制造</w:t>
                  </w:r>
                  <w:r>
                    <w:rPr>
                      <w:rFonts w:hint="eastAsia" w:ascii="Times New Roman" w:hAnsi="Times New Roman" w:cs="Times New Roman"/>
                      <w:sz w:val="21"/>
                      <w:szCs w:val="21"/>
                    </w:rPr>
                    <w:t>，</w:t>
                  </w:r>
                  <w:r>
                    <w:rPr>
                      <w:rFonts w:hint="eastAsia" w:cs="Times New Roman"/>
                      <w:sz w:val="21"/>
                      <w:szCs w:val="21"/>
                      <w:lang w:val="en-US" w:eastAsia="zh-CN"/>
                    </w:rPr>
                    <w:t>不属于禁止引入项目</w:t>
                  </w: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污染物排放管控</w:t>
                  </w:r>
                </w:p>
              </w:tc>
              <w:tc>
                <w:tcPr>
                  <w:tcW w:w="2996" w:type="pct"/>
                  <w:tcBorders>
                    <w:tl2br w:val="nil"/>
                    <w:tr2bl w:val="nil"/>
                  </w:tcBorders>
                  <w:noWrap w:val="0"/>
                  <w:vAlign w:val="center"/>
                </w:tcPr>
                <w:p>
                  <w:pPr>
                    <w:keepNext w:val="0"/>
                    <w:keepLines w:val="0"/>
                    <w:numPr>
                      <w:ilvl w:val="0"/>
                      <w:numId w:val="0"/>
                    </w:numPr>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实行污染物排放总量控制，污染物总量指标应满足区域内总量控制及污染物削减计划要求。</w:t>
                  </w:r>
                </w:p>
              </w:tc>
              <w:tc>
                <w:tcPr>
                  <w:tcW w:w="12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color w:val="000000"/>
                      <w:szCs w:val="21"/>
                    </w:rPr>
                    <w:t>本项目严格按照污染物总量控制的要求，项目建设不会突破区域生态环境承载力。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环境风险防控</w:t>
                  </w:r>
                </w:p>
              </w:tc>
              <w:tc>
                <w:tcPr>
                  <w:tcW w:w="299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建立健全区域风险防范体系和生态安全保障系统，园区和企业按要求制定并落实突发环境事件应急预案</w:t>
                  </w:r>
                  <w:r>
                    <w:rPr>
                      <w:rFonts w:hint="eastAsia" w:ascii="Times New Roman" w:hAnsi="Times New Roman" w:cs="Times New Roman"/>
                      <w:sz w:val="21"/>
                      <w:szCs w:val="21"/>
                    </w:rPr>
                    <w:t>控。</w:t>
                  </w:r>
                </w:p>
              </w:tc>
              <w:tc>
                <w:tcPr>
                  <w:tcW w:w="12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本项目位于江磨头镇工业园区内。项目建成后，企业将进一步完善厂区风险防范体系，补充一定数量的应急救援物资，及时修订突发环境事件应急预案，并定期组织演练，定期进行突发环境事件隐患排查，项目环境风险可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rPr>
                    <w:t>资源利用效率要求</w:t>
                  </w:r>
                </w:p>
              </w:tc>
              <w:tc>
                <w:tcPr>
                  <w:tcW w:w="2996" w:type="pct"/>
                  <w:tcBorders>
                    <w:tl2br w:val="nil"/>
                    <w:tr2bl w:val="nil"/>
                  </w:tcBorders>
                  <w:noWrap w:val="0"/>
                  <w:vAlign w:val="center"/>
                </w:tcPr>
                <w:p>
                  <w:pPr>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1.入区企业按照《涂装行业清洁生产评价指标体系》、《机械制造清洁生产评价指标体系（试行）》等清洁生产标准中资源和能源消耗指标来进行控制，单位产品能耗、物耗、污染物排放和资源利用率均需达到同行业国际先进水平。</w:t>
                  </w:r>
                </w:p>
                <w:p>
                  <w:pPr>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严格执行《关于划定高污染燃料禁燃区的通知》（皋政发〔2013〕162号）的相关要求，落实相应的禁燃区管控要求。禁止销售使用燃料为“Ⅱ类”（较严），具体包括：除单台出力大于等于20蒸吨/小时锅炉以外燃用的煤炭及其制品；石油焦、油页岩、原油、重油、渣油、煤焦油。</w:t>
                  </w:r>
                </w:p>
              </w:tc>
              <w:tc>
                <w:tcPr>
                  <w:tcW w:w="12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1.本项目建设按照清洁生产中资源和能源消耗指标来进行控制，单位产品能耗、物耗、污染物排放和资源利用率可达到同行业国际先进水平。</w:t>
                  </w:r>
                </w:p>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2.本项目生产不涉及高污染的燃料</w:t>
                  </w:r>
                  <w:r>
                    <w:rPr>
                      <w:rFonts w:hint="default" w:ascii="Times New Roman" w:hAnsi="Times New Roman" w:cs="Times New Roman"/>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4</w:t>
            </w:r>
            <w:r>
              <w:rPr>
                <w:rFonts w:hint="default" w:ascii="Times New Roman" w:hAnsi="Times New Roman" w:cs="Times New Roman"/>
                <w:b/>
                <w:bCs/>
                <w:color w:val="000000"/>
                <w:sz w:val="24"/>
                <w:szCs w:val="24"/>
                <w:lang w:val="en-US" w:eastAsia="zh-CN"/>
              </w:rPr>
              <w:t>、与相关环保政策相符性</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（1）与市政府办公室印发《南通市关于加强减污降碳协同推进重点行业绿色发展的指导意见》的通知（通办〔2024〕6号）相符性分析</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根据《南通市关于加强减污降碳协同推进重点行业绿色发展的指导意见》（通办〔2024〕6号）：到2025年，全市产业结构和能源消费结构明显优化，绿色发展水平显著提升，产业链耦合共生、资源能源高效利用的绿色低碳循环体系初步建立，产业绿色发展的体制机制逐步完善，主要污染物排放总量明显减少，碳排放强度合理优化，生态环境持续改善，美丽南通建设成效初步显现。</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传统行业绿色发展水平明显提升。进一步提升传统行业规范化水平，改进工艺技术，更新设备装置，提升污染防治能力，加大节能降碳力度，提高绿色电力（绿证）消费，腾退低效土地资源，树立一批行业转型标杆企业。</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新兴产业空间布局规划更加合理。引进一批清洁生产水平高、产业链耦合共生紧密的项目，形成产业绿色发展集群，实现沿江向沿海转移、主城区向郊区转移、由分散到集中的空间布局。</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资源能源利用更加集约高效。重点行业单位产品能耗、水耗、物耗及污染物排放持续下降，单位产品二氧化碳排放强度合理优化。重点行业单位增加值能耗水平持续下降，主要高耗能行业单位产品能耗达到国内先进水平。</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绿色产业发展机制体制日益健全。排污权、用水权、碳排放权等市场化交易制度更加完善，生态环境治理体系和治理能力现代化迈上新台阶。</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到2030年，产业绿色发展成为南通高质量发展“沧桑巨变”的重要组成部分，形成一批经济效益更突出、资源利用更高效的产业集群，经济高质量发展和生态环境高水平保护持续走在全省前列。</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000000"/>
                <w:sz w:val="24"/>
                <w:szCs w:val="24"/>
                <w:lang w:val="en-US" w:eastAsia="zh-CN"/>
              </w:rPr>
              <w:t>本项目</w:t>
            </w:r>
            <w:r>
              <w:rPr>
                <w:rFonts w:hint="eastAsia" w:ascii="Times New Roman" w:hAnsi="Times New Roman" w:eastAsia="宋体" w:cs="Times New Roman"/>
                <w:b w:val="0"/>
                <w:bCs w:val="0"/>
                <w:color w:val="000000"/>
                <w:sz w:val="24"/>
                <w:szCs w:val="24"/>
                <w:lang w:val="en-US" w:eastAsia="zh-CN"/>
              </w:rPr>
              <w:t>属于</w:t>
            </w:r>
            <w:r>
              <w:rPr>
                <w:rFonts w:hint="eastAsia" w:cs="Times New Roman"/>
                <w:b w:val="0"/>
                <w:bCs w:val="0"/>
                <w:color w:val="000000"/>
                <w:sz w:val="24"/>
                <w:szCs w:val="24"/>
                <w:lang w:val="en-US" w:eastAsia="zh-CN"/>
              </w:rPr>
              <w:t>塑料制品</w:t>
            </w:r>
            <w:r>
              <w:rPr>
                <w:rFonts w:hint="eastAsia" w:ascii="Times New Roman" w:hAnsi="Times New Roman" w:eastAsia="宋体" w:cs="Times New Roman"/>
                <w:b w:val="0"/>
                <w:bCs w:val="0"/>
                <w:color w:val="000000"/>
                <w:sz w:val="24"/>
                <w:szCs w:val="24"/>
                <w:lang w:val="en-US" w:eastAsia="zh-CN"/>
              </w:rPr>
              <w:t>业，</w:t>
            </w:r>
            <w:r>
              <w:rPr>
                <w:rFonts w:hint="default" w:ascii="Times New Roman" w:hAnsi="Times New Roman" w:eastAsia="宋体" w:cs="Times New Roman"/>
                <w:b w:val="0"/>
                <w:bCs w:val="0"/>
                <w:color w:val="000000"/>
                <w:sz w:val="24"/>
                <w:szCs w:val="24"/>
                <w:lang w:val="en-US" w:eastAsia="zh-CN"/>
              </w:rPr>
              <w:t>不属于印染、装备制造、电子信息、船舶海工、造纸、非金属制品、化工、电力与热力供应等高排放、高耗能重点行业，符合要求</w:t>
            </w:r>
            <w:r>
              <w:rPr>
                <w:rFonts w:hint="default" w:ascii="Times New Roman" w:hAnsi="Times New Roman" w:eastAsia="宋体" w:cs="Times New Roman"/>
                <w:b w:val="0"/>
                <w:bCs w:val="0"/>
                <w:color w:val="auto"/>
                <w:sz w:val="24"/>
                <w:szCs w:val="24"/>
                <w:lang w:val="en-US" w:eastAsia="zh-CN"/>
              </w:rPr>
              <w:t>。</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lang w:val="en-US" w:eastAsia="zh-CN"/>
              </w:rPr>
              <w:t>）与市政府办公室印发《如皋市关于加强减污降碳协同推进重点行业绿色发展的实施方案》的通知（皋</w:t>
            </w:r>
            <w:r>
              <w:rPr>
                <w:rFonts w:hint="eastAsia" w:ascii="Times New Roman" w:hAnsi="Times New Roman" w:eastAsia="宋体" w:cs="Times New Roman"/>
                <w:b/>
                <w:bCs/>
                <w:color w:val="000000"/>
                <w:sz w:val="24"/>
                <w:szCs w:val="24"/>
                <w:lang w:val="en-US" w:eastAsia="zh-CN"/>
              </w:rPr>
              <w:t>政</w:t>
            </w:r>
            <w:r>
              <w:rPr>
                <w:rFonts w:hint="default" w:ascii="Times New Roman" w:hAnsi="Times New Roman" w:eastAsia="宋体" w:cs="Times New Roman"/>
                <w:b/>
                <w:bCs/>
                <w:color w:val="000000"/>
                <w:sz w:val="24"/>
                <w:szCs w:val="24"/>
                <w:lang w:val="en-US" w:eastAsia="zh-CN"/>
              </w:rPr>
              <w:t>办</w:t>
            </w:r>
            <w:r>
              <w:rPr>
                <w:rFonts w:hint="eastAsia" w:ascii="Times New Roman" w:hAnsi="Times New Roman" w:eastAsia="宋体" w:cs="Times New Roman"/>
                <w:b/>
                <w:bCs/>
                <w:color w:val="000000"/>
                <w:sz w:val="24"/>
                <w:szCs w:val="24"/>
                <w:lang w:val="en-US" w:eastAsia="zh-CN"/>
              </w:rPr>
              <w:t>发</w:t>
            </w:r>
            <w:r>
              <w:rPr>
                <w:rFonts w:hint="default" w:ascii="Times New Roman" w:hAnsi="Times New Roman" w:eastAsia="宋体" w:cs="Times New Roman"/>
                <w:b/>
                <w:bCs/>
                <w:color w:val="000000"/>
                <w:sz w:val="24"/>
                <w:szCs w:val="24"/>
                <w:lang w:val="en-US" w:eastAsia="zh-CN"/>
              </w:rPr>
              <w:t>〔202</w:t>
            </w:r>
            <w:r>
              <w:rPr>
                <w:rFonts w:hint="eastAsia" w:ascii="Times New Roman" w:hAnsi="Times New Roman" w:eastAsia="宋体" w:cs="Times New Roman"/>
                <w:b/>
                <w:bCs/>
                <w:color w:val="000000"/>
                <w:sz w:val="24"/>
                <w:szCs w:val="24"/>
                <w:lang w:val="en-US" w:eastAsia="zh-CN"/>
              </w:rPr>
              <w:t>4</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85</w:t>
            </w:r>
            <w:r>
              <w:rPr>
                <w:rFonts w:hint="default" w:ascii="Times New Roman" w:hAnsi="Times New Roman" w:eastAsia="宋体" w:cs="Times New Roman"/>
                <w:b/>
                <w:bCs/>
                <w:color w:val="000000"/>
                <w:sz w:val="24"/>
                <w:szCs w:val="24"/>
                <w:lang w:val="en-US" w:eastAsia="zh-CN"/>
              </w:rPr>
              <w:t>号）相符性分析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lang w:eastAsia="zh-CN"/>
              </w:rPr>
            </w:pPr>
            <w:r>
              <w:rPr>
                <w:rFonts w:hint="default" w:ascii="Times New Roman" w:hAnsi="Times New Roman" w:cs="Times New Roman"/>
                <w:sz w:val="24"/>
              </w:rPr>
              <w:t>对照《如皋市关于加强减污降碳协同推进重点行业绿色发展的实施方案》的通知（皋政办发〔2024〕85号）</w:t>
            </w:r>
            <w:r>
              <w:rPr>
                <w:rFonts w:hint="default" w:ascii="Times New Roman" w:hAnsi="Times New Roman" w:cs="Times New Roman"/>
                <w:sz w:val="24"/>
                <w:lang w:eastAsia="zh-CN"/>
              </w:rPr>
              <w:t>：“原则上不再新、扩建再生橡胶与废塑料制品项目，从严控制橡胶制品、合成革项目准入，新建项目应满足所在园区规划环评准入门槛。新、改、扩建橡胶和塑料制品项目单位VOC排放量产值≥0.8亿元/吨。新、改、扩建橡胶制品企业污染物排放符合《橡胶制品工业污染物排放标准》（GB27632-2011），亩均税收≥15万元，工艺、装备、清洁生产水平基本达到国际先进水平。新、改、扩建及现有塑料制品类、合成革类企业工艺、装备、清洁生产水平应基本达到《塑料制品行业清洁生产评价指标体系》（T/GDES 56-2021）、《合成革行业清洁生产评价指标体系》（2016年）Ⅰ级基准值。不符合上述标准的2025年底前完成提标改造。”</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lang w:val="en-US" w:eastAsia="zh-CN"/>
              </w:rPr>
            </w:pPr>
            <w:r>
              <w:rPr>
                <w:rFonts w:hint="eastAsia" w:cs="Times New Roman"/>
                <w:sz w:val="24"/>
                <w:lang w:val="en-US" w:eastAsia="zh-CN"/>
              </w:rPr>
              <w:t>本项目属于塑料制品类，</w:t>
            </w:r>
            <w:r>
              <w:rPr>
                <w:rFonts w:hint="default" w:ascii="Times New Roman" w:hAnsi="Times New Roman" w:cs="Times New Roman"/>
                <w:sz w:val="24"/>
                <w:lang w:eastAsia="zh-CN"/>
              </w:rPr>
              <w:t>单位VOC排放量产值</w:t>
            </w:r>
            <w:r>
              <w:rPr>
                <w:rFonts w:hint="eastAsia" w:ascii="Times New Roman" w:hAnsi="Times New Roman" w:cs="Times New Roman"/>
                <w:sz w:val="24"/>
                <w:lang w:val="en-US" w:eastAsia="zh-CN"/>
              </w:rPr>
              <w:t>约为0.94亿元/吨，</w:t>
            </w:r>
            <w:r>
              <w:rPr>
                <w:rFonts w:hint="eastAsia" w:cs="Times New Roman"/>
                <w:sz w:val="24"/>
                <w:lang w:val="en-US" w:eastAsia="zh-CN"/>
              </w:rPr>
              <w:t>工艺、装备、清洁生产水平基本达到</w:t>
            </w:r>
            <w:r>
              <w:rPr>
                <w:rFonts w:hint="default" w:ascii="Times New Roman" w:hAnsi="Times New Roman" w:cs="Times New Roman"/>
                <w:sz w:val="24"/>
                <w:lang w:eastAsia="zh-CN"/>
              </w:rPr>
              <w:t>《塑料制品行业清洁生产评价指标体系》（T/GDES 56-2021）Ⅰ级基准值</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符合要求。</w:t>
            </w:r>
          </w:p>
          <w:p>
            <w:pPr>
              <w:pStyle w:val="35"/>
              <w:keepNext w:val="0"/>
              <w:keepLines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color w:val="000000"/>
                <w:sz w:val="24"/>
                <w:szCs w:val="24"/>
              </w:rPr>
              <w:t>与挥发性有机物相关文件相符性分析</w:t>
            </w:r>
          </w:p>
          <w:p>
            <w:pPr>
              <w:pStyle w:val="58"/>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 w:val="24"/>
                <w:szCs w:val="24"/>
              </w:rPr>
              <w:t>表1-</w:t>
            </w:r>
            <w:r>
              <w:rPr>
                <w:rFonts w:hint="eastAsia" w:cs="Times New Roman"/>
                <w:color w:val="000000"/>
                <w:sz w:val="24"/>
                <w:szCs w:val="24"/>
                <w:lang w:val="en-US" w:eastAsia="zh-CN"/>
              </w:rPr>
              <w:t>8</w:t>
            </w:r>
            <w:r>
              <w:rPr>
                <w:rFonts w:hint="default" w:ascii="Times New Roman" w:hAnsi="Times New Roman" w:cs="Times New Roman"/>
                <w:color w:val="000000"/>
                <w:sz w:val="24"/>
                <w:szCs w:val="24"/>
              </w:rPr>
              <w:t xml:space="preserve">  </w:t>
            </w:r>
            <w:r>
              <w:rPr>
                <w:rFonts w:hint="eastAsia" w:ascii="Times New Roman" w:hAnsi="Times New Roman" w:cs="Times New Roman"/>
                <w:color w:val="000000"/>
                <w:sz w:val="24"/>
                <w:szCs w:val="24"/>
              </w:rPr>
              <w:t>与挥发性有机物相关文件相符性分析</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527"/>
              <w:gridCol w:w="3627"/>
              <w:gridCol w:w="1200"/>
              <w:gridCol w:w="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kern w:val="0"/>
                      <w:sz w:val="21"/>
                      <w:szCs w:val="21"/>
                      <w:lang w:val="en-US" w:eastAsia="zh-CN"/>
                    </w:rPr>
                  </w:pPr>
                  <w:r>
                    <w:rPr>
                      <w:rFonts w:hint="eastAsia" w:ascii="Times New Roman" w:hAnsi="Times New Roman" w:cs="Times New Roman"/>
                      <w:b/>
                      <w:bCs/>
                      <w:color w:val="000000"/>
                      <w:kern w:val="0"/>
                      <w:sz w:val="21"/>
                      <w:szCs w:val="21"/>
                      <w:lang w:val="en-US" w:eastAsia="zh-CN"/>
                    </w:rPr>
                    <w:t>序号</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与挥发性有机物相关文件</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要求</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本项目情况</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1</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《江苏省挥发性有机物污染防治管理办法》（江苏省人民政府令第119号）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新建、改建、扩建排放挥发性有机物的建设项目，应当依法进行环境影响评价。新增挥发性有机物排放总量指标的不足部分，可以依照有关规定通过排污权交易取得。产生挥发性有机物废气的生产经营活动应当在密闭空间或者密闭设备中进行。生产场所、生产设备应当按照环境保护和安全生产等要</w:t>
                  </w:r>
                  <w:r>
                    <w:rPr>
                      <w:rFonts w:hint="eastAsia" w:ascii="Times New Roman" w:hAnsi="Times New Roman" w:cs="Times New Roman"/>
                      <w:color w:val="000000"/>
                      <w:sz w:val="21"/>
                      <w:szCs w:val="21"/>
                      <w:lang w:val="en-US" w:eastAsia="zh-CN"/>
                    </w:rPr>
                    <w:t>求</w:t>
                  </w:r>
                  <w:r>
                    <w:rPr>
                      <w:rFonts w:hint="eastAsia" w:ascii="Times New Roman" w:hAnsi="Times New Roman" w:cs="Times New Roman"/>
                      <w:color w:val="000000"/>
                      <w:sz w:val="21"/>
                      <w:szCs w:val="21"/>
                    </w:rPr>
                    <w:t>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rPr>
                    <w:t>本次</w:t>
                  </w:r>
                  <w:r>
                    <w:rPr>
                      <w:rFonts w:hint="eastAsia" w:ascii="Times New Roman" w:hAnsi="Times New Roman" w:cs="Times New Roman"/>
                      <w:color w:val="000000"/>
                      <w:sz w:val="21"/>
                      <w:szCs w:val="21"/>
                      <w:lang w:val="en-US" w:eastAsia="zh-CN"/>
                    </w:rPr>
                    <w:t>新建</w:t>
                  </w:r>
                  <w:r>
                    <w:rPr>
                      <w:rFonts w:hint="eastAsia" w:ascii="Times New Roman" w:hAnsi="Times New Roman" w:cs="Times New Roman"/>
                      <w:color w:val="000000"/>
                      <w:sz w:val="21"/>
                      <w:szCs w:val="21"/>
                    </w:rPr>
                    <w:t>产生的有机废气经收集后采用</w:t>
                  </w:r>
                  <w:r>
                    <w:rPr>
                      <w:rFonts w:hint="eastAsia" w:cs="Times New Roman"/>
                      <w:color w:val="000000"/>
                      <w:sz w:val="21"/>
                      <w:szCs w:val="21"/>
                      <w:lang w:val="en-US" w:eastAsia="zh-CN"/>
                    </w:rPr>
                    <w:t>风冷管+二级活性炭吸附装置</w:t>
                  </w:r>
                  <w:r>
                    <w:rPr>
                      <w:rFonts w:hint="eastAsia" w:ascii="Times New Roman" w:hAnsi="Times New Roman" w:cs="Times New Roman"/>
                      <w:color w:val="000000"/>
                      <w:sz w:val="21"/>
                      <w:szCs w:val="21"/>
                    </w:rPr>
                    <w:t>处理达标后经</w:t>
                  </w:r>
                  <w:r>
                    <w:rPr>
                      <w:rFonts w:hint="eastAsia" w:ascii="Times New Roman" w:hAnsi="Times New Roman" w:cs="Times New Roman"/>
                      <w:color w:val="000000"/>
                      <w:sz w:val="21"/>
                      <w:szCs w:val="21"/>
                      <w:lang w:val="en-US" w:eastAsia="zh-CN"/>
                    </w:rPr>
                    <w:t>15m排气筒排放</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2</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《市政府办公室关于印发如皋市“十四五”生态建设与环境保护规划（2021-2025年）的通知》</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rPr>
                    <w:t>加大VOCs治理力度，持续推进工业污染源治理，推进重点工业污染源达标排放，严格执行重点行业氮氧化物、颗粒物、VOCs大气污染物特别排放限值；加大机械行业摸排力度，实行动态清单式管理，根据切割、焊接、打磨、抛丸、喷漆、喷塑等整治要求，全面推动机械行业污染整治</w:t>
                  </w:r>
                  <w:r>
                    <w:rPr>
                      <w:rFonts w:hint="eastAsia" w:ascii="Times New Roman" w:hAnsi="Times New Roman" w:cs="Times New Roman"/>
                      <w:color w:val="000000"/>
                      <w:sz w:val="21"/>
                      <w:szCs w:val="21"/>
                      <w:lang w:eastAsia="zh-CN"/>
                    </w:rPr>
                    <w:t>。</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本项目产生的有机废气经收集处理后高空排放。</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3</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000000"/>
                      <w:kern w:val="0"/>
                      <w:sz w:val="21"/>
                      <w:szCs w:val="21"/>
                    </w:rPr>
                  </w:pPr>
                  <w:r>
                    <w:rPr>
                      <w:rFonts w:hint="eastAsia" w:ascii="Times New Roman" w:hAnsi="Times New Roman" w:cs="Times New Roman"/>
                      <w:snapToGrid w:val="0"/>
                      <w:color w:val="000000"/>
                      <w:kern w:val="0"/>
                      <w:sz w:val="21"/>
                      <w:szCs w:val="21"/>
                    </w:rPr>
                    <w:t>《市政府办公室关于印发南通市减污降碳协同增效三年行动计划（2023-2025）的通知》（通政办发〔2023〕24号）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持续开展臭氧污染“夏病冬治”，推进低VOCs含量清洁原料源头替代，推进煤电机组深度脱销改造，深入开展锅炉和炉窑综合整治，推动大户友好减排。推动燃气轮机、石化、水泥、玻璃等行业企业和工业炉窑、垃圾焚烧重点设施超低排放改造或深度治理。开展含VOCs原辅料达标情况检查及虚假“油改水”专项清理，推广建设无异味企业（园区）。</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本项目不生产和使用高VOCs含量的溶剂型涂料</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rPr>
                    <w:t>油墨、胶黏剂等物料；本项目不涉及锅炉及炉窑。</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关于印发《江苏省“十四五”生态环境保护规划》的通知（苏政办发〔2021〕84号）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深化工业园区、企业集群综合治理。加强VOCs无组织排放控制，实施含VOCs物料全方位、全链条、全环节管理，强化储存、转移和输送、设备与管线组件泄漏、敞开液面逸散以及工艺过程等无组织排放环节的污染收集处理。</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rPr>
                    <w:t>本项目液态VOCs物料储存在包装桶中进行转移，</w:t>
                  </w:r>
                  <w:r>
                    <w:rPr>
                      <w:rFonts w:hint="eastAsia" w:cs="Times New Roman"/>
                      <w:color w:val="000000"/>
                      <w:sz w:val="21"/>
                      <w:szCs w:val="21"/>
                      <w:lang w:val="en-US" w:eastAsia="zh-CN"/>
                    </w:rPr>
                    <w:t>减少无组织有机废气的排放</w:t>
                  </w:r>
                  <w:r>
                    <w:rPr>
                      <w:rFonts w:hint="eastAsia" w:ascii="Times New Roman" w:hAnsi="Times New Roman" w:cs="Times New Roman"/>
                      <w:color w:val="000000"/>
                      <w:sz w:val="21"/>
                      <w:szCs w:val="21"/>
                      <w:lang w:eastAsia="zh-CN"/>
                    </w:rPr>
                    <w:t>。</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关于印发《重点行业挥发性有机物综合治理方案》的通知（环大气〔2019〕5</w:t>
                  </w:r>
                  <w:r>
                    <w:rPr>
                      <w:rFonts w:hint="eastAsia" w:ascii="Times New Roman" w:hAnsi="Times New Roman" w:cs="Times New Roman"/>
                      <w:color w:val="000000"/>
                      <w:kern w:val="0"/>
                      <w:sz w:val="21"/>
                      <w:szCs w:val="21"/>
                      <w:lang w:val="en-US" w:eastAsia="zh-CN"/>
                    </w:rPr>
                    <w:t>3</w:t>
                  </w:r>
                  <w:r>
                    <w:rPr>
                      <w:rFonts w:hint="eastAsia" w:ascii="Times New Roman" w:hAnsi="Times New Roman" w:cs="Times New Roman"/>
                      <w:color w:val="000000"/>
                      <w:kern w:val="0"/>
                      <w:sz w:val="21"/>
                      <w:szCs w:val="21"/>
                    </w:rPr>
                    <w:t>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rPr>
                    <w:t>本项目液态VOCs物料储存在包装桶中进行转移，</w:t>
                  </w:r>
                  <w:r>
                    <w:rPr>
                      <w:rFonts w:hint="eastAsia" w:cs="Times New Roman"/>
                      <w:color w:val="000000"/>
                      <w:sz w:val="21"/>
                      <w:szCs w:val="21"/>
                      <w:lang w:val="en-US" w:eastAsia="zh-CN"/>
                    </w:rPr>
                    <w:t>减少无组织有机废气的排放</w:t>
                  </w:r>
                  <w:r>
                    <w:rPr>
                      <w:rFonts w:hint="eastAsia" w:ascii="Times New Roman" w:hAnsi="Times New Roman" w:cs="Times New Roman"/>
                      <w:color w:val="000000"/>
                      <w:sz w:val="21"/>
                      <w:szCs w:val="21"/>
                      <w:lang w:eastAsia="zh-CN"/>
                    </w:rPr>
                    <w:t>。</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《江苏省重点行业挥发性有机物污染控制指南》（苏环办[2014]128号）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所有产生有机废气污染的企业，应优先采用环保型原辅材料、生产工艺和设备，对应生产单元或设施进行密闭，从源头控制VOCs的产生，减少废气污染物排放”以及“有机化学、医药化工、橡胶和塑料制品（有溶剂浸胶工艺）、溶剂型涂料表面涂装、包装印刷业的VOCs总收集、净化处理效率均不低于90%，其他行业原则上</w:t>
                  </w:r>
                  <w:r>
                    <w:rPr>
                      <w:rFonts w:hint="eastAsia" w:ascii="Times New Roman" w:hAnsi="Times New Roman" w:cs="Times New Roman"/>
                      <w:color w:val="000000"/>
                      <w:kern w:val="0"/>
                      <w:sz w:val="21"/>
                      <w:szCs w:val="21"/>
                      <w:lang w:val="en-US" w:eastAsia="zh-CN"/>
                    </w:rPr>
                    <w:t>不</w:t>
                  </w:r>
                  <w:r>
                    <w:rPr>
                      <w:rFonts w:hint="eastAsia" w:ascii="Times New Roman" w:hAnsi="Times New Roman" w:cs="Times New Roman"/>
                      <w:color w:val="000000"/>
                      <w:kern w:val="0"/>
                      <w:sz w:val="21"/>
                      <w:szCs w:val="21"/>
                    </w:rPr>
                    <w:t>低于75%</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本项目通过对生产设备在车间的合理布局，提高废气收集效率并采用</w:t>
                  </w:r>
                  <w:r>
                    <w:rPr>
                      <w:rFonts w:hint="eastAsia" w:cs="Times New Roman"/>
                      <w:color w:val="000000"/>
                      <w:sz w:val="21"/>
                      <w:szCs w:val="21"/>
                      <w:lang w:val="en-US" w:eastAsia="zh-CN"/>
                    </w:rPr>
                    <w:t>风冷管+二级活性炭吸附装置</w:t>
                  </w:r>
                  <w:r>
                    <w:rPr>
                      <w:rFonts w:hint="eastAsia" w:ascii="Times New Roman" w:hAnsi="Times New Roman" w:cs="Times New Roman"/>
                      <w:color w:val="000000"/>
                      <w:sz w:val="21"/>
                      <w:szCs w:val="21"/>
                      <w:lang w:val="en-US" w:eastAsia="zh-CN"/>
                    </w:rPr>
                    <w:t>处理有机废气，收集效率达90%，处理效率达90%</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《省生态环境厅关于深入开展涉VOCs治理重点工作核查的通知》（苏环办[2022]218号文）</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0"/>
                      <w:sz w:val="21"/>
                      <w:szCs w:val="21"/>
                    </w:rPr>
                  </w:pPr>
                  <w:r>
                    <w:rPr>
                      <w:rFonts w:hint="eastAsia" w:ascii="Times New Roman" w:hAnsi="Times New Roman" w:cs="Times New Roman"/>
                      <w:b/>
                      <w:bCs/>
                      <w:color w:val="000000"/>
                      <w:kern w:val="0"/>
                      <w:sz w:val="21"/>
                      <w:szCs w:val="21"/>
                    </w:rPr>
                    <w:t>设计风量：</w:t>
                  </w:r>
                  <w:r>
                    <w:rPr>
                      <w:rFonts w:hint="eastAsia" w:ascii="Times New Roman" w:hAnsi="Times New Roman" w:cs="Times New Roman"/>
                      <w:color w:val="000000"/>
                      <w:kern w:val="0"/>
                      <w:sz w:val="21"/>
                      <w:szCs w:val="21"/>
                    </w:rPr>
                    <w:t>涉VOCs排放工序应在密闭空间中操作或采用全密闭集气罩收集，无法密闭采用局部集气罩的，应根据废气排放特点合理选择收集点位，按《排风罩的分类和技术条件》(GB/T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b/>
                      <w:bCs/>
                      <w:color w:val="000000"/>
                      <w:kern w:val="0"/>
                      <w:sz w:val="21"/>
                      <w:szCs w:val="21"/>
                    </w:rPr>
                    <w:t>设备质量：</w:t>
                  </w:r>
                  <w:r>
                    <w:rPr>
                      <w:rFonts w:hint="eastAsia" w:ascii="Times New Roman" w:hAnsi="Times New Roman" w:cs="Times New Roman"/>
                      <w:color w:val="000000"/>
                      <w:kern w:val="0"/>
                      <w:sz w:val="21"/>
                      <w:szCs w:val="21"/>
                    </w:rPr>
                    <w:t>无论是卧式活性炭罐还是箱式活性炭罐内部结构应设计合理（参见附件1），气体流通顺畅、无短路、无死角。活性炭吸附装置的门、焊缝、管道连接处等均应严密，不得漏气，所有螺栓、螺母均应经过表面处理，连接牢固。金属材质装置外壳应采用不锈钢或防腐处理，表面光洁不得有锈蚀、毛刺、凹凸不平等缺陷。排放风机宜安装在吸附装置后端，使装置形成负压，尽量保证无污染气体泄漏到设备箱罐体体外。应在活性炭吸附装置进气和出气管道上设置采样口，采样口设置应符合《环境保护产品技术要求工业废气吸附净化装置HJT3862007》的要求，便于日常监测活性炭吸附效率。</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本项目属于</w:t>
                  </w:r>
                  <w:r>
                    <w:rPr>
                      <w:rFonts w:hint="eastAsia" w:cs="Times New Roman"/>
                      <w:color w:val="000000"/>
                      <w:sz w:val="21"/>
                      <w:szCs w:val="21"/>
                      <w:lang w:val="en-US" w:eastAsia="zh-CN"/>
                    </w:rPr>
                    <w:t>塑料制品</w:t>
                  </w:r>
                  <w:r>
                    <w:rPr>
                      <w:rFonts w:hint="eastAsia" w:ascii="Times New Roman" w:hAnsi="Times New Roman" w:cs="Times New Roman"/>
                      <w:color w:val="000000"/>
                      <w:sz w:val="21"/>
                      <w:szCs w:val="21"/>
                    </w:rPr>
                    <w:t>业，含VOCs物料均储存于包装</w:t>
                  </w:r>
                  <w:r>
                    <w:rPr>
                      <w:rFonts w:hint="eastAsia" w:cs="Times New Roman"/>
                      <w:color w:val="000000"/>
                      <w:sz w:val="21"/>
                      <w:szCs w:val="21"/>
                      <w:lang w:val="en-US" w:eastAsia="zh-CN"/>
                    </w:rPr>
                    <w:t>袋/桶</w:t>
                  </w:r>
                  <w:r>
                    <w:rPr>
                      <w:rFonts w:hint="eastAsia" w:ascii="Times New Roman" w:hAnsi="Times New Roman" w:cs="Times New Roman"/>
                      <w:color w:val="000000"/>
                      <w:sz w:val="21"/>
                      <w:szCs w:val="21"/>
                    </w:rPr>
                    <w:t>中进行转移，有机废气经集气罩收集后采用</w:t>
                  </w:r>
                  <w:r>
                    <w:rPr>
                      <w:rFonts w:hint="eastAsia" w:cs="Times New Roman"/>
                      <w:color w:val="000000"/>
                      <w:sz w:val="21"/>
                      <w:szCs w:val="21"/>
                      <w:lang w:val="en-US" w:eastAsia="zh-CN"/>
                    </w:rPr>
                    <w:t>风冷管二级活性炭吸附装置</w:t>
                  </w:r>
                  <w:r>
                    <w:rPr>
                      <w:rFonts w:hint="eastAsia" w:ascii="Times New Roman" w:hAnsi="Times New Roman" w:cs="Times New Roman"/>
                      <w:color w:val="000000"/>
                      <w:sz w:val="21"/>
                      <w:szCs w:val="21"/>
                    </w:rPr>
                    <w:t>处理后达标排放。本项目建成后，应选购安装符合相关质量要求的设备并合理设置采样口。</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《如皋</w:t>
                  </w:r>
                  <w:r>
                    <w:rPr>
                      <w:rFonts w:hint="eastAsia" w:ascii="Times New Roman" w:hAnsi="Times New Roman" w:cs="Times New Roman"/>
                      <w:color w:val="auto"/>
                      <w:kern w:val="0"/>
                      <w:sz w:val="21"/>
                      <w:szCs w:val="21"/>
                      <w:lang w:val="en-US" w:eastAsia="zh-CN"/>
                    </w:rPr>
                    <w:t>市</w:t>
                  </w:r>
                  <w:r>
                    <w:rPr>
                      <w:rFonts w:hint="default" w:ascii="Times New Roman" w:hAnsi="Times New Roman" w:cs="Times New Roman"/>
                      <w:color w:val="auto"/>
                      <w:kern w:val="0"/>
                      <w:sz w:val="21"/>
                      <w:szCs w:val="21"/>
                    </w:rPr>
                    <w:t>2020年重点行业挥发性有机物综合治理方案》的通知（皋政办发[2020]89号）</w:t>
                  </w:r>
                </w:p>
              </w:tc>
              <w:tc>
                <w:tcPr>
                  <w:tcW w:w="243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全面落实《挥发性有机物无组织排放控制标准》，重点对含VOCs物料（包括原辅材料、产品、废料以及有机聚合物材料等）储存、转移和输送、设备与管线组件泄漏、敞开液面逸散以及工艺过程等五类排放源实施管控，在确保安全的前提下，通过采取设备与场所密闭、工艺改进、废气有效收集等措施，削减VOCs无组织排放。</w:t>
                  </w:r>
                </w:p>
              </w:tc>
              <w:tc>
                <w:tcPr>
                  <w:tcW w:w="804"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本项目原辅料储存过程中密封保存，项目产生的有机废气经密闭收集并有效处理后高空排放</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023"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《挥发性有机物无组织排放控制标准》（GB37822-2019）</w:t>
                  </w:r>
                </w:p>
              </w:tc>
              <w:tc>
                <w:tcPr>
                  <w:tcW w:w="2430" w:type="pct"/>
                  <w:tcBorders>
                    <w:tl2br w:val="nil"/>
                    <w:tr2bl w:val="nil"/>
                  </w:tcBorders>
                  <w:noWrap/>
                  <w:vAlign w:val="center"/>
                </w:tcPr>
                <w:p>
                  <w:pPr>
                    <w:keepNext w:val="0"/>
                    <w:keepLines w:val="0"/>
                    <w:suppressLineNumbers w:val="0"/>
                    <w:spacing w:before="0" w:beforeAutospacing="0" w:after="0" w:afterAutospacing="0"/>
                    <w:ind w:left="0" w:right="0"/>
                    <w:rPr>
                      <w:rFonts w:hint="eastAsia" w:ascii="Times New Roman" w:hAnsi="Times New Roman" w:cs="Times New Roman"/>
                    </w:rPr>
                  </w:pPr>
                  <w:r>
                    <w:rPr>
                      <w:rFonts w:hint="eastAsia" w:ascii="Times New Roman" w:hAnsi="Times New Roman" w:cs="Times New Roman"/>
                      <w:b/>
                      <w:bCs/>
                    </w:rPr>
                    <w:t>VOCs物料储存无组织排放控制要求：</w:t>
                  </w:r>
                  <w:r>
                    <w:rPr>
                      <w:rFonts w:hint="eastAsia" w:ascii="Times New Roman" w:hAnsi="Times New Roman" w:cs="Times New Roman"/>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pPr>
                    <w:keepNext w:val="0"/>
                    <w:keepLines w:val="0"/>
                    <w:suppressLineNumbers w:val="0"/>
                    <w:spacing w:before="0" w:beforeAutospacing="0" w:after="0" w:afterAutospacing="0"/>
                    <w:ind w:left="0" w:right="0"/>
                    <w:rPr>
                      <w:rFonts w:hint="eastAsia" w:ascii="Times New Roman" w:hAnsi="Times New Roman" w:cs="Times New Roman"/>
                    </w:rPr>
                  </w:pPr>
                  <w:r>
                    <w:rPr>
                      <w:rFonts w:hint="eastAsia" w:ascii="Times New Roman" w:hAnsi="Times New Roman" w:cs="Times New Roman"/>
                      <w:b/>
                      <w:bCs/>
                    </w:rPr>
                    <w:t>VOCs物料转移和输送无组织排放控制要求：</w:t>
                  </w:r>
                  <w:r>
                    <w:rPr>
                      <w:rFonts w:hint="eastAsia" w:ascii="Times New Roman" w:hAnsi="Times New Roman" w:cs="Times New Roman"/>
                    </w:rPr>
                    <w:t>粉状、粒状VOCs物料应采用气力输送设备、管状带式输送机、螺旋输送机等密闭输送方式，或者采用密闭的包装袋、容器或罐车进行物料转移。</w:t>
                  </w:r>
                </w:p>
                <w:p>
                  <w:pPr>
                    <w:keepNext w:val="0"/>
                    <w:keepLines w:val="0"/>
                    <w:suppressLineNumbers w:val="0"/>
                    <w:spacing w:before="0" w:beforeAutospacing="0" w:after="0" w:afterAutospacing="0"/>
                    <w:ind w:left="0" w:right="0"/>
                    <w:rPr>
                      <w:rFonts w:hint="eastAsia" w:ascii="Times New Roman" w:hAnsi="Times New Roman" w:cs="Times New Roman"/>
                    </w:rPr>
                  </w:pPr>
                  <w:r>
                    <w:rPr>
                      <w:rFonts w:hint="eastAsia" w:ascii="Times New Roman" w:hAnsi="Times New Roman" w:cs="Times New Roman"/>
                      <w:b/>
                      <w:bCs/>
                    </w:rPr>
                    <w:t>工艺过程VOCs无组织排放控制要求：</w:t>
                  </w:r>
                  <w:r>
                    <w:rPr>
                      <w:rFonts w:hint="eastAsia" w:ascii="Times New Roman" w:hAnsi="Times New Roman" w:cs="Times New Roman"/>
                    </w:rPr>
                    <w:t>物料投加和卸放：粉状、粒状VOCs物料应采用气力输送方式或采用密闭固体投料器等给料方式密闭投加。无法密闭投加的，应在密闭空间内操作，或进行局部气体收集，废气应排至除尘设施、VOCs废气收集处理系统。VOCs物料卸(出、放)料过程应密闭，卸料废气应排至VOCs废气收集处理系统，无法密闭的，应采取局部气体收集措施，废气应排至VOCs废气收集处理系统。配料加工和含VOCs产品的包装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含VOCs产品的使用过程：VOCs质量占比大于等于10%的含VOCs产品，其使用过程应采用密闭设备或在密闭空间内操作，废气应排至VOCs废气收集处理系统，无法密闭的，应采取局部气体收集措施，废气应排至VOCs废气收集处理系统。其他要求：企业应建立台账，记录含VOCs原辅材料和含VOCs产品的名称、使用量、回收量、废弃量、去向以及VOCs含量等信息。台账保存期限不少于3年。通风生产设备、操作工位、车间厂房等应在符合安全生产、职业卫生相关规定的前提下，根据行业作业规程与标准、工业建筑及洁净厂房通风设计规范等的要求，采用合理的通风量。载有VOCs物料的设备及其管道在开停工(车)、检维修和清洗时，应在退料阶段将残存物料退净，并用密闭容器盛装，退料过程废气应排至VOCs废气收集处理系统；清洗及吹扫过程排气应排至VOCs废气收集处理系统。盛装过VOCs物料的废包装容器应加盖密闭。</w:t>
                  </w:r>
                </w:p>
                <w:p>
                  <w:pPr>
                    <w:keepNext w:val="0"/>
                    <w:keepLines w:val="0"/>
                    <w:suppressLineNumbers w:val="0"/>
                    <w:spacing w:before="0" w:beforeAutospacing="0" w:after="0" w:afterAutospacing="0"/>
                    <w:ind w:left="0" w:right="0"/>
                    <w:rPr>
                      <w:rFonts w:hint="default" w:ascii="Times New Roman" w:hAnsi="Times New Roman" w:cs="Times New Roman"/>
                      <w:color w:val="000000"/>
                      <w:kern w:val="0"/>
                      <w:sz w:val="21"/>
                      <w:szCs w:val="21"/>
                    </w:rPr>
                  </w:pPr>
                  <w:r>
                    <w:rPr>
                      <w:rFonts w:hint="eastAsia" w:ascii="Times New Roman" w:hAnsi="Times New Roman" w:cs="Times New Roman"/>
                      <w:b/>
                      <w:bCs/>
                    </w:rPr>
                    <w:t>废气收集系统要求：</w:t>
                  </w:r>
                  <w:r>
                    <w:rPr>
                      <w:rFonts w:hint="eastAsia" w:ascii="Times New Roman" w:hAnsi="Times New Roman" w:cs="Times New Roman"/>
                    </w:rPr>
                    <w:t>废气收集系统要求：企业应考虑生产工艺、操作方式、废气性质、处理方法等因素，对VOCs废气进行分类收集。废气收集系统排风罩(集气罩)的设置应符合GB/T16758的规定。采用外部排风罩的，应按GB/T 16758、AQ/T 4274-2016规定的方法测量控制风速，测量点应选取在距排风罩开口面最远处的VOCs无组织排放位置，控制风速不应低于0.3m/s(行业相关规范有具体规定的，按相关规定执行)。废气收集系统的输送管道应密闭。废气收集系统应在负压下运行，若处于正压状态，应对输送管道组件的密封点进行泄漏检测，泄漏检测值不应超过500μmol/mol，亦不应有感官可察觉泄漏。VOCs 排放控制要求：VOCs废气收集处理系统污染物排放应符合GB16297或相关行业排放标准的规定。收集的废气中NMHC初始排放速率≥3kg/h时，应配置VOCs处理设施，处理效率不应低</w:t>
                  </w:r>
                  <w:r>
                    <w:rPr>
                      <w:rFonts w:hint="eastAsia" w:ascii="Times New Roman" w:hAnsi="Times New Roman" w:cs="Times New Roman"/>
                      <w:lang w:val="en-US" w:eastAsia="zh-CN"/>
                    </w:rPr>
                    <w:t>于</w:t>
                  </w:r>
                  <w:r>
                    <w:rPr>
                      <w:rFonts w:hint="eastAsia" w:ascii="Times New Roman" w:hAnsi="Times New Roman" w:cs="Times New Roman"/>
                    </w:rPr>
                    <w:t>80%；对于重点地区，收集的废气中NMHC初始排放速率≥2kg/h 时，应配置VOCs处理设施，</w:t>
                  </w:r>
                  <w:r>
                    <w:rPr>
                      <w:rFonts w:hint="eastAsia" w:ascii="Times New Roman" w:hAnsi="Times New Roman" w:cs="Times New Roman"/>
                      <w:lang w:val="en-US" w:eastAsia="zh-CN"/>
                    </w:rPr>
                    <w:t>处理</w:t>
                  </w:r>
                  <w:r>
                    <w:rPr>
                      <w:rFonts w:hint="eastAsia" w:ascii="Times New Roman" w:hAnsi="Times New Roman" w:cs="Times New Roman"/>
                    </w:rPr>
                    <w:t>效率不应低于80%；采用的原辅材料符合国家有关低VOCs含量产品规定的除外。</w:t>
                  </w:r>
                </w:p>
              </w:tc>
              <w:tc>
                <w:tcPr>
                  <w:tcW w:w="804" w:type="pct"/>
                  <w:tcBorders>
                    <w:tl2br w:val="nil"/>
                    <w:tr2bl w:val="nil"/>
                  </w:tcBorders>
                  <w:noWrap/>
                  <w:vAlign w:val="center"/>
                </w:tcPr>
                <w:p>
                  <w:pPr>
                    <w:keepNext w:val="0"/>
                    <w:keepLines w:val="0"/>
                    <w:numPr>
                      <w:ilvl w:val="0"/>
                      <w:numId w:val="10"/>
                    </w:numPr>
                    <w:suppressLineNumbers w:val="0"/>
                    <w:adjustRightInd w:val="0"/>
                    <w:snapToGrid w:val="0"/>
                    <w:spacing w:before="0" w:beforeAutospacing="0" w:after="0" w:afterAutospacing="0"/>
                    <w:ind w:left="0" w:right="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本项目存放</w:t>
                  </w:r>
                  <w:r>
                    <w:rPr>
                      <w:rFonts w:hint="eastAsia" w:cs="Times New Roman"/>
                      <w:color w:val="000000"/>
                      <w:sz w:val="21"/>
                      <w:szCs w:val="21"/>
                      <w:lang w:val="en-US" w:eastAsia="zh-CN"/>
                    </w:rPr>
                    <w:t>淋涂药剂</w:t>
                  </w:r>
                  <w:r>
                    <w:rPr>
                      <w:rFonts w:hint="eastAsia" w:ascii="Times New Roman" w:hAnsi="Times New Roman" w:cs="Times New Roman"/>
                      <w:color w:val="000000"/>
                      <w:sz w:val="21"/>
                      <w:szCs w:val="21"/>
                      <w:lang w:val="en-US" w:eastAsia="zh-CN"/>
                    </w:rPr>
                    <w:t>，采用</w:t>
                  </w:r>
                  <w:r>
                    <w:rPr>
                      <w:rFonts w:hint="eastAsia" w:cs="Times New Roman"/>
                      <w:color w:val="000000"/>
                      <w:sz w:val="21"/>
                      <w:szCs w:val="21"/>
                      <w:lang w:val="en-US" w:eastAsia="zh-CN"/>
                    </w:rPr>
                    <w:t>包装桶</w:t>
                  </w:r>
                  <w:r>
                    <w:rPr>
                      <w:rFonts w:hint="eastAsia" w:ascii="Times New Roman" w:hAnsi="Times New Roman" w:cs="Times New Roman"/>
                      <w:color w:val="000000"/>
                      <w:sz w:val="21"/>
                      <w:szCs w:val="21"/>
                      <w:lang w:val="en-US" w:eastAsia="zh-CN"/>
                    </w:rPr>
                    <w:t>储存在</w:t>
                  </w:r>
                  <w:r>
                    <w:rPr>
                      <w:rFonts w:hint="eastAsia" w:cs="Times New Roman"/>
                      <w:color w:val="000000"/>
                      <w:sz w:val="21"/>
                      <w:szCs w:val="21"/>
                      <w:lang w:val="en-US" w:eastAsia="zh-CN"/>
                    </w:rPr>
                    <w:t>原料仓库</w:t>
                  </w:r>
                  <w:r>
                    <w:rPr>
                      <w:rFonts w:hint="eastAsia" w:ascii="Times New Roman" w:hAnsi="Times New Roman" w:cs="Times New Roman"/>
                      <w:color w:val="000000"/>
                      <w:sz w:val="21"/>
                      <w:szCs w:val="21"/>
                      <w:lang w:val="en-US" w:eastAsia="zh-CN"/>
                    </w:rPr>
                    <w:t>。</w:t>
                  </w:r>
                  <w:r>
                    <w:rPr>
                      <w:rFonts w:hint="eastAsia" w:cs="Times New Roman"/>
                      <w:color w:val="000000"/>
                      <w:sz w:val="21"/>
                      <w:szCs w:val="21"/>
                      <w:lang w:val="en-US" w:eastAsia="zh-CN"/>
                    </w:rPr>
                    <w:t>常温下无VOCs产生</w:t>
                  </w:r>
                  <w:r>
                    <w:rPr>
                      <w:rFonts w:hint="eastAsia" w:ascii="Times New Roman" w:hAnsi="Times New Roman" w:cs="Times New Roman"/>
                      <w:color w:val="000000"/>
                      <w:sz w:val="21"/>
                      <w:szCs w:val="21"/>
                      <w:lang w:val="en-US" w:eastAsia="zh-CN"/>
                    </w:rPr>
                    <w:t>。</w:t>
                  </w:r>
                </w:p>
                <w:p>
                  <w:pPr>
                    <w:keepNext w:val="0"/>
                    <w:keepLines w:val="0"/>
                    <w:numPr>
                      <w:ilvl w:val="0"/>
                      <w:numId w:val="10"/>
                    </w:numPr>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color w:val="000000"/>
                      <w:szCs w:val="21"/>
                    </w:rPr>
                    <w:t>本项目液态原料取用方式：整桶原料拿至车间，打开使用后及时加盖</w:t>
                  </w:r>
                  <w:r>
                    <w:rPr>
                      <w:rFonts w:hint="eastAsia" w:ascii="Times New Roman" w:hAnsi="Times New Roman" w:cs="Times New Roman"/>
                      <w:color w:val="000000"/>
                      <w:sz w:val="21"/>
                      <w:szCs w:val="21"/>
                      <w:lang w:val="en-US" w:eastAsia="zh-CN"/>
                    </w:rPr>
                    <w:t>。</w:t>
                  </w:r>
                </w:p>
                <w:p>
                  <w:pPr>
                    <w:keepNext w:val="0"/>
                    <w:keepLines w:val="0"/>
                    <w:numPr>
                      <w:ilvl w:val="0"/>
                      <w:numId w:val="10"/>
                    </w:numPr>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本项目物料投加和卸放基本不会产生废气，生产过程中的有机废气经集气管道</w:t>
                  </w:r>
                  <w:r>
                    <w:rPr>
                      <w:rFonts w:hint="eastAsia" w:ascii="Times New Roman" w:hAnsi="Times New Roman" w:cs="Times New Roman"/>
                      <w:color w:val="000000"/>
                      <w:sz w:val="21"/>
                      <w:szCs w:val="21"/>
                      <w:lang w:val="en-US" w:eastAsia="zh-CN"/>
                    </w:rPr>
                    <w:t>收集</w:t>
                  </w:r>
                  <w:r>
                    <w:rPr>
                      <w:rFonts w:hint="default" w:ascii="Times New Roman" w:hAnsi="Times New Roman" w:eastAsia="宋体" w:cs="Times New Roman"/>
                      <w:color w:val="000000"/>
                      <w:sz w:val="21"/>
                      <w:szCs w:val="21"/>
                      <w:lang w:val="en-US" w:eastAsia="zh-CN"/>
                    </w:rPr>
                    <w:t>后</w:t>
                  </w:r>
                  <w:r>
                    <w:rPr>
                      <w:rFonts w:hint="eastAsia" w:cs="Times New Roman"/>
                      <w:color w:val="000000"/>
                      <w:sz w:val="21"/>
                      <w:szCs w:val="21"/>
                      <w:lang w:val="en-US" w:eastAsia="zh-CN"/>
                    </w:rPr>
                    <w:t>经风冷管+二级活性炭吸附装置</w:t>
                  </w:r>
                  <w:r>
                    <w:rPr>
                      <w:rFonts w:hint="default" w:ascii="Times New Roman" w:hAnsi="Times New Roman" w:eastAsia="宋体" w:cs="Times New Roman"/>
                      <w:color w:val="000000"/>
                      <w:sz w:val="21"/>
                      <w:szCs w:val="21"/>
                      <w:lang w:val="en-US" w:eastAsia="zh-CN"/>
                    </w:rPr>
                    <w:t>处理后高空排放；本项目建成后需按要求做好台账记录并保存</w:t>
                  </w:r>
                  <w:r>
                    <w:rPr>
                      <w:rFonts w:hint="eastAsia" w:ascii="Times New Roman" w:hAnsi="Times New Roman" w:cs="Times New Roman"/>
                      <w:color w:val="000000"/>
                      <w:sz w:val="21"/>
                      <w:szCs w:val="21"/>
                      <w:lang w:val="en-US" w:eastAsia="zh-CN"/>
                    </w:rPr>
                    <w:t>。</w:t>
                  </w:r>
                </w:p>
                <w:p>
                  <w:pPr>
                    <w:keepNext w:val="0"/>
                    <w:keepLines w:val="0"/>
                    <w:numPr>
                      <w:ilvl w:val="0"/>
                      <w:numId w:val="10"/>
                    </w:numPr>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本项目废气采取集气管道进行收集，根据源强计算及废气治理设施的相应分析，本项目采用的废气治理设施处理效率不低于80%。</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152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kern w:val="0"/>
                      <w:szCs w:val="21"/>
                    </w:rPr>
                    <w:t>《关于印发&lt;关于做好建设项目挥发性有机物排放管理工作的意见（试行）&gt;的通知》（通环办〔2025〕32号）</w:t>
                  </w:r>
                </w:p>
              </w:tc>
              <w:tc>
                <w:tcPr>
                  <w:tcW w:w="3627" w:type="dxa"/>
                  <w:tcBorders>
                    <w:tl2br w:val="nil"/>
                    <w:tr2bl w:val="nil"/>
                  </w:tcBorders>
                  <w:noWrap/>
                  <w:vAlign w:val="center"/>
                </w:tcPr>
                <w:p>
                  <w:pPr>
                    <w:keepNext w:val="0"/>
                    <w:keepLines w:val="0"/>
                    <w:suppressLineNumbers w:val="0"/>
                    <w:spacing w:before="0" w:beforeAutospacing="0" w:after="0" w:afterAutospacing="0"/>
                    <w:ind w:left="0" w:right="0"/>
                    <w:rPr>
                      <w:rFonts w:hint="eastAsia" w:ascii="Times New Roman" w:hAnsi="Times New Roman" w:cs="Times New Roman"/>
                      <w:b/>
                      <w:bCs/>
                    </w:rPr>
                  </w:pPr>
                  <w:r>
                    <w:rPr>
                      <w:rFonts w:hint="eastAsia"/>
                    </w:rPr>
                    <w:t>根据《关于做好建设项目挥发性有机物排放管理工作的意见(试行)》(通环办〔2025〕32号)二、项目准入要求对照《南通市关于加强减污降碳协同推进重点行业绿色发展的指导意见》(通办〔2024〕6号)，推动新建项目对标一流环保标准建设。落实生态环境分区管控要求，遏制“两高一低”项目盲目发展，守牢生态环境质量和生态环境安全底线，对不符合法律法规和审批要求的项目，坚决不予准入。环评审批阶段，各地生态环境部门主动服务指导，根据区域发展、环境功能定位、环境容量等因素，从环境质量改善、低VOCs原辅料产品技术可行性、环保措施有效性、环境影响报告书(表)质量等方面提出审批要求。新建项目按照“最优的设计、先进的设备、最严的管理”进行把关。改、扩建项目，按照“增产不增污”原则，现有生产工艺、治理设施相对落后的，同步进行技术升级，所需总量指标原则通过“以新带老”等措施实现企业内部平衡。企业内部确无法压减总量的，不足部分可由所在园区或县级总量库供给。与本市重大发展战略直接相关的重大项目，应实施最优可达技术并采取最先进的污染防治措施，在严格审批的前提下，新增总量可在全市范围内平衡。</w:t>
                  </w:r>
                </w:p>
              </w:tc>
              <w:tc>
                <w:tcPr>
                  <w:tcW w:w="1200"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color w:val="000000"/>
                      <w:szCs w:val="21"/>
                    </w:rPr>
                    <w:t>本项目属于</w:t>
                  </w:r>
                  <w:r>
                    <w:rPr>
                      <w:rFonts w:hint="eastAsia"/>
                      <w:color w:val="000000"/>
                      <w:szCs w:val="21"/>
                    </w:rPr>
                    <w:t>〔C2922〕塑料板、管、型材制造</w:t>
                  </w:r>
                  <w:r>
                    <w:rPr>
                      <w:rFonts w:hint="default"/>
                      <w:color w:val="000000"/>
                      <w:szCs w:val="21"/>
                    </w:rPr>
                    <w:t>，</w:t>
                  </w:r>
                  <w:r>
                    <w:rPr>
                      <w:rFonts w:hint="eastAsia"/>
                      <w:color w:val="000000"/>
                      <w:szCs w:val="21"/>
                    </w:rPr>
                    <w:t>生产</w:t>
                  </w:r>
                  <w:r>
                    <w:rPr>
                      <w:rFonts w:hint="default"/>
                      <w:color w:val="000000"/>
                      <w:szCs w:val="21"/>
                    </w:rPr>
                    <w:t>在密闭空间内进行，产生的有机废气密闭收集后经</w:t>
                  </w:r>
                  <w:r>
                    <w:rPr>
                      <w:rFonts w:hint="eastAsia"/>
                      <w:color w:val="000000"/>
                      <w:szCs w:val="21"/>
                      <w:lang w:val="en-US" w:eastAsia="zh-CN"/>
                    </w:rPr>
                    <w:t>风冷管+</w:t>
                  </w:r>
                  <w:r>
                    <w:rPr>
                      <w:rFonts w:hint="eastAsia"/>
                      <w:color w:val="000000"/>
                      <w:szCs w:val="21"/>
                      <w:lang w:eastAsia="zh-CN"/>
                    </w:rPr>
                    <w:t>二级活性炭</w:t>
                  </w:r>
                  <w:r>
                    <w:rPr>
                      <w:rFonts w:hint="default"/>
                      <w:color w:val="000000"/>
                      <w:szCs w:val="21"/>
                    </w:rPr>
                    <w:t>处理达标经</w:t>
                  </w:r>
                  <w:r>
                    <w:rPr>
                      <w:rFonts w:hint="eastAsia"/>
                      <w:color w:val="000000"/>
                      <w:szCs w:val="21"/>
                    </w:rPr>
                    <w:t>15</w:t>
                  </w:r>
                  <w:r>
                    <w:rPr>
                      <w:rFonts w:hint="default"/>
                      <w:color w:val="000000"/>
                      <w:szCs w:val="21"/>
                    </w:rPr>
                    <w:t>米高排气筒</w:t>
                  </w:r>
                  <w:r>
                    <w:rPr>
                      <w:rFonts w:hint="eastAsia"/>
                      <w:color w:val="000000"/>
                      <w:szCs w:val="21"/>
                    </w:rPr>
                    <w:t>（</w:t>
                  </w:r>
                  <w:r>
                    <w:rPr>
                      <w:rFonts w:hint="default"/>
                      <w:color w:val="000000"/>
                      <w:szCs w:val="21"/>
                    </w:rPr>
                    <w:t>DA00</w:t>
                  </w:r>
                  <w:r>
                    <w:rPr>
                      <w:rFonts w:hint="eastAsia"/>
                      <w:color w:val="000000"/>
                      <w:szCs w:val="21"/>
                    </w:rPr>
                    <w:t>1）</w:t>
                  </w:r>
                  <w:r>
                    <w:rPr>
                      <w:rFonts w:hint="default"/>
                      <w:color w:val="000000"/>
                      <w:szCs w:val="21"/>
                    </w:rPr>
                    <w:t>排放。对照《固定污染源排污许可分类管理名录》(2019年版)，本项目为登记管理，无需实施总量平衡。因此符合《关于做好建设项目挥发性有机物排放管理工作的意见(试行)》(通环办</w:t>
                  </w:r>
                  <w:r>
                    <w:rPr>
                      <w:rFonts w:hint="eastAsia"/>
                      <w:color w:val="000000"/>
                      <w:szCs w:val="21"/>
                    </w:rPr>
                    <w:t>〔2025〕32号</w:t>
                  </w:r>
                  <w:r>
                    <w:rPr>
                      <w:rFonts w:hint="default"/>
                      <w:color w:val="000000"/>
                      <w:szCs w:val="21"/>
                    </w:rPr>
                    <w:t>)相关要</w:t>
                  </w:r>
                  <w:r>
                    <w:rPr>
                      <w:rFonts w:hint="default"/>
                      <w:color w:val="auto"/>
                      <w:szCs w:val="21"/>
                    </w:rPr>
                    <w:t>求。</w:t>
                  </w:r>
                  <w:r>
                    <w:rPr>
                      <w:rFonts w:hint="eastAsia"/>
                      <w:color w:val="auto"/>
                      <w:szCs w:val="21"/>
                      <w:lang w:val="en-US" w:eastAsia="zh-CN"/>
                    </w:rPr>
                    <w:t>企业按照“最优的设计、先进的设备、最严的管理”进行把关生产，本项目新增的VOCs通过二级活性炭吸附处理，进一步减少VOCs的排放</w:t>
                  </w:r>
                  <w:r>
                    <w:rPr>
                      <w:rFonts w:hint="eastAsia"/>
                      <w:color w:val="auto"/>
                      <w:szCs w:val="21"/>
                    </w:rPr>
                    <w:t>。</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152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ascii="Times New Roman" w:hAnsi="Times New Roman" w:cs="Times New Roman"/>
                      <w:kern w:val="0"/>
                      <w:szCs w:val="21"/>
                    </w:rPr>
                    <w:t>《低挥发性有机化合物含量涂料产品技术要求》（GB/T 38597-2020）</w:t>
                  </w:r>
                </w:p>
              </w:tc>
              <w:tc>
                <w:tcPr>
                  <w:tcW w:w="3627" w:type="dxa"/>
                  <w:tcBorders>
                    <w:tl2br w:val="nil"/>
                    <w:tr2bl w:val="nil"/>
                  </w:tcBorders>
                  <w:noWrap/>
                  <w:vAlign w:val="center"/>
                </w:tcPr>
                <w:p>
                  <w:pPr>
                    <w:keepNext w:val="0"/>
                    <w:keepLines w:val="0"/>
                    <w:suppressLineNumbers w:val="0"/>
                    <w:spacing w:before="0" w:beforeAutospacing="0" w:after="0" w:afterAutospacing="0"/>
                    <w:ind w:left="0" w:right="0"/>
                    <w:rPr>
                      <w:rFonts w:hint="eastAsia"/>
                    </w:rPr>
                  </w:pPr>
                  <w:r>
                    <w:rPr>
                      <w:rFonts w:hint="default" w:ascii="Times New Roman" w:hAnsi="Times New Roman" w:cs="Times New Roman"/>
                    </w:rPr>
                    <w:t>《低挥发性有机化合物含量涂料产品技术要求》（GB/T 38597-2020）</w:t>
                  </w:r>
                  <w:r>
                    <w:rPr>
                      <w:rFonts w:hint="eastAsia" w:cs="Times New Roman"/>
                      <w:lang w:val="en-US" w:eastAsia="zh-CN"/>
                    </w:rPr>
                    <w:t>表1</w:t>
                  </w:r>
                  <w:r>
                    <w:rPr>
                      <w:rFonts w:hint="default" w:ascii="Times New Roman" w:hAnsi="Times New Roman" w:cs="Times New Roman"/>
                    </w:rPr>
                    <w:t>中</w:t>
                  </w:r>
                  <w:r>
                    <w:rPr>
                      <w:rFonts w:hint="eastAsia" w:ascii="Times New Roman" w:hAnsi="Times New Roman" w:cs="Times New Roman"/>
                      <w:lang w:val="en-US" w:eastAsia="zh-CN"/>
                    </w:rPr>
                    <w:t>工业防护涂层-型材涂料-其他</w:t>
                  </w:r>
                  <w:r>
                    <w:rPr>
                      <w:rFonts w:hint="default" w:ascii="Times New Roman" w:hAnsi="Times New Roman" w:cs="Times New Roman"/>
                    </w:rPr>
                    <w:t>VOC限值为</w:t>
                  </w:r>
                  <w:r>
                    <w:rPr>
                      <w:rFonts w:hint="eastAsia" w:cs="Times New Roman"/>
                      <w:lang w:val="en-US" w:eastAsia="zh-CN"/>
                    </w:rPr>
                    <w:t>250</w:t>
                  </w:r>
                  <w:r>
                    <w:rPr>
                      <w:rFonts w:hint="default" w:ascii="Times New Roman" w:hAnsi="Times New Roman" w:cs="Times New Roman"/>
                    </w:rPr>
                    <w:t>g/L。</w:t>
                  </w:r>
                </w:p>
              </w:tc>
              <w:tc>
                <w:tcPr>
                  <w:tcW w:w="1200"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ascii="Times New Roman" w:hAnsi="Times New Roman" w:cs="Times New Roman"/>
                      <w:color w:val="000000"/>
                      <w:szCs w:val="21"/>
                      <w:lang w:val="en-US" w:eastAsia="zh-CN"/>
                    </w:rPr>
                    <w:t>根据VOC检测报告，本项目使用的淋涂药剂VOC检测结果为ND</w:t>
                  </w:r>
                  <w:r>
                    <w:rPr>
                      <w:rFonts w:hint="eastAsia" w:cs="Times New Roman"/>
                      <w:color w:val="000000"/>
                      <w:szCs w:val="21"/>
                      <w:lang w:val="en-US" w:eastAsia="zh-CN"/>
                    </w:rPr>
                    <w:t>，符合要求</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152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kern w:val="0"/>
                      <w:szCs w:val="21"/>
                    </w:rPr>
                  </w:pPr>
                  <w:r>
                    <w:rPr>
                      <w:rFonts w:hint="default" w:ascii="Times New Roman" w:hAnsi="Times New Roman" w:cs="Times New Roman"/>
                      <w:kern w:val="0"/>
                      <w:szCs w:val="21"/>
                    </w:rPr>
                    <w:t>《江苏省挥发性有机物清洁原料替代工作方案》的通知</w:t>
                  </w:r>
                  <w:r>
                    <w:rPr>
                      <w:rFonts w:hint="default" w:ascii="Times New Roman" w:hAnsi="Times New Roman" w:cs="Times New Roman"/>
                      <w:color w:val="auto"/>
                      <w:kern w:val="0"/>
                      <w:szCs w:val="21"/>
                    </w:rPr>
                    <w:t>（苏大气</w:t>
                  </w:r>
                  <w:r>
                    <w:rPr>
                      <w:rFonts w:hint="default" w:ascii="Times New Roman" w:hAnsi="Times New Roman" w:cs="Times New Roman"/>
                      <w:color w:val="auto"/>
                      <w:kern w:val="0"/>
                      <w:szCs w:val="21"/>
                      <w:lang w:val="en-US" w:eastAsia="zh-CN"/>
                    </w:rPr>
                    <w:t>办</w:t>
                  </w:r>
                  <w:r>
                    <w:rPr>
                      <w:rFonts w:hint="default" w:ascii="Times New Roman" w:hAnsi="Times New Roman" w:cs="Times New Roman"/>
                      <w:kern w:val="0"/>
                      <w:szCs w:val="21"/>
                    </w:rPr>
                    <w:t>〔2021〕2号）</w:t>
                  </w:r>
                </w:p>
              </w:tc>
              <w:tc>
                <w:tcPr>
                  <w:tcW w:w="3627" w:type="dxa"/>
                  <w:tcBorders>
                    <w:tl2br w:val="nil"/>
                    <w:tr2bl w:val="nil"/>
                  </w:tcBorders>
                  <w:noWrap/>
                  <w:vAlign w:val="center"/>
                </w:tcPr>
                <w:p>
                  <w:pPr>
                    <w:keepNext w:val="0"/>
                    <w:keepLines w:val="0"/>
                    <w:suppressLineNumbers w:val="0"/>
                    <w:spacing w:before="0" w:beforeAutospacing="0" w:after="0" w:afterAutospacing="0"/>
                    <w:ind w:left="0" w:right="0"/>
                    <w:rPr>
                      <w:rFonts w:hint="eastAsia"/>
                    </w:rPr>
                  </w:pPr>
                  <w:r>
                    <w:rPr>
                      <w:rFonts w:hint="default" w:ascii="Times New Roman" w:hAnsi="Times New Roman" w:cs="Times New Roman"/>
                    </w:rPr>
                    <w:t>根据省大气办关于印发《江苏省挥发性有机物清洁原料替代工作方案》的通知中要求：明确替代要求。以工业涂装、包装印刷、木材加工、纺织等行业为重点推进清洁原料替代工作……的水基型、本体型胶粘剂产品。若确实无法达到上述要求，应提供相应的论证说明，相关涂料、油墨、清洗剂、胶粘剂等产品应符合相关标准中VOCs含量的限值要求；严格准入条件。禁止建设和使用高VOCs含量的涂料，油墨、胶黏剂等项目……执行国家《低挥发性有机化合物含量涂料产品技术要求》（GB/T 38597-2020）</w:t>
                  </w:r>
                </w:p>
              </w:tc>
              <w:tc>
                <w:tcPr>
                  <w:tcW w:w="1200"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ascii="Times New Roman" w:hAnsi="Times New Roman" w:cs="Times New Roman"/>
                      <w:color w:val="000000"/>
                      <w:szCs w:val="21"/>
                      <w:lang w:val="en-US" w:eastAsia="zh-CN"/>
                    </w:rPr>
                    <w:t>根据VOC检测报告，本项目使用的淋涂药剂VOC检测结果为ND</w:t>
                  </w:r>
                  <w:r>
                    <w:rPr>
                      <w:rFonts w:hint="default" w:ascii="Times New Roman" w:hAnsi="Times New Roman" w:cs="Times New Roman"/>
                      <w:color w:val="000000"/>
                      <w:szCs w:val="21"/>
                    </w:rPr>
                    <w:t>，符合</w:t>
                  </w:r>
                  <w:r>
                    <w:rPr>
                      <w:rFonts w:hint="eastAsia" w:cs="Times New Roman"/>
                      <w:color w:val="000000"/>
                      <w:szCs w:val="21"/>
                      <w:lang w:val="en-US" w:eastAsia="zh-CN"/>
                    </w:rPr>
                    <w:t>表1</w:t>
                  </w:r>
                  <w:r>
                    <w:rPr>
                      <w:rFonts w:hint="default" w:ascii="Times New Roman" w:hAnsi="Times New Roman" w:cs="Times New Roman"/>
                    </w:rPr>
                    <w:t>中</w:t>
                  </w:r>
                  <w:r>
                    <w:rPr>
                      <w:rFonts w:hint="eastAsia" w:ascii="Times New Roman" w:hAnsi="Times New Roman" w:cs="Times New Roman"/>
                      <w:lang w:val="en-US" w:eastAsia="zh-CN"/>
                    </w:rPr>
                    <w:t>工业防护涂层-型材涂料-其他</w:t>
                  </w:r>
                  <w:r>
                    <w:rPr>
                      <w:rFonts w:hint="eastAsia"/>
                      <w:color w:val="000000"/>
                      <w:szCs w:val="21"/>
                    </w:rPr>
                    <w:t>VOC限值</w:t>
                  </w:r>
                  <w:r>
                    <w:rPr>
                      <w:rFonts w:hint="default" w:ascii="Times New Roman" w:hAnsi="Times New Roman" w:cs="Times New Roman"/>
                      <w:color w:val="000000"/>
                      <w:szCs w:val="21"/>
                    </w:rPr>
                    <w:t>要求。符合</w:t>
                  </w:r>
                  <w:r>
                    <w:rPr>
                      <w:rFonts w:hint="default" w:ascii="Times New Roman" w:hAnsi="Times New Roman" w:cs="Times New Roman"/>
                    </w:rPr>
                    <w:t>《低挥发性有机化合物含量涂料产品技术要求》（GB/T 38597-2020）</w:t>
                  </w:r>
                  <w:r>
                    <w:rPr>
                      <w:rFonts w:hint="default" w:ascii="Times New Roman" w:hAnsi="Times New Roman" w:cs="Times New Roman"/>
                      <w:color w:val="000000"/>
                      <w:szCs w:val="21"/>
                    </w:rPr>
                    <w:t>的要求</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152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《涂料中有害物质限量 第2部分：工业涂料》（GB 30981.2-2025）</w:t>
                  </w:r>
                </w:p>
              </w:tc>
              <w:tc>
                <w:tcPr>
                  <w:tcW w:w="3627" w:type="dxa"/>
                  <w:tcBorders>
                    <w:tl2br w:val="nil"/>
                    <w:tr2bl w:val="nil"/>
                  </w:tcBorders>
                  <w:noWrap/>
                  <w:vAlign w:val="center"/>
                </w:tcPr>
                <w:p>
                  <w:pPr>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《涂料中有害物质限量 第</w:t>
                  </w:r>
                  <w:r>
                    <w:rPr>
                      <w:rFonts w:hint="eastAsia" w:ascii="Times New Roman" w:hAnsi="Times New Roman" w:cs="Times New Roman"/>
                      <w:lang w:val="en-US" w:eastAsia="zh-CN"/>
                    </w:rPr>
                    <w:t>1</w:t>
                  </w:r>
                  <w:r>
                    <w:rPr>
                      <w:rFonts w:hint="default" w:ascii="Times New Roman" w:hAnsi="Times New Roman" w:cs="Times New Roman"/>
                    </w:rPr>
                    <w:t>部分：工业涂料》（GB 30981.2-2025）中</w:t>
                  </w:r>
                  <w:r>
                    <w:rPr>
                      <w:rFonts w:hint="eastAsia" w:ascii="Times New Roman" w:hAnsi="Times New Roman" w:cs="Times New Roman"/>
                      <w:lang w:val="en-US" w:eastAsia="zh-CN"/>
                    </w:rPr>
                    <w:t>型材涂料其他</w:t>
                  </w:r>
                  <w:r>
                    <w:rPr>
                      <w:rFonts w:hint="default" w:ascii="Times New Roman" w:hAnsi="Times New Roman" w:cs="Times New Roman"/>
                    </w:rPr>
                    <w:t>VOC限值为</w:t>
                  </w:r>
                  <w:r>
                    <w:rPr>
                      <w:rFonts w:hint="eastAsia" w:ascii="Times New Roman" w:hAnsi="Times New Roman" w:cs="Times New Roman"/>
                      <w:lang w:val="en-US" w:eastAsia="zh-CN"/>
                    </w:rPr>
                    <w:t>350</w:t>
                  </w:r>
                  <w:r>
                    <w:rPr>
                      <w:rFonts w:hint="default" w:ascii="Times New Roman" w:hAnsi="Times New Roman" w:cs="Times New Roman"/>
                    </w:rPr>
                    <w:t>g/L。</w:t>
                  </w:r>
                </w:p>
              </w:tc>
              <w:tc>
                <w:tcPr>
                  <w:tcW w:w="1200"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根据VOC检测报告，本项目使用的淋涂药剂VOC检测结果为ND</w:t>
                  </w:r>
                  <w:r>
                    <w:rPr>
                      <w:rFonts w:hint="default" w:ascii="Times New Roman" w:hAnsi="Times New Roman" w:cs="Times New Roman"/>
                    </w:rPr>
                    <w:t>，</w:t>
                  </w:r>
                  <w:r>
                    <w:rPr>
                      <w:rFonts w:hint="default" w:ascii="Times New Roman" w:hAnsi="Times New Roman" w:cs="Times New Roman"/>
                      <w:color w:val="000000"/>
                      <w:szCs w:val="21"/>
                    </w:rPr>
                    <w:t>符合标准限值要求</w:t>
                  </w:r>
                </w:p>
              </w:tc>
              <w:tc>
                <w:tcPr>
                  <w:tcW w:w="422" w:type="pct"/>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sz w:val="21"/>
                      <w:szCs w:val="21"/>
                      <w:lang w:val="en-US" w:eastAsia="zh-CN"/>
                    </w:rPr>
                  </w:pPr>
                  <w:r>
                    <w:rPr>
                      <w:rFonts w:hint="eastAsia" w:cs="Times New Roman"/>
                      <w:color w:val="000000"/>
                      <w:sz w:val="21"/>
                      <w:szCs w:val="21"/>
                      <w:lang w:val="en-US" w:eastAsia="zh-CN"/>
                    </w:rPr>
                    <w:t>符合</w:t>
                  </w:r>
                </w:p>
              </w:tc>
            </w:tr>
          </w:tbl>
          <w:p>
            <w:pPr>
              <w:pStyle w:val="35"/>
              <w:keepNext w:val="0"/>
              <w:keepLines w:val="0"/>
              <w:suppressLineNumbers w:val="0"/>
              <w:spacing w:before="0" w:beforeAutospacing="0" w:after="0" w:afterAutospacing="0" w:line="360" w:lineRule="auto"/>
              <w:ind w:left="0" w:right="0" w:firstLine="482"/>
              <w:rPr>
                <w:rFonts w:hint="default" w:asci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auto"/>
                <w:sz w:val="24"/>
                <w:szCs w:val="24"/>
                <w:lang w:val="en-US" w:eastAsia="zh-CN"/>
              </w:rPr>
              <w:t>（4）</w:t>
            </w:r>
            <w:r>
              <w:rPr>
                <w:rFonts w:hint="eastAsia" w:ascii="Times New Roman" w:eastAsia="宋体" w:cs="Times New Roman"/>
                <w:color w:val="000000" w:themeColor="text1"/>
                <w14:textFill>
                  <w14:solidFill>
                    <w14:schemeClr w14:val="tx1"/>
                  </w14:solidFill>
                </w14:textFill>
              </w:rPr>
              <w:t>与《市政府关于印发&lt;南通市空气质量持续改善行动计划实施方案&gt;的通知》（通政发〔2024〕24号）相符性分析</w:t>
            </w:r>
          </w:p>
          <w:p>
            <w:pPr>
              <w:pStyle w:val="35"/>
              <w:keepNext w:val="0"/>
              <w:keepLines w:val="0"/>
              <w:suppressLineNumbers w:val="0"/>
              <w:spacing w:before="0" w:beforeAutospacing="0" w:after="0" w:afterAutospacing="0" w:line="360" w:lineRule="auto"/>
              <w:ind w:left="0" w:right="0" w:firstLine="480"/>
              <w:rPr>
                <w:rFonts w:hint="default" w:ascii="Times New Roman" w:eastAsia="宋体" w:cs="Times New Roman"/>
                <w:b w:val="0"/>
                <w:bCs/>
                <w:color w:val="000000" w:themeColor="text1"/>
                <w14:textFill>
                  <w14:solidFill>
                    <w14:schemeClr w14:val="tx1"/>
                  </w14:solidFill>
                </w14:textFill>
              </w:rPr>
            </w:pPr>
            <w:r>
              <w:rPr>
                <w:rFonts w:hint="default" w:ascii="Times New Roman" w:eastAsia="宋体" w:cs="Times New Roman"/>
                <w:b w:val="0"/>
                <w:bCs/>
                <w:color w:val="000000" w:themeColor="text1"/>
                <w14:textFill>
                  <w14:solidFill>
                    <w14:schemeClr w14:val="tx1"/>
                  </w14:solidFill>
                </w14:textFill>
              </w:rPr>
              <w:t>根据《市政府关于印发&lt;南通市空气质量持续改善行动计划实施方案&gt;的通知》（通政发</w:t>
            </w:r>
            <w:r>
              <w:rPr>
                <w:rFonts w:hint="eastAsia" w:ascii="Times New Roman" w:eastAsia="宋体" w:cs="Times New Roman"/>
                <w:b w:val="0"/>
                <w:bCs/>
                <w:color w:val="000000" w:themeColor="text1"/>
                <w14:textFill>
                  <w14:solidFill>
                    <w14:schemeClr w14:val="tx1"/>
                  </w14:solidFill>
                </w14:textFill>
              </w:rPr>
              <w:t>〔2024〕24号</w:t>
            </w:r>
            <w:r>
              <w:rPr>
                <w:rFonts w:hint="default" w:ascii="Times New Roman" w:eastAsia="宋体" w:cs="Times New Roman"/>
                <w:b w:val="0"/>
                <w:bCs/>
                <w:color w:val="000000" w:themeColor="text1"/>
                <w14:textFill>
                  <w14:solidFill>
                    <w14:schemeClr w14:val="tx1"/>
                  </w14:solidFill>
                </w14:textFill>
              </w:rPr>
              <w:t>）：（四）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p>
            <w:pPr>
              <w:pStyle w:val="35"/>
              <w:keepNext w:val="0"/>
              <w:keepLines w:val="0"/>
              <w:suppressLineNumbers w:val="0"/>
              <w:spacing w:before="0" w:beforeAutospacing="0" w:after="0" w:afterAutospacing="0" w:line="360" w:lineRule="auto"/>
              <w:ind w:left="0" w:right="0" w:firstLine="480"/>
              <w:rPr>
                <w:rFonts w:hint="default" w:ascii="Times New Roman" w:eastAsia="宋体" w:cs="Times New Roman"/>
                <w:b w:val="0"/>
                <w:bCs/>
                <w:color w:val="000000" w:themeColor="text1"/>
                <w14:textFill>
                  <w14:solidFill>
                    <w14:schemeClr w14:val="tx1"/>
                  </w14:solidFill>
                </w14:textFill>
              </w:rPr>
            </w:pPr>
            <w:r>
              <w:rPr>
                <w:rFonts w:hint="eastAsia" w:ascii="Times New Roman" w:eastAsia="宋体" w:cs="Times New Roman"/>
                <w:b w:val="0"/>
                <w:color w:val="000000" w:themeColor="text1"/>
                <w14:textFill>
                  <w14:solidFill>
                    <w14:schemeClr w14:val="tx1"/>
                  </w14:solidFill>
                </w14:textFill>
              </w:rPr>
              <w:t>本项目不使用</w:t>
            </w:r>
            <w:r>
              <w:rPr>
                <w:rFonts w:hint="default" w:ascii="Times New Roman" w:eastAsia="宋体" w:cs="Times New Roman"/>
                <w:b w:val="0"/>
                <w:bCs/>
                <w:color w:val="000000" w:themeColor="text1"/>
                <w14:textFill>
                  <w14:solidFill>
                    <w14:schemeClr w14:val="tx1"/>
                  </w14:solidFill>
                </w14:textFill>
              </w:rPr>
              <w:t>高VOCs含量涂料、油墨、胶粘剂、清洗剂</w:t>
            </w:r>
            <w:r>
              <w:rPr>
                <w:rFonts w:hint="eastAsia" w:ascii="Times New Roman" w:eastAsia="宋体" w:cs="Times New Roman"/>
                <w:b w:val="0"/>
                <w:bCs/>
                <w:color w:val="000000" w:themeColor="text1"/>
                <w14:textFill>
                  <w14:solidFill>
                    <w14:schemeClr w14:val="tx1"/>
                  </w14:solidFill>
                </w14:textFill>
              </w:rPr>
              <w:t>，且有机废气</w:t>
            </w:r>
            <w:r>
              <w:rPr>
                <w:rFonts w:hint="default" w:ascii="Times New Roman" w:eastAsia="宋体" w:cs="Times New Roman"/>
                <w:b w:val="0"/>
                <w:color w:val="000000" w:themeColor="text1"/>
                <w14:textFill>
                  <w14:solidFill>
                    <w14:schemeClr w14:val="tx1"/>
                  </w14:solidFill>
                </w14:textFill>
              </w:rPr>
              <w:t>密闭收集后经</w:t>
            </w:r>
            <w:r>
              <w:rPr>
                <w:rFonts w:hint="eastAsia" w:ascii="Times New Roman" w:eastAsia="宋体" w:cs="Times New Roman"/>
                <w:b w:val="0"/>
                <w:color w:val="000000" w:themeColor="text1"/>
                <w:lang w:val="en-US" w:eastAsia="zh-CN"/>
                <w14:textFill>
                  <w14:solidFill>
                    <w14:schemeClr w14:val="tx1"/>
                  </w14:solidFill>
                </w14:textFill>
              </w:rPr>
              <w:t>风冷管+</w:t>
            </w:r>
            <w:r>
              <w:rPr>
                <w:rFonts w:hint="eastAsia" w:ascii="Times New Roman" w:eastAsia="宋体" w:cs="Times New Roman"/>
                <w:b w:val="0"/>
                <w:color w:val="000000" w:themeColor="text1"/>
                <w:lang w:eastAsia="zh-CN"/>
                <w14:textFill>
                  <w14:solidFill>
                    <w14:schemeClr w14:val="tx1"/>
                  </w14:solidFill>
                </w14:textFill>
              </w:rPr>
              <w:t>二级活性炭</w:t>
            </w:r>
            <w:r>
              <w:rPr>
                <w:rFonts w:hint="default" w:ascii="Times New Roman" w:eastAsia="宋体" w:cs="Times New Roman"/>
                <w:b w:val="0"/>
                <w:color w:val="000000" w:themeColor="text1"/>
                <w14:textFill>
                  <w14:solidFill>
                    <w14:schemeClr w14:val="tx1"/>
                  </w14:solidFill>
                </w14:textFill>
              </w:rPr>
              <w:t>处理达标经</w:t>
            </w:r>
            <w:r>
              <w:rPr>
                <w:rFonts w:hint="eastAsia" w:ascii="Times New Roman" w:eastAsia="宋体" w:cs="Times New Roman"/>
                <w:b w:val="0"/>
                <w:color w:val="000000" w:themeColor="text1"/>
                <w14:textFill>
                  <w14:solidFill>
                    <w14:schemeClr w14:val="tx1"/>
                  </w14:solidFill>
                </w14:textFill>
              </w:rPr>
              <w:t>15</w:t>
            </w:r>
            <w:r>
              <w:rPr>
                <w:rFonts w:hint="default" w:ascii="Times New Roman" w:eastAsia="宋体" w:cs="Times New Roman"/>
                <w:b w:val="0"/>
                <w:color w:val="000000" w:themeColor="text1"/>
                <w14:textFill>
                  <w14:solidFill>
                    <w14:schemeClr w14:val="tx1"/>
                  </w14:solidFill>
                </w14:textFill>
              </w:rPr>
              <w:t>米高排气筒</w:t>
            </w:r>
            <w:r>
              <w:rPr>
                <w:rFonts w:hint="eastAsia" w:ascii="Times New Roman" w:eastAsia="宋体" w:cs="Times New Roman"/>
                <w:b w:val="0"/>
                <w:color w:val="000000" w:themeColor="text1"/>
                <w14:textFill>
                  <w14:solidFill>
                    <w14:schemeClr w14:val="tx1"/>
                  </w14:solidFill>
                </w14:textFill>
              </w:rPr>
              <w:t>（</w:t>
            </w:r>
            <w:r>
              <w:rPr>
                <w:rFonts w:hint="default" w:ascii="Times New Roman" w:eastAsia="宋体" w:cs="Times New Roman"/>
                <w:b w:val="0"/>
                <w:color w:val="000000" w:themeColor="text1"/>
                <w14:textFill>
                  <w14:solidFill>
                    <w14:schemeClr w14:val="tx1"/>
                  </w14:solidFill>
                </w14:textFill>
              </w:rPr>
              <w:t>DA00</w:t>
            </w:r>
            <w:r>
              <w:rPr>
                <w:rFonts w:hint="eastAsia" w:ascii="Times New Roman" w:eastAsia="宋体" w:cs="Times New Roman"/>
                <w:b w:val="0"/>
                <w:color w:val="000000" w:themeColor="text1"/>
                <w14:textFill>
                  <w14:solidFill>
                    <w14:schemeClr w14:val="tx1"/>
                  </w14:solidFill>
                </w14:textFill>
              </w:rPr>
              <w:t>1）</w:t>
            </w:r>
            <w:r>
              <w:rPr>
                <w:rFonts w:hint="default" w:ascii="Times New Roman" w:eastAsia="宋体" w:cs="Times New Roman"/>
                <w:b w:val="0"/>
                <w:color w:val="000000" w:themeColor="text1"/>
                <w14:textFill>
                  <w14:solidFill>
                    <w14:schemeClr w14:val="tx1"/>
                  </w14:solidFill>
                </w14:textFill>
              </w:rPr>
              <w:t>排放，故本项目符合</w:t>
            </w:r>
            <w:r>
              <w:rPr>
                <w:rFonts w:hint="default" w:ascii="Times New Roman" w:eastAsia="宋体" w:cs="Times New Roman"/>
                <w:b w:val="0"/>
                <w:bCs/>
                <w:color w:val="000000" w:themeColor="text1"/>
                <w14:textFill>
                  <w14:solidFill>
                    <w14:schemeClr w14:val="tx1"/>
                  </w14:solidFill>
                </w14:textFill>
              </w:rPr>
              <w:t>《市政府关于印发&lt;南通市空气质量持续改善行动计划实施方案&gt;的通知》（通政发〔2024〕24号）相关要求。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2" w:firstLineChars="2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5</w:t>
            </w:r>
            <w:r>
              <w:rPr>
                <w:rFonts w:hint="eastAsia"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rPr>
              <w:t>与《关于做好生态环境和应急管理部门联动工作的意见》（苏环办</w:t>
            </w:r>
            <w:r>
              <w:rPr>
                <w:rFonts w:hint="eastAsia" w:ascii="Times New Roman" w:hAnsi="Times New Roman" w:cs="Times New Roman"/>
                <w:b/>
                <w:bCs/>
                <w:color w:val="auto"/>
                <w:sz w:val="24"/>
                <w:szCs w:val="24"/>
                <w:lang w:eastAsia="zh-CN"/>
              </w:rPr>
              <w:t>〔2020〕101号</w:t>
            </w:r>
            <w:r>
              <w:rPr>
                <w:rFonts w:hint="eastAsia" w:ascii="Times New Roman" w:hAnsi="Times New Roman" w:cs="Times New Roman"/>
                <w:b/>
                <w:bCs/>
                <w:color w:val="auto"/>
                <w:sz w:val="24"/>
                <w:szCs w:val="24"/>
              </w:rPr>
              <w:t>）、《关于进一步加强环保设备设施安全生产工作的通知》（安委办明电</w:t>
            </w:r>
            <w:r>
              <w:rPr>
                <w:rFonts w:hint="eastAsia" w:ascii="Times New Roman" w:hAnsi="Times New Roman" w:cs="Times New Roman"/>
                <w:b/>
                <w:bCs/>
                <w:color w:val="auto"/>
                <w:sz w:val="24"/>
                <w:szCs w:val="24"/>
                <w:lang w:eastAsia="zh-CN"/>
              </w:rPr>
              <w:t>〔2022〕17号</w:t>
            </w:r>
            <w:r>
              <w:rPr>
                <w:rFonts w:hint="eastAsia" w:ascii="Times New Roman" w:hAnsi="Times New Roman" w:cs="Times New Roman"/>
                <w:b/>
                <w:bCs/>
                <w:color w:val="auto"/>
                <w:sz w:val="24"/>
                <w:szCs w:val="24"/>
              </w:rPr>
              <w:t>）相符性分析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对照《关于做好生态环境和应急管理部门联动工作的意见》（苏环办</w:t>
            </w:r>
            <w:r>
              <w:rPr>
                <w:rFonts w:hint="eastAsia" w:ascii="Times New Roman" w:hAnsi="Times New Roman" w:cs="Times New Roman"/>
                <w:color w:val="auto"/>
                <w:kern w:val="0"/>
                <w:sz w:val="24"/>
                <w:szCs w:val="24"/>
                <w:lang w:eastAsia="zh-CN"/>
              </w:rPr>
              <w:t>〔2020〕101号</w:t>
            </w:r>
            <w:r>
              <w:rPr>
                <w:rFonts w:hint="eastAsia" w:ascii="Times New Roman" w:hAnsi="Times New Roman" w:cs="Times New Roman"/>
                <w:color w:val="auto"/>
                <w:kern w:val="0"/>
                <w:sz w:val="24"/>
                <w:szCs w:val="24"/>
              </w:rPr>
              <w:t>）、《关于进一步加强环保设备设施安全生产工作的通知》（安委办明电</w:t>
            </w:r>
            <w:r>
              <w:rPr>
                <w:rFonts w:hint="eastAsia" w:ascii="Times New Roman" w:hAnsi="Times New Roman" w:cs="Times New Roman"/>
                <w:color w:val="auto"/>
                <w:kern w:val="0"/>
                <w:sz w:val="24"/>
                <w:szCs w:val="24"/>
                <w:lang w:eastAsia="zh-CN"/>
              </w:rPr>
              <w:t>〔2022〕17号</w:t>
            </w:r>
            <w:r>
              <w:rPr>
                <w:rFonts w:hint="eastAsia" w:ascii="Times New Roman" w:hAnsi="Times New Roman" w:cs="Times New Roman"/>
                <w:color w:val="auto"/>
                <w:kern w:val="0"/>
                <w:sz w:val="24"/>
                <w:szCs w:val="24"/>
              </w:rPr>
              <w:t>）等文件要求：“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rPr>
            </w:pPr>
            <w:r>
              <w:rPr>
                <w:rFonts w:hint="eastAsia" w:ascii="Times New Roman" w:hAnsi="Times New Roman" w:cs="Times New Roman"/>
                <w:color w:val="auto"/>
                <w:kern w:val="0"/>
                <w:sz w:val="24"/>
                <w:szCs w:val="24"/>
              </w:rPr>
              <w:t>经排查，本项目涉及的环境治理设施主要为颗粒物、有机废气治理，存在的安全风险主要为除尘器引发的火灾爆炸</w:t>
            </w:r>
            <w:r>
              <w:rPr>
                <w:rFonts w:hint="eastAsia" w:ascii="Times New Roman" w:hAnsi="Times New Roman" w:cs="Times New Roman"/>
                <w:color w:val="auto"/>
                <w:kern w:val="0"/>
                <w:sz w:val="24"/>
                <w:szCs w:val="24"/>
                <w:lang w:eastAsia="zh-CN"/>
              </w:rPr>
              <w:t>、</w:t>
            </w:r>
            <w:r>
              <w:rPr>
                <w:rFonts w:hint="eastAsia" w:cs="Times New Roman"/>
                <w:color w:val="auto"/>
                <w:kern w:val="0"/>
                <w:sz w:val="24"/>
                <w:szCs w:val="24"/>
                <w:lang w:val="en-US" w:eastAsia="zh-CN"/>
              </w:rPr>
              <w:t>二级活性炭吸附装置</w:t>
            </w:r>
            <w:r>
              <w:rPr>
                <w:rFonts w:hint="eastAsia" w:ascii="Times New Roman" w:hAnsi="Times New Roman" w:cs="Times New Roman"/>
                <w:color w:val="auto"/>
                <w:kern w:val="0"/>
                <w:sz w:val="24"/>
                <w:szCs w:val="24"/>
                <w:lang w:val="en-US" w:eastAsia="zh-CN"/>
              </w:rPr>
              <w:t>引发的</w:t>
            </w:r>
            <w:r>
              <w:rPr>
                <w:rFonts w:hint="eastAsia" w:cs="Times New Roman"/>
                <w:color w:val="auto"/>
                <w:kern w:val="0"/>
                <w:sz w:val="24"/>
                <w:szCs w:val="24"/>
                <w:lang w:val="en-US" w:eastAsia="zh-CN"/>
              </w:rPr>
              <w:t>火灾、爆炸</w:t>
            </w:r>
            <w:r>
              <w:rPr>
                <w:rFonts w:hint="eastAsia" w:ascii="Times New Roman" w:hAnsi="Times New Roman" w:cs="Times New Roman"/>
                <w:color w:val="auto"/>
                <w:kern w:val="0"/>
                <w:sz w:val="24"/>
                <w:szCs w:val="24"/>
              </w:rPr>
              <w:t>等隐患，具体如表1-</w:t>
            </w:r>
            <w:r>
              <w:rPr>
                <w:rFonts w:hint="eastAsia" w:cs="Times New Roman"/>
                <w:color w:val="auto"/>
                <w:kern w:val="0"/>
                <w:sz w:val="24"/>
                <w:szCs w:val="24"/>
                <w:lang w:val="en-US" w:eastAsia="zh-CN"/>
              </w:rPr>
              <w:t>9</w:t>
            </w:r>
            <w:r>
              <w:rPr>
                <w:rFonts w:hint="default" w:ascii="Times New Roman" w:hAnsi="Times New Roman" w:cs="Times New Roman"/>
                <w:color w:val="auto"/>
                <w:kern w:val="0"/>
                <w:sz w:val="24"/>
                <w:szCs w:val="24"/>
              </w:rPr>
              <w:t>。</w:t>
            </w:r>
          </w:p>
          <w:p>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表1-</w:t>
            </w:r>
            <w:r>
              <w:rPr>
                <w:rFonts w:hint="eastAsia" w:cs="Times New Roman"/>
                <w:b/>
                <w:bCs w:val="0"/>
                <w:color w:val="auto"/>
                <w:kern w:val="2"/>
                <w:sz w:val="24"/>
                <w:szCs w:val="24"/>
                <w:lang w:val="en-US" w:eastAsia="zh-CN" w:bidi="ar-SA"/>
              </w:rPr>
              <w:t>9</w:t>
            </w:r>
            <w:r>
              <w:rPr>
                <w:rFonts w:hint="eastAsia" w:ascii="Times New Roman" w:hAnsi="Times New Roman" w:eastAsia="宋体" w:cs="Times New Roman"/>
                <w:b/>
                <w:bCs w:val="0"/>
                <w:color w:val="auto"/>
                <w:kern w:val="2"/>
                <w:sz w:val="24"/>
                <w:szCs w:val="24"/>
                <w:lang w:val="en-US" w:eastAsia="zh-CN" w:bidi="ar-SA"/>
              </w:rPr>
              <w:t xml:space="preserve"> 安全风险辨识表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16"/>
              <w:gridCol w:w="2099"/>
              <w:gridCol w:w="1665"/>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序号</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环境治理设施</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本项目涉及的设施</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是否存在安全风险</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存在的安全风险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粉尘治理</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布袋除尘器</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是</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有机废气治理</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二级活性炭吸附装置</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是</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污水治理</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脱硫脱硝</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煤改气</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w:t>
                  </w:r>
                </w:p>
              </w:tc>
              <w:tc>
                <w:tcPr>
                  <w:tcW w:w="10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RTO焚烧炉</w:t>
                  </w:r>
                </w:p>
              </w:tc>
              <w:tc>
                <w:tcPr>
                  <w:tcW w:w="14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111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111"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bl>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szCs w:val="24"/>
                <w:lang w:eastAsia="zh-CN"/>
              </w:rPr>
            </w:pPr>
            <w:r>
              <w:rPr>
                <w:rFonts w:hint="eastAsia" w:ascii="Times New Roman" w:hAnsi="Times New Roman" w:eastAsia="宋体" w:cs="Times New Roman"/>
                <w:color w:val="auto"/>
                <w:kern w:val="0"/>
                <w:sz w:val="24"/>
                <w:szCs w:val="24"/>
                <w:lang w:val="en-US" w:eastAsia="zh-CN"/>
              </w:rPr>
              <w:t>企业在项目竣工前应根据江苏省生态环境厅 江苏省应急管理厅《关于做好生态环境和应急管理部门联动工作的意见》（苏环办〔2020〕101号）、国务院安委办 生态环境部 应急管理部《关于进一步加强环保设备设施安全生产工作的通知》（安委办明电〔2022〕17号）做好环境治理设施安全风险评估论证，健全内部污染防治设施稳定运行和管理责任制度，严格依据标准规范建设环境治理设施，确保环境治理设施安全、稳定、有效运行及污染物达标排放，同时做好与应急部门的应急联动工作。</w:t>
            </w:r>
          </w:p>
          <w:p>
            <w:pPr>
              <w:keepNext w:val="0"/>
              <w:keepLines w:val="0"/>
              <w:suppressLineNumbers w:val="0"/>
              <w:spacing w:before="0" w:beforeAutospacing="0" w:after="0" w:afterAutospacing="0" w:line="360" w:lineRule="auto"/>
              <w:ind w:left="0" w:right="0" w:firstLine="48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eastAsia="zh-CN"/>
              </w:rPr>
              <w:t>（</w:t>
            </w:r>
            <w:r>
              <w:rPr>
                <w:rFonts w:hint="eastAsia" w:cs="Times New Roman"/>
                <w:b/>
                <w:bCs/>
                <w:color w:val="000000"/>
                <w:sz w:val="24"/>
                <w:szCs w:val="24"/>
                <w:lang w:val="en-US" w:eastAsia="zh-CN"/>
              </w:rPr>
              <w:t>6</w:t>
            </w: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与《江苏省通榆河水污染防治条例》相符性分析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通榆河一级保护区为通榆河及其两侧各一公里、主要供水河道及其两侧各一公里区域。根据《如皋市人民政府法制办公室“关于请求明确通榆河一级保护区范围的函”复函》，如皋市境内焦港河全线、如海运河全线、如泰运河（介于焦港河和如海运河中间段），及其河道两侧各1000m属于通榆河一级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rPr>
              <w:t>本项目所在地距离焦港河全线、如海运河全线、如泰运河（介于焦港河和如海运河中间段）均在1km范围外，不在通榆河一级和二、三级保护区范围内，符合《江苏省通榆河水污染防治条例》相关要求</w:t>
            </w:r>
            <w:r>
              <w:rPr>
                <w:rFonts w:hint="default" w:ascii="Times New Roman" w:hAnsi="Times New Roman" w:cs="Times New Roman"/>
                <w:color w:val="00000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000000"/>
                <w:sz w:val="24"/>
                <w:szCs w:val="24"/>
                <w:lang w:eastAsia="zh-CN"/>
              </w:rPr>
            </w:pPr>
            <w:r>
              <w:rPr>
                <w:rFonts w:hint="eastAsia" w:ascii="Times New Roman" w:hAnsi="Times New Roman" w:eastAsia="宋体" w:cs="Times New Roman"/>
                <w:b/>
                <w:bCs/>
                <w:color w:val="000000"/>
                <w:sz w:val="24"/>
                <w:szCs w:val="24"/>
                <w:lang w:eastAsia="zh-CN"/>
              </w:rPr>
              <w:t>（</w:t>
            </w:r>
            <w:r>
              <w:rPr>
                <w:rFonts w:hint="eastAsia" w:cs="Times New Roman"/>
                <w:b/>
                <w:bCs/>
                <w:color w:val="000000"/>
                <w:sz w:val="24"/>
                <w:szCs w:val="24"/>
                <w:lang w:val="en-US" w:eastAsia="zh-CN"/>
              </w:rPr>
              <w:t>7</w:t>
            </w:r>
            <w:r>
              <w:rPr>
                <w:rFonts w:hint="eastAsia"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lang w:eastAsia="zh-CN"/>
              </w:rPr>
              <w:t>与关于印发《江苏省“两高”项目管理目录（2025年版）》的通知（苏发改规发〔2025〕4号）相符性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本项目行业类别为〔C2922〕塑料板、管、型材制造，对照《江苏省“两高”项目管理目录（202</w:t>
            </w:r>
            <w:r>
              <w:rPr>
                <w:rFonts w:hint="eastAsia" w:cs="Times New Roman"/>
                <w:color w:val="000000"/>
                <w:sz w:val="24"/>
                <w:szCs w:val="24"/>
                <w:lang w:val="en-US" w:eastAsia="zh-CN"/>
              </w:rPr>
              <w:t>5</w:t>
            </w:r>
            <w:r>
              <w:rPr>
                <w:rFonts w:hint="default" w:ascii="Times New Roman" w:hAnsi="Times New Roman" w:cs="Times New Roman"/>
                <w:color w:val="000000"/>
                <w:sz w:val="24"/>
                <w:szCs w:val="24"/>
                <w:lang w:eastAsia="zh-CN"/>
              </w:rPr>
              <w:t>年版）》，不属于其中的两高项目。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sz w:val="24"/>
                <w:szCs w:val="24"/>
                <w:lang w:val="en-US" w:eastAsia="zh-CN"/>
              </w:rPr>
            </w:pPr>
            <w:r>
              <w:rPr>
                <w:rFonts w:hint="eastAsia" w:cs="Times New Roman"/>
                <w:b/>
                <w:bCs/>
                <w:color w:val="000000"/>
                <w:sz w:val="24"/>
                <w:szCs w:val="24"/>
                <w:lang w:val="en-US" w:eastAsia="zh-CN"/>
              </w:rPr>
              <w:t>5、关于新污染物相关分析</w:t>
            </w:r>
          </w:p>
          <w:p>
            <w:pPr>
              <w:keepNext w:val="0"/>
              <w:keepLines w:val="0"/>
              <w:suppressLineNumbers w:val="0"/>
              <w:spacing w:before="0" w:beforeAutospacing="0" w:after="0" w:afterAutospacing="0" w:line="360" w:lineRule="auto"/>
              <w:ind w:left="0" w:right="0" w:firstLine="480" w:firstLineChars="200"/>
              <w:rPr>
                <w:rFonts w:hint="eastAsia"/>
                <w:color w:val="000000"/>
                <w:sz w:val="24"/>
                <w:lang w:eastAsia="zh-CN"/>
              </w:rPr>
            </w:pPr>
            <w:r>
              <w:rPr>
                <w:rFonts w:hint="eastAsia"/>
                <w:color w:val="000000"/>
                <w:sz w:val="24"/>
                <w:lang w:eastAsia="zh-CN"/>
              </w:rPr>
              <w:t>非光气法PC（熔融酯交换）本身不使用光气与二氯甲烷，正常情况下几乎不产生氯苯类；仅当原料高温异常分解时，才会出现微量氯苯类，以一氯苯、二氯苯（邻 / 间 / 对）为主，三氯苯及以上极微或无。</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eastAsia="zh-CN"/>
              </w:rPr>
              <w:t>（</w:t>
            </w:r>
            <w:r>
              <w:rPr>
                <w:rFonts w:hint="eastAsia"/>
                <w:color w:val="000000"/>
                <w:sz w:val="24"/>
                <w:lang w:val="en-US" w:eastAsia="zh-CN"/>
              </w:rPr>
              <w:t>1</w:t>
            </w:r>
            <w:r>
              <w:rPr>
                <w:rFonts w:hint="eastAsia"/>
                <w:color w:val="000000"/>
                <w:sz w:val="24"/>
                <w:lang w:eastAsia="zh-CN"/>
              </w:rPr>
              <w:t>）</w:t>
            </w:r>
            <w:r>
              <w:rPr>
                <w:rFonts w:hint="default"/>
                <w:color w:val="000000"/>
                <w:sz w:val="24"/>
              </w:rPr>
              <w:t>对照《重点管控新污染物清单（2023年版）》，本项目不涉及重点管控新污染物清单（2023年版）的新污染物。</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eastAsia="zh-CN"/>
              </w:rPr>
              <w:t>（</w:t>
            </w:r>
            <w:r>
              <w:rPr>
                <w:rFonts w:hint="eastAsia"/>
                <w:color w:val="000000"/>
                <w:sz w:val="24"/>
                <w:lang w:val="en-US" w:eastAsia="zh-CN"/>
              </w:rPr>
              <w:t>2</w:t>
            </w:r>
            <w:r>
              <w:rPr>
                <w:rFonts w:hint="eastAsia"/>
                <w:color w:val="000000"/>
                <w:sz w:val="24"/>
                <w:lang w:eastAsia="zh-CN"/>
              </w:rPr>
              <w:t>）</w:t>
            </w:r>
            <w:r>
              <w:rPr>
                <w:rFonts w:hint="default"/>
                <w:color w:val="000000"/>
                <w:sz w:val="24"/>
              </w:rPr>
              <w:t>对照《有毒有害大气污染物名录（2018年）》，本项目不涉及《有毒有害大气污染物名录（2018年）》相关的污染物。</w:t>
            </w:r>
          </w:p>
          <w:p>
            <w:pPr>
              <w:keepNext w:val="0"/>
              <w:keepLines w:val="0"/>
              <w:suppressLineNumbers w:val="0"/>
              <w:spacing w:before="0" w:beforeAutospacing="0" w:after="0" w:afterAutospacing="0" w:line="360" w:lineRule="auto"/>
              <w:ind w:left="0" w:right="0" w:firstLine="480" w:firstLineChars="200"/>
              <w:rPr>
                <w:rFonts w:hint="default" w:eastAsia="宋体"/>
                <w:color w:val="000000"/>
                <w:sz w:val="24"/>
                <w:lang w:val="en-US" w:eastAsia="zh-CN"/>
              </w:rPr>
            </w:pPr>
            <w:r>
              <w:rPr>
                <w:rFonts w:hint="eastAsia"/>
                <w:color w:val="000000"/>
                <w:sz w:val="24"/>
                <w:lang w:val="en-US" w:eastAsia="zh-CN"/>
              </w:rPr>
              <w:t>（3）对照《重点控制的土壤有毒有害物质名录（第一批）》，本项目不涉及《重点控制的土壤有毒有害物质名录（第一批）》相关的污染物。</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val="en-US" w:eastAsia="zh-CN"/>
              </w:rPr>
              <w:t>（4）</w:t>
            </w:r>
            <w:r>
              <w:rPr>
                <w:rFonts w:hint="default"/>
                <w:color w:val="000000"/>
                <w:sz w:val="24"/>
              </w:rPr>
              <w:t>对照《优先控制化学品名录（第一批）》、《优先控制化学品名录（第二批）》</w:t>
            </w:r>
            <w:r>
              <w:rPr>
                <w:rFonts w:hint="eastAsia"/>
                <w:color w:val="000000"/>
                <w:sz w:val="24"/>
                <w:lang w:eastAsia="zh-CN"/>
              </w:rPr>
              <w:t>、</w:t>
            </w:r>
            <w:r>
              <w:rPr>
                <w:rFonts w:hint="default"/>
                <w:color w:val="000000"/>
                <w:sz w:val="24"/>
              </w:rPr>
              <w:t>《优先控制化学品名录（第</w:t>
            </w:r>
            <w:r>
              <w:rPr>
                <w:rFonts w:hint="eastAsia"/>
                <w:color w:val="000000"/>
                <w:sz w:val="24"/>
                <w:lang w:val="en-US" w:eastAsia="zh-CN"/>
              </w:rPr>
              <w:t>三</w:t>
            </w:r>
            <w:r>
              <w:rPr>
                <w:rFonts w:hint="default"/>
                <w:color w:val="000000"/>
                <w:sz w:val="24"/>
              </w:rPr>
              <w:t>批）》，本项目不涉及相关污染物。</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val="en-US" w:eastAsia="zh-CN"/>
              </w:rPr>
              <w:t>（5）</w:t>
            </w:r>
            <w:r>
              <w:rPr>
                <w:rFonts w:hint="default"/>
                <w:color w:val="000000"/>
                <w:sz w:val="24"/>
              </w:rPr>
              <w:t>对照《关于持久性有机污染物的斯德哥尔摩公约》（简称《斯德哥尔摩公约》），本项目不涉及《斯德哥尔摩公约》相关污染物。</w:t>
            </w:r>
          </w:p>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val="en-US" w:eastAsia="zh-CN"/>
              </w:rPr>
              <w:t>（6）</w:t>
            </w:r>
            <w:r>
              <w:rPr>
                <w:rFonts w:hint="default"/>
                <w:color w:val="000000"/>
                <w:sz w:val="24"/>
              </w:rPr>
              <w:t>《关于加强重点行业涉新污染物建设项目环境影响评价工作的意见》</w:t>
            </w:r>
            <w:r>
              <w:rPr>
                <w:rFonts w:hint="eastAsia"/>
                <w:color w:val="000000"/>
                <w:sz w:val="24"/>
                <w:lang w:eastAsia="zh-CN"/>
              </w:rPr>
              <w:t>（</w:t>
            </w:r>
            <w:r>
              <w:rPr>
                <w:rFonts w:hint="default"/>
                <w:color w:val="000000"/>
                <w:sz w:val="24"/>
              </w:rPr>
              <w:t>环环评〔2025〕28号</w:t>
            </w:r>
            <w:r>
              <w:rPr>
                <w:rFonts w:hint="eastAsia"/>
                <w:color w:val="000000"/>
                <w:sz w:val="24"/>
                <w:lang w:eastAsia="zh-CN"/>
              </w:rPr>
              <w:t>）</w:t>
            </w:r>
            <w:r>
              <w:rPr>
                <w:rFonts w:hint="default"/>
                <w:color w:val="000000"/>
                <w:sz w:val="24"/>
              </w:rPr>
              <w:t>相符性分析</w:t>
            </w:r>
          </w:p>
          <w:p>
            <w:pPr>
              <w:pStyle w:val="58"/>
              <w:keepNext w:val="0"/>
              <w:keepLines w:val="0"/>
              <w:pageBreakBefore w:val="0"/>
              <w:widowControl w:val="0"/>
              <w:suppressLineNumbers w:val="0"/>
              <w:tabs>
                <w:tab w:val="left" w:pos="315"/>
                <w:tab w:val="left" w:pos="36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表1-</w:t>
            </w:r>
            <w:r>
              <w:rPr>
                <w:rFonts w:hint="eastAsia" w:cs="Times New Roman"/>
                <w:b/>
                <w:bCs w:val="0"/>
                <w:color w:val="auto"/>
                <w:kern w:val="2"/>
                <w:sz w:val="24"/>
                <w:szCs w:val="24"/>
                <w:lang w:val="en-US" w:eastAsia="zh-CN" w:bidi="ar-SA"/>
              </w:rPr>
              <w:t>10</w:t>
            </w:r>
            <w:r>
              <w:rPr>
                <w:rFonts w:hint="eastAsia" w:ascii="Times New Roman" w:hAnsi="Times New Roman" w:eastAsia="宋体" w:cs="Times New Roman"/>
                <w:b/>
                <w:bCs w:val="0"/>
                <w:color w:val="auto"/>
                <w:kern w:val="2"/>
                <w:sz w:val="24"/>
                <w:szCs w:val="24"/>
                <w:lang w:val="en-US" w:eastAsia="zh-CN" w:bidi="ar-SA"/>
              </w:rPr>
              <w:t xml:space="preserve"> </w:t>
            </w:r>
            <w:r>
              <w:rPr>
                <w:rFonts w:hint="eastAsia" w:cs="Times New Roman"/>
                <w:b/>
                <w:bCs w:val="0"/>
                <w:color w:val="auto"/>
                <w:kern w:val="2"/>
                <w:sz w:val="24"/>
                <w:szCs w:val="24"/>
                <w:lang w:val="en-US" w:eastAsia="zh-CN" w:bidi="ar-SA"/>
              </w:rPr>
              <w:t>与环环评〔2025〕28号相符性分析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29"/>
              <w:gridCol w:w="1950"/>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文件要求</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本项目</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both"/>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一、突出管理重点</w:t>
                  </w:r>
                </w:p>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本项目不涉及《优先控制化学品名录》、《有毒有害大气污染物名录》、《重点管控新污染物清单（2023年版）》中物质；本项目属于</w:t>
                  </w:r>
                  <w:r>
                    <w:rPr>
                      <w:rFonts w:hint="eastAsia"/>
                      <w:color w:val="000000"/>
                      <w:szCs w:val="21"/>
                    </w:rPr>
                    <w:t>〔C2922〕塑料板、管、型材制造</w:t>
                  </w:r>
                  <w:r>
                    <w:rPr>
                      <w:rFonts w:hint="eastAsia" w:cs="Times New Roman"/>
                      <w:color w:val="auto"/>
                      <w:kern w:val="0"/>
                      <w:sz w:val="21"/>
                      <w:szCs w:val="21"/>
                      <w:lang w:val="en-US" w:eastAsia="zh-CN" w:bidi="ar-SA"/>
                    </w:rPr>
                    <w:t>，不属于中石化、涂料、纺织印染、橡胶、农药、医药等重点行业建设项目。</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both"/>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二、禁止审批不符合新污染物管控要求的建设项目</w:t>
                  </w:r>
                </w:p>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严格审核建设项目原辅材料和产品，对于以禁止生产、加工使用的新污染物作为原辅料或产品的建设项目，依法不予审批。</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color w:val="auto"/>
                      <w:lang w:val="en-US" w:eastAsia="zh-CN"/>
                    </w:rPr>
                  </w:pPr>
                  <w:r>
                    <w:rPr>
                      <w:rFonts w:hint="eastAsia" w:cs="Times New Roman"/>
                      <w:color w:val="auto"/>
                      <w:kern w:val="0"/>
                      <w:sz w:val="21"/>
                      <w:szCs w:val="21"/>
                      <w:lang w:val="en-US" w:eastAsia="zh-CN" w:bidi="ar-SA"/>
                    </w:rPr>
                    <w:t>本项目属于</w:t>
                  </w:r>
                  <w:r>
                    <w:rPr>
                      <w:rFonts w:hint="eastAsia"/>
                      <w:color w:val="000000"/>
                      <w:szCs w:val="21"/>
                    </w:rPr>
                    <w:t>〔C2922〕塑料板、管、型材制造</w:t>
                  </w:r>
                  <w:r>
                    <w:rPr>
                      <w:rFonts w:hint="eastAsia" w:cs="Times New Roman"/>
                      <w:color w:val="auto"/>
                      <w:kern w:val="0"/>
                      <w:sz w:val="21"/>
                      <w:szCs w:val="21"/>
                      <w:lang w:val="en-US" w:eastAsia="zh-CN" w:bidi="ar-SA"/>
                    </w:rPr>
                    <w:t>，不属于不予审批环评的项目类别。</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相符</w:t>
                  </w:r>
                </w:p>
              </w:tc>
            </w:tr>
          </w:tbl>
          <w:p>
            <w:pPr>
              <w:keepNext w:val="0"/>
              <w:keepLines w:val="0"/>
              <w:suppressLineNumbers w:val="0"/>
              <w:spacing w:before="0" w:beforeAutospacing="0" w:after="0" w:afterAutospacing="0" w:line="360" w:lineRule="auto"/>
              <w:ind w:left="0" w:right="0" w:firstLine="480" w:firstLineChars="200"/>
              <w:rPr>
                <w:rFonts w:hint="default"/>
                <w:color w:val="000000"/>
                <w:sz w:val="24"/>
              </w:rPr>
            </w:pPr>
            <w:r>
              <w:rPr>
                <w:rFonts w:hint="eastAsia"/>
                <w:color w:val="000000"/>
                <w:sz w:val="24"/>
                <w:lang w:val="en-US" w:eastAsia="zh-CN"/>
              </w:rPr>
              <w:t>（7）</w:t>
            </w:r>
            <w:r>
              <w:rPr>
                <w:rFonts w:hint="eastAsia"/>
                <w:color w:val="000000"/>
                <w:sz w:val="24"/>
              </w:rPr>
              <w:t>与《省生态环境厅关于加强重点管控新污染物及优先控制化学品环境管理工作的通知》</w:t>
            </w:r>
            <w:r>
              <w:rPr>
                <w:rFonts w:hint="eastAsia"/>
                <w:color w:val="000000"/>
                <w:sz w:val="24"/>
                <w:lang w:eastAsia="zh-CN"/>
              </w:rPr>
              <w:t>（</w:t>
            </w:r>
            <w:r>
              <w:rPr>
                <w:rFonts w:hint="eastAsia"/>
                <w:color w:val="000000"/>
                <w:sz w:val="24"/>
              </w:rPr>
              <w:t>苏环办〔2023〕314号</w:t>
            </w:r>
            <w:r>
              <w:rPr>
                <w:rFonts w:hint="eastAsia"/>
                <w:color w:val="000000"/>
                <w:sz w:val="24"/>
                <w:lang w:eastAsia="zh-CN"/>
              </w:rPr>
              <w:t>）</w:t>
            </w:r>
            <w:r>
              <w:rPr>
                <w:rFonts w:hint="eastAsia"/>
                <w:color w:val="000000"/>
                <w:sz w:val="24"/>
              </w:rPr>
              <w:t>相符性分析</w:t>
            </w:r>
          </w:p>
          <w:p>
            <w:pPr>
              <w:pStyle w:val="58"/>
              <w:keepNext w:val="0"/>
              <w:keepLines w:val="0"/>
              <w:pageBreakBefore w:val="0"/>
              <w:widowControl w:val="0"/>
              <w:suppressLineNumbers w:val="0"/>
              <w:tabs>
                <w:tab w:val="left" w:pos="315"/>
                <w:tab w:val="left" w:pos="36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表1-</w:t>
            </w:r>
            <w:r>
              <w:rPr>
                <w:rFonts w:hint="eastAsia" w:cs="Times New Roman"/>
                <w:b/>
                <w:bCs w:val="0"/>
                <w:color w:val="auto"/>
                <w:kern w:val="2"/>
                <w:sz w:val="24"/>
                <w:szCs w:val="24"/>
                <w:lang w:val="en-US" w:eastAsia="zh-CN" w:bidi="ar-SA"/>
              </w:rPr>
              <w:t>11</w:t>
            </w:r>
            <w:r>
              <w:rPr>
                <w:rFonts w:hint="eastAsia" w:ascii="Times New Roman" w:hAnsi="Times New Roman" w:eastAsia="宋体" w:cs="Times New Roman"/>
                <w:b/>
                <w:bCs w:val="0"/>
                <w:color w:val="auto"/>
                <w:kern w:val="2"/>
                <w:sz w:val="24"/>
                <w:szCs w:val="24"/>
                <w:lang w:val="en-US" w:eastAsia="zh-CN" w:bidi="ar-SA"/>
              </w:rPr>
              <w:t xml:space="preserve"> </w:t>
            </w:r>
            <w:r>
              <w:rPr>
                <w:rFonts w:hint="eastAsia" w:cs="Times New Roman"/>
                <w:b/>
                <w:bCs w:val="0"/>
                <w:color w:val="auto"/>
                <w:kern w:val="2"/>
                <w:sz w:val="24"/>
                <w:szCs w:val="24"/>
                <w:lang w:val="en-US" w:eastAsia="zh-CN" w:bidi="ar-SA"/>
              </w:rPr>
              <w:t>与苏环办〔2023〕314号相符性分析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29"/>
              <w:gridCol w:w="1950"/>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方案要求</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本项目</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cs="Times New Roman"/>
                      <w:b/>
                      <w:bCs/>
                      <w:color w:val="auto"/>
                      <w:kern w:val="0"/>
                      <w:sz w:val="21"/>
                      <w:szCs w:val="21"/>
                      <w:lang w:val="en-US" w:eastAsia="zh-CN" w:bidi="ar-SA"/>
                    </w:rPr>
                  </w:pPr>
                  <w:r>
                    <w:rPr>
                      <w:rFonts w:hint="eastAsia" w:cs="Times New Roman"/>
                      <w:b/>
                      <w:bCs/>
                      <w:color w:val="auto"/>
                      <w:kern w:val="0"/>
                      <w:sz w:val="21"/>
                      <w:szCs w:val="21"/>
                      <w:lang w:val="en-US" w:eastAsia="zh-CN" w:bidi="ar-SA"/>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落实《重点管控新污染物清单》环境风险管控措施。按照《重点管控新污染物清单(2023年版)》要求，对列入清单的重点管控新污染物，采取相应的禁止、限制、限排、环境监测、隐患排查、环境风险评估等环境风险管控措施。涉重点管控新污染物的企业依照《环境监管重点单位名录管理办法》纳入环境监管重点单位。针对重点管控新污染物清单中环境风险管控措施的落实情况，会同有关部门每年至少组织开展一次联合执法或联合检查，依法严厉打击已淘汰持久性有机污染物等管控物质的非法生产和加工使用行为。</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本项目不涉及</w:t>
                  </w:r>
                  <w:r>
                    <w:rPr>
                      <w:rFonts w:hint="eastAsia" w:ascii="Times New Roman" w:hAnsi="Times New Roman" w:eastAsia="宋体" w:cs="Times New Roman"/>
                      <w:color w:val="auto"/>
                      <w:kern w:val="0"/>
                      <w:sz w:val="21"/>
                      <w:szCs w:val="21"/>
                      <w:lang w:val="en-US" w:eastAsia="zh-CN" w:bidi="ar-SA"/>
                    </w:rPr>
                    <w:t>《重点管控新污染物清单</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2023年版</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中的物质</w:t>
                  </w:r>
                  <w:r>
                    <w:rPr>
                      <w:rFonts w:hint="eastAsia" w:cs="Times New Roman"/>
                      <w:color w:val="auto"/>
                      <w:kern w:val="0"/>
                      <w:sz w:val="21"/>
                      <w:szCs w:val="21"/>
                      <w:lang w:val="en-US" w:eastAsia="zh-CN" w:bidi="ar-SA"/>
                    </w:rPr>
                    <w:t>。</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落实《优先控制化学品名录》环境风险管控措施。对列入《优先控制化学品名录》的化学品，针对其产生环境与健康风险的主要环节，依据相关政策法规，结合经济技术可行性，采取纳入排污许可制度管理、实行限制措施（限制使用、鼓励替代）、实施清洁生产审核及信息公开等一种或几种风险管控措施，最大限度降低化学品的生产、使用对人类健康和环境的重大影响。针对《优先控制化学品名录（第一批）》《优先控制化学品名录（第二批）》中化学品环境风险管控措施的落实情况，会同有关部门每年至少组织开展一次跨部门联合检查。</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color w:val="auto"/>
                      <w:lang w:val="en-US" w:eastAsia="zh-CN"/>
                    </w:rPr>
                  </w:pPr>
                  <w:r>
                    <w:rPr>
                      <w:rFonts w:hint="eastAsia" w:cs="Times New Roman"/>
                      <w:color w:val="auto"/>
                      <w:kern w:val="0"/>
                      <w:sz w:val="21"/>
                      <w:szCs w:val="21"/>
                      <w:lang w:val="en-US" w:eastAsia="zh-CN" w:bidi="ar-SA"/>
                    </w:rPr>
                    <w:t>本项目不涉及</w:t>
                  </w:r>
                  <w:r>
                    <w:rPr>
                      <w:rFonts w:hint="eastAsia" w:ascii="Times New Roman" w:hAnsi="Times New Roman" w:eastAsia="宋体" w:cs="Times New Roman"/>
                      <w:color w:val="auto"/>
                      <w:kern w:val="0"/>
                      <w:sz w:val="21"/>
                      <w:szCs w:val="21"/>
                      <w:lang w:val="en-US" w:eastAsia="zh-CN" w:bidi="ar-SA"/>
                    </w:rPr>
                    <w:t>《优先控制化学品名录》</w:t>
                  </w:r>
                  <w:r>
                    <w:rPr>
                      <w:rFonts w:hint="eastAsia" w:ascii="Times New Roman" w:hAnsi="Times New Roman" w:cs="Times New Roman"/>
                      <w:color w:val="auto"/>
                      <w:kern w:val="0"/>
                      <w:sz w:val="21"/>
                      <w:szCs w:val="21"/>
                      <w:lang w:val="en-US" w:eastAsia="zh-CN" w:bidi="ar-SA"/>
                    </w:rPr>
                    <w:t>中的物质</w:t>
                  </w:r>
                  <w:r>
                    <w:rPr>
                      <w:rFonts w:hint="eastAsia" w:cs="Times New Roman"/>
                      <w:color w:val="auto"/>
                      <w:kern w:val="0"/>
                      <w:sz w:val="21"/>
                      <w:szCs w:val="21"/>
                      <w:lang w:val="en-US" w:eastAsia="zh-CN" w:bidi="ar-SA"/>
                    </w:rPr>
                    <w:t>。</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3"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落实《有毒有害水污染物名录》《有毒有害大气污染物名录》要求。建立排放《有毒有害水污染物名录》所列有毒有害水污染物的企业事业单位和其他生产经营者清单。依据《中华人民共和国水污染防治法》，涉及非放名录中所列有毒有害水污染物的企业事业单位和其他生产经营者，要对排污口和周边环境进行监测，评估环境风险，排查环境安全隐患，并公开有毒有害水污染物信息，采取有效措施防范环境风险。依据《中华人民共和国大气污染防治法》，涉及排放名录中所列有毒有害大气污染物的企业事业单位，要按照国家有关规定建设环境风险预警体系，对排放口和周边环境进行定期监测，评估环境风险，排查环境安全隐患，并采取有效措施防范环境风险。每年组织开展企业环境监测情况及企业有毒有害水、大气污染物信息公开情况检查。</w:t>
                  </w:r>
                </w:p>
              </w:tc>
              <w:tc>
                <w:tcPr>
                  <w:tcW w:w="1305"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本项目不涉及</w:t>
                  </w:r>
                  <w:r>
                    <w:rPr>
                      <w:rFonts w:hint="eastAsia" w:ascii="Times New Roman" w:hAnsi="Times New Roman" w:eastAsia="宋体" w:cs="Times New Roman"/>
                      <w:color w:val="auto"/>
                      <w:kern w:val="0"/>
                      <w:sz w:val="21"/>
                      <w:szCs w:val="21"/>
                      <w:lang w:val="en-US" w:eastAsia="zh-CN" w:bidi="ar-SA"/>
                    </w:rPr>
                    <w:t>《有毒有害水污染物名录》</w:t>
                  </w:r>
                  <w:r>
                    <w:rPr>
                      <w:rFonts w:hint="eastAsia" w:ascii="Times New Roman" w:hAnsi="Times New Roman" w:cs="Times New Roman"/>
                      <w:color w:val="auto"/>
                      <w:kern w:val="0"/>
                      <w:sz w:val="21"/>
                      <w:szCs w:val="21"/>
                      <w:lang w:val="en-US" w:eastAsia="zh-CN" w:bidi="ar-SA"/>
                    </w:rPr>
                    <w:t>中的物质。</w:t>
                  </w:r>
                </w:p>
              </w:tc>
              <w:tc>
                <w:tcPr>
                  <w:tcW w:w="460" w:type="pct"/>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相符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color w:val="000000"/>
                <w:kern w:val="0"/>
                <w:sz w:val="21"/>
                <w:szCs w:val="21"/>
                <w:vertAlign w:val="baseline"/>
                <w:lang w:val="en-US" w:eastAsia="zh-CN"/>
              </w:rPr>
            </w:pPr>
          </w:p>
        </w:tc>
      </w:tr>
    </w:tbl>
    <w:p>
      <w:pPr>
        <w:spacing w:line="360" w:lineRule="auto"/>
        <w:outlineLvl w:val="0"/>
        <w:rPr>
          <w:rFonts w:hint="default" w:ascii="Times New Roman" w:hAnsi="Times New Roman" w:eastAsia="黑体" w:cs="Times New Roman"/>
          <w:color w:val="00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2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4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color w:val="auto"/>
                <w:kern w:val="0"/>
                <w:szCs w:val="21"/>
                <w:lang w:eastAsia="zh-CN"/>
              </w:rPr>
              <w:t>其他符合性分析</w:t>
            </w:r>
          </w:p>
        </w:tc>
        <w:tc>
          <w:tcPr>
            <w:tcW w:w="4650" w:type="pct"/>
            <w:noWrap w:val="0"/>
            <w:vAlign w:val="center"/>
          </w:tcPr>
          <w:p>
            <w:pPr>
              <w:keepNext w:val="0"/>
              <w:keepLines w:val="0"/>
              <w:suppressLineNumbers w:val="0"/>
              <w:adjustRightInd w:val="0"/>
              <w:snapToGrid w:val="0"/>
              <w:spacing w:before="0" w:beforeAutospacing="0" w:after="0" w:afterAutospacing="0" w:line="240" w:lineRule="auto"/>
              <w:ind w:left="0" w:right="0" w:firstLine="482" w:firstLineChars="200"/>
              <w:jc w:val="both"/>
              <w:rPr>
                <w:rFonts w:hint="default" w:ascii="Times New Roman" w:hAnsi="Times New Roman" w:eastAsia="宋体" w:cs="Times New Roman"/>
                <w:b/>
                <w:color w:val="auto"/>
                <w:sz w:val="21"/>
                <w:szCs w:val="21"/>
              </w:rPr>
            </w:pPr>
            <w:r>
              <w:rPr>
                <w:rFonts w:hint="eastAsia" w:cs="Times New Roman"/>
                <w:b/>
                <w:bCs/>
                <w:color w:val="000000"/>
                <w:sz w:val="24"/>
                <w:szCs w:val="24"/>
                <w:lang w:val="en-US" w:eastAsia="zh-CN"/>
              </w:rPr>
              <w:t>6</w:t>
            </w:r>
            <w:r>
              <w:rPr>
                <w:rFonts w:hint="default" w:ascii="Times New Roman" w:hAnsi="Times New Roman" w:cs="Times New Roman"/>
                <w:b/>
                <w:bCs/>
                <w:color w:val="000000"/>
                <w:sz w:val="24"/>
                <w:szCs w:val="24"/>
                <w:lang w:val="en-US" w:eastAsia="zh-CN"/>
              </w:rPr>
              <w:t>、</w:t>
            </w:r>
            <w:r>
              <w:rPr>
                <w:rFonts w:hint="eastAsia" w:ascii="Times New Roman" w:hAnsi="Times New Roman" w:cs="Times New Roman"/>
                <w:b/>
                <w:bCs/>
                <w:color w:val="000000"/>
                <w:sz w:val="24"/>
                <w:szCs w:val="24"/>
                <w:lang w:val="en-US" w:eastAsia="zh-CN"/>
              </w:rPr>
              <w:t>项目清洁生产分析</w:t>
            </w:r>
          </w:p>
          <w:p>
            <w:pPr>
              <w:keepNext w:val="0"/>
              <w:keepLines w:val="0"/>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1-12</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eastAsia="zh-CN"/>
              </w:rPr>
              <w:t>塑料制品行业</w:t>
            </w:r>
            <w:r>
              <w:rPr>
                <w:rFonts w:hint="default" w:ascii="Times New Roman" w:hAnsi="Times New Roman" w:eastAsia="宋体" w:cs="Times New Roman"/>
                <w:b/>
                <w:color w:val="auto"/>
                <w:sz w:val="24"/>
                <w:szCs w:val="24"/>
                <w:lang w:eastAsia="zh-CN"/>
              </w:rPr>
              <w:t>清洁生产评价指标项目、权重及基准值</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382"/>
              <w:gridCol w:w="551"/>
              <w:gridCol w:w="646"/>
              <w:gridCol w:w="984"/>
              <w:gridCol w:w="989"/>
              <w:gridCol w:w="797"/>
              <w:gridCol w:w="760"/>
              <w:gridCol w:w="1445"/>
              <w:gridCol w:w="1248"/>
              <w:gridCol w:w="1319"/>
              <w:gridCol w:w="1579"/>
              <w:gridCol w:w="583"/>
              <w:gridCol w:w="583"/>
              <w:gridCol w:w="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01" w:hRule="atLeast"/>
                <w:jc w:val="center"/>
              </w:trPr>
              <w:tc>
                <w:tcPr>
                  <w:tcW w:w="152"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序号</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一级指标</w:t>
                  </w:r>
                </w:p>
              </w:tc>
              <w:tc>
                <w:tcPr>
                  <w:tcW w:w="269"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一级指标权重</w:t>
                  </w:r>
                </w:p>
              </w:tc>
              <w:tc>
                <w:tcPr>
                  <w:tcW w:w="812" w:type="pct"/>
                  <w:gridSpan w:val="2"/>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二级指标</w:t>
                  </w:r>
                </w:p>
              </w:tc>
              <w:tc>
                <w:tcPr>
                  <w:tcW w:w="326"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单位</w:t>
                  </w:r>
                </w:p>
              </w:tc>
              <w:tc>
                <w:tcPr>
                  <w:tcW w:w="317"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二级指标权重</w:t>
                  </w:r>
                </w:p>
              </w:tc>
              <w:tc>
                <w:tcPr>
                  <w:tcW w:w="590"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Ⅰ</w:t>
                  </w:r>
                </w:p>
              </w:tc>
              <w:tc>
                <w:tcPr>
                  <w:tcW w:w="51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Ⅱ</w:t>
                  </w:r>
                </w:p>
              </w:tc>
              <w:tc>
                <w:tcPr>
                  <w:tcW w:w="538"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Ⅲ</w:t>
                  </w:r>
                </w:p>
              </w:tc>
              <w:tc>
                <w:tcPr>
                  <w:tcW w:w="545"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本项目情况</w:t>
                  </w:r>
                </w:p>
              </w:tc>
              <w:tc>
                <w:tcPr>
                  <w:tcW w:w="703"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01" w:hRule="atLeast"/>
                <w:jc w:val="center"/>
              </w:trPr>
              <w:tc>
                <w:tcPr>
                  <w:tcW w:w="152"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12" w:type="pct"/>
                  <w:gridSpan w:val="2"/>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26"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17"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90"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1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38"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45"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一级</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二级</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生产工艺及设备要求</w:t>
                  </w:r>
                </w:p>
              </w:tc>
              <w:tc>
                <w:tcPr>
                  <w:tcW w:w="26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注塑、挤出</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0.4</w:t>
                  </w:r>
                </w:p>
              </w:tc>
              <w:tc>
                <w:tcPr>
                  <w:tcW w:w="1101"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环保、节能技术应用</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环保技术应用</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有环保、节能技术应用</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10</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10</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混料、供料</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采用集中供料系统、有粉尘处理设备处理效率≥</w:t>
                  </w:r>
                  <w:r>
                    <w:rPr>
                      <w:rFonts w:hint="default" w:ascii="Times New Roman" w:hAnsi="Times New Roman" w:eastAsia="宋体" w:cs="Times New Roman"/>
                      <w:color w:val="auto"/>
                      <w:kern w:val="0"/>
                      <w:sz w:val="21"/>
                      <w:szCs w:val="21"/>
                      <w:lang w:val="en-US" w:eastAsia="zh-CN"/>
                    </w:rPr>
                    <w:t>99%或密闭混料</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采用集中供料系统，有粉尘处理设备处理效率≥</w:t>
                  </w:r>
                  <w:r>
                    <w:rPr>
                      <w:rFonts w:hint="default" w:ascii="Times New Roman" w:hAnsi="Times New Roman" w:eastAsia="宋体" w:cs="Times New Roman"/>
                      <w:color w:val="auto"/>
                      <w:kern w:val="0"/>
                      <w:sz w:val="21"/>
                      <w:szCs w:val="21"/>
                      <w:lang w:val="en-US" w:eastAsia="zh-CN"/>
                    </w:rPr>
                    <w:t>99%</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分散供料，有粉尘处理设备处理效率≥</w:t>
                  </w:r>
                  <w:r>
                    <w:rPr>
                      <w:rFonts w:hint="default" w:ascii="Times New Roman" w:hAnsi="Times New Roman" w:eastAsia="宋体" w:cs="Times New Roman"/>
                      <w:color w:val="auto"/>
                      <w:kern w:val="0"/>
                      <w:sz w:val="21"/>
                      <w:szCs w:val="21"/>
                      <w:lang w:val="en-US" w:eastAsia="zh-CN"/>
                    </w:rPr>
                    <w:t>95%</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供料无粉尘产生</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破碎</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密闭破碎或有粉尘处理设备，粉尘处理效率≥</w:t>
                  </w:r>
                  <w:r>
                    <w:rPr>
                      <w:rFonts w:hint="default" w:ascii="Times New Roman" w:hAnsi="Times New Roman" w:eastAsia="宋体" w:cs="Times New Roman"/>
                      <w:color w:val="auto"/>
                      <w:kern w:val="0"/>
                      <w:sz w:val="21"/>
                      <w:szCs w:val="21"/>
                      <w:lang w:val="en-US" w:eastAsia="zh-CN"/>
                    </w:rPr>
                    <w:t>99%</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密闭破碎或有粉尘处理设备，粉尘处理效率≥</w:t>
                  </w:r>
                  <w:r>
                    <w:rPr>
                      <w:rFonts w:hint="default" w:ascii="Times New Roman" w:hAnsi="Times New Roman" w:eastAsia="宋体" w:cs="Times New Roman"/>
                      <w:color w:val="auto"/>
                      <w:kern w:val="0"/>
                      <w:sz w:val="21"/>
                      <w:szCs w:val="21"/>
                      <w:lang w:val="en-US" w:eastAsia="zh-CN"/>
                    </w:rPr>
                    <w:t>98%</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密闭破碎或有粉尘处理设备，粉尘处理效率≥</w:t>
                  </w:r>
                  <w:r>
                    <w:rPr>
                      <w:rFonts w:hint="default" w:ascii="Times New Roman" w:hAnsi="Times New Roman" w:eastAsia="宋体" w:cs="Times New Roman"/>
                      <w:color w:val="auto"/>
                      <w:kern w:val="0"/>
                      <w:sz w:val="21"/>
                      <w:szCs w:val="21"/>
                      <w:lang w:val="en-US" w:eastAsia="zh-CN"/>
                    </w:rPr>
                    <w:t>95%</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破碎工段设有粉尘处理设施，粉尘处理效率为95%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0</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0</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有机废气处理设施</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产生有机废气的生产工艺和装置设立局部或整体气体收集系统和净化处理系统</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产生有机废气的生产工艺和装置设立局部或整体气体收集系统</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产生有机废气的生产工艺和装置没有设立废气收集系统</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有废气收集和处理系统</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资源能源消耗指标</w:t>
                  </w:r>
                </w:p>
              </w:tc>
              <w:tc>
                <w:tcPr>
                  <w:tcW w:w="269"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单位产品原辅材料消耗量</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0.30</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1.05</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1.10</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1.15</w:t>
                  </w:r>
                </w:p>
              </w:tc>
              <w:tc>
                <w:tcPr>
                  <w:tcW w:w="545"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单位产品原辅材料消耗量</w:t>
                  </w:r>
                  <w:r>
                    <w:rPr>
                      <w:rFonts w:hint="eastAsia" w:ascii="Times New Roman" w:hAnsi="Times New Roman" w:eastAsia="宋体" w:cs="Times New Roman"/>
                      <w:color w:val="auto"/>
                      <w:kern w:val="0"/>
                      <w:sz w:val="21"/>
                      <w:szCs w:val="21"/>
                      <w:lang w:eastAsia="zh-CN"/>
                    </w:rPr>
                    <w:t>为</w:t>
                  </w:r>
                  <w:r>
                    <w:rPr>
                      <w:rFonts w:hint="eastAsia" w:ascii="Times New Roman" w:hAnsi="Times New Roman" w:eastAsia="宋体" w:cs="Times New Roman"/>
                      <w:color w:val="auto"/>
                      <w:kern w:val="0"/>
                      <w:sz w:val="21"/>
                      <w:szCs w:val="21"/>
                      <w:lang w:val="en-US" w:eastAsia="zh-CN"/>
                    </w:rPr>
                    <w:t>1.004</w:t>
                  </w:r>
                  <w:r>
                    <w:rPr>
                      <w:rFonts w:hint="default" w:ascii="Times New Roman" w:hAnsi="Times New Roman" w:eastAsia="宋体" w:cs="Times New Roman"/>
                      <w:color w:val="auto"/>
                      <w:kern w:val="0"/>
                      <w:sz w:val="21"/>
                      <w:szCs w:val="21"/>
                      <w:lang w:val="en-US" w:eastAsia="zh-CN"/>
                    </w:rPr>
                    <w:t>t/t</w:t>
                  </w:r>
                  <w:r>
                    <w:rPr>
                      <w:rFonts w:hint="eastAsia" w:ascii="Times New Roman" w:hAnsi="Times New Roman" w:eastAsia="宋体" w:cs="Times New Roman"/>
                      <w:color w:val="auto"/>
                      <w:kern w:val="0"/>
                      <w:sz w:val="21"/>
                      <w:szCs w:val="21"/>
                      <w:lang w:val="en-US" w:eastAsia="zh-CN"/>
                    </w:rPr>
                    <w:t>；单位产品取水量为0.327</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/t</w:t>
                  </w:r>
                  <w:r>
                    <w:rPr>
                      <w:rFonts w:hint="eastAsia"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lang w:eastAsia="zh-CN"/>
                    </w:rPr>
                    <w:t>单位产品综合能耗</w:t>
                  </w:r>
                  <w:r>
                    <w:rPr>
                      <w:rFonts w:hint="eastAsia" w:ascii="Times New Roman" w:hAnsi="Times New Roman" w:eastAsia="宋体" w:cs="Times New Roman"/>
                      <w:color w:val="auto"/>
                      <w:kern w:val="0"/>
                      <w:sz w:val="21"/>
                      <w:szCs w:val="21"/>
                      <w:lang w:eastAsia="zh-CN"/>
                    </w:rPr>
                    <w:t>为</w:t>
                  </w:r>
                  <w:r>
                    <w:rPr>
                      <w:rFonts w:hint="eastAsia" w:ascii="Times New Roman" w:hAnsi="Times New Roman" w:eastAsia="宋体" w:cs="Times New Roman"/>
                      <w:color w:val="auto"/>
                      <w:kern w:val="0"/>
                      <w:sz w:val="21"/>
                      <w:szCs w:val="21"/>
                      <w:lang w:val="en-US" w:eastAsia="zh-CN"/>
                    </w:rPr>
                    <w:t>19.18</w:t>
                  </w:r>
                  <w:r>
                    <w:rPr>
                      <w:rFonts w:hint="default" w:ascii="Times New Roman" w:hAnsi="Times New Roman" w:eastAsia="宋体" w:cs="Times New Roman"/>
                      <w:color w:val="auto"/>
                      <w:kern w:val="0"/>
                      <w:sz w:val="21"/>
                      <w:szCs w:val="21"/>
                      <w:lang w:val="en-US" w:eastAsia="zh-CN"/>
                    </w:rPr>
                    <w:t>kgce/t</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注塑工艺单位产品电耗</w:t>
                  </w:r>
                  <w:r>
                    <w:rPr>
                      <w:rFonts w:hint="eastAsia" w:ascii="Times New Roman" w:hAnsi="Times New Roman" w:eastAsia="宋体" w:cs="Times New Roman"/>
                      <w:color w:val="auto"/>
                      <w:kern w:val="0"/>
                      <w:sz w:val="21"/>
                      <w:szCs w:val="21"/>
                      <w:lang w:eastAsia="zh-CN"/>
                    </w:rPr>
                    <w:t>为</w:t>
                  </w:r>
                  <w:r>
                    <w:rPr>
                      <w:rFonts w:hint="eastAsia" w:ascii="Times New Roman" w:hAnsi="Times New Roman" w:eastAsia="宋体" w:cs="Times New Roman"/>
                      <w:color w:val="auto"/>
                      <w:kern w:val="0"/>
                      <w:sz w:val="21"/>
                      <w:szCs w:val="21"/>
                      <w:lang w:val="en-US" w:eastAsia="zh-CN"/>
                    </w:rPr>
                    <w:t>28.9</w:t>
                  </w:r>
                  <w:r>
                    <w:rPr>
                      <w:rFonts w:hint="default" w:ascii="Times New Roman" w:hAnsi="Times New Roman" w:eastAsia="宋体" w:cs="Times New Roman"/>
                      <w:color w:val="auto"/>
                      <w:kern w:val="0"/>
                      <w:sz w:val="21"/>
                      <w:szCs w:val="21"/>
                      <w:lang w:val="en-US" w:eastAsia="zh-CN"/>
                    </w:rPr>
                    <w:t>kW·h/t</w:t>
                  </w:r>
                  <w:r>
                    <w:rPr>
                      <w:rFonts w:hint="eastAsia" w:ascii="Times New Roman" w:hAnsi="Times New Roman" w:eastAsia="宋体" w:cs="Times New Roman"/>
                      <w:color w:val="auto"/>
                      <w:kern w:val="0"/>
                      <w:sz w:val="21"/>
                      <w:szCs w:val="21"/>
                      <w:lang w:val="en-US" w:eastAsia="zh-CN"/>
                    </w:rPr>
                    <w:t>。</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单位产品取水量</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0.30</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5</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10</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13</w:t>
                  </w:r>
                </w:p>
              </w:tc>
              <w:tc>
                <w:tcPr>
                  <w:tcW w:w="545"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40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单位产品综合能耗</w:t>
                  </w:r>
                </w:p>
              </w:tc>
              <w:tc>
                <w:tcPr>
                  <w:tcW w:w="40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工艺温度</w:t>
                  </w:r>
                  <w:r>
                    <w:rPr>
                      <w:rFonts w:hint="default" w:ascii="Times New Roman" w:hAnsi="Times New Roman" w:eastAsia="宋体" w:cs="Times New Roman"/>
                      <w:color w:val="auto"/>
                      <w:kern w:val="0"/>
                      <w:sz w:val="21"/>
                      <w:szCs w:val="21"/>
                      <w:lang w:val="en-US" w:eastAsia="zh-CN"/>
                    </w:rPr>
                    <w:t>≥200℃</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kgce/t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0.20</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42</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85</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100</w:t>
                  </w:r>
                </w:p>
              </w:tc>
              <w:tc>
                <w:tcPr>
                  <w:tcW w:w="545"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40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注塑工艺单位产品电耗</w:t>
                  </w:r>
                </w:p>
              </w:tc>
              <w:tc>
                <w:tcPr>
                  <w:tcW w:w="40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工艺温度</w:t>
                  </w:r>
                  <w:r>
                    <w:rPr>
                      <w:rFonts w:hint="default" w:ascii="Times New Roman" w:hAnsi="Times New Roman" w:eastAsia="宋体" w:cs="Times New Roman"/>
                      <w:color w:val="auto"/>
                      <w:kern w:val="0"/>
                      <w:sz w:val="21"/>
                      <w:szCs w:val="21"/>
                      <w:lang w:val="en-US" w:eastAsia="zh-CN"/>
                    </w:rPr>
                    <w:t>≥200℃</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kW·h/t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0.20</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70</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550</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650</w:t>
                  </w:r>
                </w:p>
              </w:tc>
              <w:tc>
                <w:tcPr>
                  <w:tcW w:w="545"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w:t>
                  </w:r>
                </w:p>
              </w:tc>
              <w:tc>
                <w:tcPr>
                  <w:tcW w:w="23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资源综合利用指标</w:t>
                  </w:r>
                </w:p>
              </w:tc>
              <w:tc>
                <w:tcPr>
                  <w:tcW w:w="269"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水重复利用率</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90</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80</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60</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lang w:eastAsia="zh-CN"/>
                    </w:rPr>
                    <w:t>全厂</w:t>
                  </w:r>
                  <w:r>
                    <w:rPr>
                      <w:rFonts w:hint="default" w:ascii="Times New Roman" w:hAnsi="Times New Roman" w:eastAsia="宋体" w:cs="Times New Roman"/>
                      <w:color w:val="auto"/>
                      <w:kern w:val="0"/>
                      <w:sz w:val="21"/>
                      <w:szCs w:val="21"/>
                      <w:lang w:eastAsia="zh-CN"/>
                    </w:rPr>
                    <w:t>循环冷却水</w:t>
                  </w:r>
                  <w:r>
                    <w:rPr>
                      <w:rFonts w:hint="eastAsia" w:ascii="Times New Roman" w:hAnsi="Times New Roman" w:eastAsia="宋体" w:cs="Times New Roman"/>
                      <w:color w:val="auto"/>
                      <w:kern w:val="0"/>
                      <w:sz w:val="21"/>
                      <w:szCs w:val="21"/>
                      <w:lang w:eastAsia="zh-CN"/>
                    </w:rPr>
                    <w:t>循环量</w:t>
                  </w:r>
                  <w:r>
                    <w:rPr>
                      <w:rFonts w:hint="eastAsia" w:ascii="Times New Roman" w:hAnsi="Times New Roman" w:eastAsia="宋体" w:cs="Times New Roman"/>
                      <w:color w:val="auto"/>
                      <w:kern w:val="0"/>
                      <w:sz w:val="21"/>
                      <w:szCs w:val="21"/>
                      <w:lang w:val="en-US" w:eastAsia="zh-CN"/>
                    </w:rPr>
                    <w:t>168480m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vertAlign w:val="baseline"/>
                      <w:lang w:val="en-US" w:eastAsia="zh-CN"/>
                    </w:rPr>
                    <w:t>，新水</w:t>
                  </w:r>
                  <w:r>
                    <w:rPr>
                      <w:rFonts w:hint="default" w:ascii="Times New Roman" w:hAnsi="Times New Roman" w:eastAsia="宋体" w:cs="Times New Roman"/>
                      <w:color w:val="auto"/>
                      <w:kern w:val="0"/>
                      <w:sz w:val="21"/>
                      <w:szCs w:val="21"/>
                      <w:vertAlign w:val="baseline"/>
                      <w:lang w:val="en-US" w:eastAsia="zh-CN"/>
                    </w:rPr>
                    <w:t>用量</w:t>
                  </w:r>
                  <w:r>
                    <w:rPr>
                      <w:rFonts w:hint="eastAsia" w:ascii="Times New Roman" w:hAnsi="Times New Roman" w:eastAsia="宋体" w:cs="Times New Roman"/>
                      <w:color w:val="auto"/>
                      <w:kern w:val="0"/>
                      <w:sz w:val="21"/>
                      <w:szCs w:val="21"/>
                      <w:vertAlign w:val="baseline"/>
                      <w:lang w:val="en-US" w:eastAsia="zh-CN"/>
                    </w:rPr>
                    <w:t>1629.36</w:t>
                  </w:r>
                  <w:r>
                    <w:rPr>
                      <w:rFonts w:hint="default" w:ascii="Times New Roman" w:hAnsi="Times New Roman" w:eastAsia="宋体" w:cs="Times New Roman"/>
                      <w:color w:val="auto"/>
                      <w:kern w:val="0"/>
                      <w:sz w:val="21"/>
                      <w:szCs w:val="21"/>
                      <w:vertAlign w:val="baseline"/>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vertAlign w:val="baseline"/>
                      <w:lang w:val="en-US" w:eastAsia="zh-CN"/>
                    </w:rPr>
                    <w:t>，经计算水重复利用率为9</w:t>
                  </w:r>
                  <w:r>
                    <w:rPr>
                      <w:rFonts w:hint="eastAsia" w:ascii="Times New Roman" w:hAnsi="Times New Roman" w:eastAsia="宋体" w:cs="Times New Roman"/>
                      <w:color w:val="auto"/>
                      <w:kern w:val="0"/>
                      <w:sz w:val="21"/>
                      <w:szCs w:val="21"/>
                      <w:vertAlign w:val="baseline"/>
                      <w:lang w:val="en-US" w:eastAsia="zh-CN"/>
                    </w:rPr>
                    <w:t>9.0</w:t>
                  </w:r>
                  <w:r>
                    <w:rPr>
                      <w:rFonts w:hint="default" w:ascii="Times New Roman" w:hAnsi="Times New Roman" w:eastAsia="宋体" w:cs="Times New Roman"/>
                      <w:color w:val="auto"/>
                      <w:kern w:val="0"/>
                      <w:sz w:val="21"/>
                      <w:szCs w:val="21"/>
                      <w:vertAlign w:val="baseline"/>
                      <w:lang w:val="en-US" w:eastAsia="zh-CN"/>
                    </w:rPr>
                    <w:t>%</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污染物产生指标</w:t>
                  </w:r>
                </w:p>
              </w:tc>
              <w:tc>
                <w:tcPr>
                  <w:tcW w:w="269"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单位产品</w:t>
                  </w:r>
                  <w:r>
                    <w:rPr>
                      <w:rFonts w:hint="default" w:ascii="Times New Roman" w:hAnsi="Times New Roman" w:eastAsia="宋体" w:cs="Times New Roman"/>
                      <w:color w:val="auto"/>
                      <w:kern w:val="0"/>
                      <w:sz w:val="21"/>
                      <w:szCs w:val="21"/>
                      <w:lang w:val="en-US" w:eastAsia="zh-CN"/>
                    </w:rPr>
                    <w:t>VOC排放量</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0.6</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1.5</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2.9</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全厂</w:t>
                  </w:r>
                  <w:r>
                    <w:rPr>
                      <w:rFonts w:hint="default" w:ascii="Times New Roman" w:hAnsi="Times New Roman" w:eastAsia="宋体" w:cs="Times New Roman"/>
                      <w:color w:val="auto"/>
                      <w:kern w:val="0"/>
                      <w:sz w:val="21"/>
                      <w:szCs w:val="21"/>
                      <w:lang w:val="en-US" w:eastAsia="zh-CN"/>
                    </w:rPr>
                    <w:t>VOCs排放量为</w:t>
                  </w:r>
                  <w:r>
                    <w:rPr>
                      <w:rFonts w:hint="eastAsia" w:ascii="Times New Roman" w:hAnsi="Times New Roman" w:eastAsia="宋体" w:cs="Times New Roman"/>
                      <w:color w:val="auto"/>
                      <w:kern w:val="0"/>
                      <w:sz w:val="21"/>
                      <w:szCs w:val="21"/>
                      <w:lang w:val="en-US" w:eastAsia="zh-CN"/>
                    </w:rPr>
                    <w:t>05268</w:t>
                  </w:r>
                  <w:r>
                    <w:rPr>
                      <w:rFonts w:hint="default" w:ascii="Times New Roman" w:hAnsi="Times New Roman" w:eastAsia="宋体" w:cs="Times New Roman"/>
                      <w:color w:val="auto"/>
                      <w:kern w:val="0"/>
                      <w:sz w:val="21"/>
                      <w:szCs w:val="21"/>
                      <w:lang w:val="en-US" w:eastAsia="zh-CN"/>
                    </w:rPr>
                    <w:t>t/a，产能为</w:t>
                  </w:r>
                  <w:r>
                    <w:rPr>
                      <w:rFonts w:hint="eastAsia" w:ascii="Times New Roman" w:hAnsi="Times New Roman" w:eastAsia="宋体" w:cs="Times New Roman"/>
                      <w:color w:val="auto"/>
                      <w:kern w:val="0"/>
                      <w:sz w:val="21"/>
                      <w:szCs w:val="21"/>
                      <w:lang w:val="en-US" w:eastAsia="zh-CN"/>
                    </w:rPr>
                    <w:t>4982.6235</w:t>
                  </w:r>
                  <w:r>
                    <w:rPr>
                      <w:rFonts w:hint="default" w:ascii="Times New Roman" w:hAnsi="Times New Roman" w:eastAsia="宋体" w:cs="Times New Roman"/>
                      <w:color w:val="auto"/>
                      <w:kern w:val="0"/>
                      <w:sz w:val="21"/>
                      <w:szCs w:val="21"/>
                      <w:lang w:val="en-US" w:eastAsia="zh-CN"/>
                    </w:rPr>
                    <w:t>t，单位产品VOC排放量为</w:t>
                  </w:r>
                  <w:r>
                    <w:rPr>
                      <w:rFonts w:hint="eastAsia" w:ascii="Times New Roman" w:hAnsi="Times New Roman" w:eastAsia="宋体" w:cs="Times New Roman"/>
                      <w:color w:val="auto"/>
                      <w:kern w:val="0"/>
                      <w:sz w:val="21"/>
                      <w:szCs w:val="21"/>
                      <w:lang w:val="en-US" w:eastAsia="zh-CN"/>
                    </w:rPr>
                    <w:t>0.1057</w:t>
                  </w:r>
                  <w:r>
                    <w:rPr>
                      <w:rFonts w:hint="default" w:ascii="Times New Roman" w:hAnsi="Times New Roman" w:eastAsia="宋体" w:cs="Times New Roman"/>
                      <w:color w:val="auto"/>
                      <w:kern w:val="0"/>
                      <w:sz w:val="21"/>
                      <w:szCs w:val="21"/>
                      <w:lang w:val="en-US" w:eastAsia="zh-CN"/>
                    </w:rPr>
                    <w:t>kg/t</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7.5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7.5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单位产品危险废物产生量</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kg/t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0.5</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2</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全厂危废产生量为</w:t>
                  </w:r>
                  <w:r>
                    <w:rPr>
                      <w:rFonts w:hint="eastAsia" w:ascii="Times New Roman" w:hAnsi="Times New Roman" w:eastAsia="宋体" w:cs="Times New Roman"/>
                      <w:color w:val="auto"/>
                      <w:kern w:val="0"/>
                      <w:sz w:val="21"/>
                      <w:szCs w:val="21"/>
                      <w:lang w:val="en-US" w:eastAsia="zh-CN"/>
                    </w:rPr>
                    <w:t>31.6605</w:t>
                  </w:r>
                  <w:r>
                    <w:rPr>
                      <w:rFonts w:hint="default" w:ascii="Times New Roman" w:hAnsi="Times New Roman" w:eastAsia="宋体" w:cs="Times New Roman"/>
                      <w:color w:val="auto"/>
                      <w:kern w:val="0"/>
                      <w:sz w:val="21"/>
                      <w:szCs w:val="21"/>
                      <w:lang w:val="en-US" w:eastAsia="zh-CN"/>
                    </w:rPr>
                    <w:t>t，产能为</w:t>
                  </w:r>
                  <w:r>
                    <w:rPr>
                      <w:rFonts w:hint="eastAsia" w:ascii="Times New Roman" w:hAnsi="Times New Roman" w:eastAsia="宋体" w:cs="Times New Roman"/>
                      <w:color w:val="auto"/>
                      <w:kern w:val="0"/>
                      <w:sz w:val="21"/>
                      <w:szCs w:val="21"/>
                      <w:lang w:val="en-US" w:eastAsia="zh-CN"/>
                    </w:rPr>
                    <w:t>4982.6235</w:t>
                  </w:r>
                  <w:r>
                    <w:rPr>
                      <w:rFonts w:hint="default" w:ascii="Times New Roman" w:hAnsi="Times New Roman" w:eastAsia="宋体" w:cs="Times New Roman"/>
                      <w:color w:val="auto"/>
                      <w:kern w:val="0"/>
                      <w:sz w:val="21"/>
                      <w:szCs w:val="21"/>
                      <w:lang w:val="en-US" w:eastAsia="zh-CN"/>
                    </w:rPr>
                    <w:t>t，单位产品危险废物产生量为</w:t>
                  </w:r>
                  <w:r>
                    <w:rPr>
                      <w:rFonts w:hint="eastAsia" w:ascii="Times New Roman" w:hAnsi="Times New Roman" w:eastAsia="宋体" w:cs="Times New Roman"/>
                      <w:color w:val="auto"/>
                      <w:kern w:val="0"/>
                      <w:sz w:val="21"/>
                      <w:szCs w:val="21"/>
                      <w:lang w:val="en-US" w:eastAsia="zh-CN"/>
                    </w:rPr>
                    <w:t>6.354</w:t>
                  </w:r>
                  <w:r>
                    <w:rPr>
                      <w:rFonts w:hint="default" w:ascii="Times New Roman" w:hAnsi="Times New Roman" w:eastAsia="宋体" w:cs="Times New Roman"/>
                      <w:color w:val="auto"/>
                      <w:kern w:val="0"/>
                      <w:sz w:val="21"/>
                      <w:szCs w:val="21"/>
                      <w:lang w:val="en-US" w:eastAsia="zh-CN"/>
                    </w:rPr>
                    <w:t>kg/t</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产品特征指标</w:t>
                  </w:r>
                </w:p>
              </w:tc>
              <w:tc>
                <w:tcPr>
                  <w:tcW w:w="269"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产品认证</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c>
                <w:tcPr>
                  <w:tcW w:w="1101"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符合</w:t>
                  </w:r>
                  <w:r>
                    <w:rPr>
                      <w:rFonts w:hint="default" w:ascii="Times New Roman" w:hAnsi="Times New Roman" w:eastAsia="宋体" w:cs="Times New Roman"/>
                      <w:color w:val="auto"/>
                      <w:kern w:val="0"/>
                      <w:sz w:val="21"/>
                      <w:szCs w:val="21"/>
                      <w:lang w:val="en-US" w:eastAsia="zh-CN"/>
                    </w:rPr>
                    <w:t>HJ/T226、HJ209等环境标志产品认证要求</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符合企业内部产品要求</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本项目符合</w:t>
                  </w:r>
                  <w:r>
                    <w:rPr>
                      <w:rFonts w:hint="default" w:ascii="Times New Roman" w:hAnsi="Times New Roman" w:eastAsia="宋体" w:cs="Times New Roman"/>
                      <w:color w:val="auto"/>
                      <w:kern w:val="0"/>
                      <w:sz w:val="21"/>
                      <w:szCs w:val="21"/>
                      <w:lang w:val="en-US" w:eastAsia="zh-CN"/>
                    </w:rPr>
                    <w:t>HJ/T226、HJ209等环境标志产品认证要求</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产品一次交检合格率</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98</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96</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94</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本项目产品合格率&gt;</w:t>
                  </w:r>
                  <w:r>
                    <w:rPr>
                      <w:rFonts w:hint="default" w:ascii="Times New Roman" w:hAnsi="Times New Roman" w:eastAsia="宋体" w:cs="Times New Roman"/>
                      <w:color w:val="auto"/>
                      <w:kern w:val="0"/>
                      <w:sz w:val="21"/>
                      <w:szCs w:val="21"/>
                      <w:lang w:val="en-US" w:eastAsia="zh-CN"/>
                    </w:rPr>
                    <w:t>98%</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w:t>
                  </w:r>
                </w:p>
              </w:tc>
              <w:tc>
                <w:tcPr>
                  <w:tcW w:w="231"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清洁生产管理指标</w:t>
                  </w:r>
                </w:p>
              </w:tc>
              <w:tc>
                <w:tcPr>
                  <w:tcW w:w="269" w:type="pct"/>
                  <w:vMerge w:val="restar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w:t>
                  </w: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环境法律法规标准执行情况</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符合国家和地方有关法律、法规要求，满足环境影响评价、建设项目环境保护“三同时”制度、总量控制和排污许可证管理要求。</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本项目符合法律法规要求</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污染物排放要求</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污染物排放应符合排污许可证管理要求。废水、废气、噪声等污染物排放符合国家、地方、行业排放标准。</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本项目符合排污许可证管理要求</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污染物处理设施运行管理</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应按照设施类别分别记录设施的实际运行相关参数和维护记录。有组织废气治理设施记录设施运行时间、运行参数、污染排放情况等。废水处理设施应记录废水类别、处理能力、运行状态、污染排放情况、药剂名称及使用量、投放时间、电耗、污泥产生量及污泥处理处置去向等。</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本项目有污染防治设施运行台账等记录</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固体废物</w:t>
                  </w:r>
                  <w:r>
                    <w:rPr>
                      <w:rFonts w:hint="default" w:ascii="Times New Roman" w:hAnsi="Times New Roman" w:eastAsia="宋体" w:cs="Times New Roman"/>
                      <w:color w:val="auto"/>
                      <w:kern w:val="0"/>
                      <w:sz w:val="21"/>
                      <w:szCs w:val="21"/>
                      <w:lang w:eastAsia="zh-CN"/>
                    </w:rPr>
                    <w:t>的处置</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一般工业固体废物贮存按照GB 18599相关规定执行</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eastAsia="zh-CN"/>
                    </w:rPr>
                    <w:t>危险废物的贮存严格按照B18597相关规定执行，后续应交持有危险废物经营许可证的单位处置</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本项目固废处置符合要求</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环境应急</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制定企业突发环境事件应急预案、应急设施、物资齐备，并定期培训和演练，并符合（备案）管理要求</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color w:val="auto"/>
                      <w:kern w:val="0"/>
                      <w:sz w:val="21"/>
                      <w:szCs w:val="21"/>
                      <w:lang w:eastAsia="zh-CN"/>
                    </w:rPr>
                    <w:t>将</w:t>
                  </w:r>
                  <w:r>
                    <w:rPr>
                      <w:rFonts w:hint="default" w:ascii="Times New Roman" w:hAnsi="Times New Roman" w:eastAsia="宋体" w:cs="Times New Roman"/>
                      <w:color w:val="auto"/>
                      <w:kern w:val="0"/>
                      <w:sz w:val="21"/>
                      <w:szCs w:val="21"/>
                      <w:lang w:eastAsia="zh-CN"/>
                    </w:rPr>
                    <w:t>制定应急预案</w:t>
                  </w:r>
                  <w:r>
                    <w:rPr>
                      <w:rFonts w:hint="eastAsia" w:ascii="Times New Roman" w:hAnsi="Times New Roman" w:eastAsia="宋体" w:cs="Times New Roman"/>
                      <w:color w:val="auto"/>
                      <w:kern w:val="0"/>
                      <w:sz w:val="21"/>
                      <w:szCs w:val="21"/>
                      <w:lang w:eastAsia="zh-CN"/>
                    </w:rPr>
                    <w:t>并定期培训和演练</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清洁生产审核情况</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按照国家和地方要求，开展清洁生产审核</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color w:val="auto"/>
                      <w:kern w:val="0"/>
                      <w:sz w:val="21"/>
                      <w:szCs w:val="21"/>
                      <w:lang w:eastAsia="zh-CN"/>
                    </w:rPr>
                    <w:t>将</w:t>
                  </w:r>
                  <w:r>
                    <w:rPr>
                      <w:rFonts w:hint="default" w:ascii="Times New Roman" w:hAnsi="Times New Roman" w:eastAsia="宋体" w:cs="Times New Roman"/>
                      <w:color w:val="auto"/>
                      <w:kern w:val="0"/>
                      <w:sz w:val="21"/>
                      <w:szCs w:val="21"/>
                      <w:lang w:eastAsia="zh-CN"/>
                    </w:rPr>
                    <w:t>开展清洁生产审核</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管理体系建设</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590"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获得了质量管理体系、环境管理体系和能源管理体系的认证</w:t>
                  </w:r>
                </w:p>
              </w:tc>
              <w:tc>
                <w:tcPr>
                  <w:tcW w:w="511"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建立了质量、环境和能源等管理体系，并获得其中两个体系的认证</w:t>
                  </w:r>
                </w:p>
              </w:tc>
              <w:tc>
                <w:tcPr>
                  <w:tcW w:w="538"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内部建立了质量、环境和能源等管理制度</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color w:val="auto"/>
                      <w:kern w:val="0"/>
                      <w:sz w:val="21"/>
                      <w:szCs w:val="21"/>
                      <w:lang w:eastAsia="zh-CN"/>
                    </w:rPr>
                    <w:t>将按要求进行质量管理、环境、能源等体系认证</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能源消耗计量管理</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能源管理工作体系化；进出用能单位已配备能源计量器具，并符合GB 17167配备要求</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color w:val="auto"/>
                      <w:kern w:val="0"/>
                      <w:sz w:val="21"/>
                      <w:szCs w:val="21"/>
                      <w:lang w:eastAsia="zh-CN"/>
                    </w:rPr>
                    <w:t>将</w:t>
                  </w:r>
                  <w:r>
                    <w:rPr>
                      <w:rFonts w:hint="default" w:ascii="Times New Roman" w:hAnsi="Times New Roman" w:eastAsia="宋体" w:cs="Times New Roman"/>
                      <w:color w:val="auto"/>
                      <w:kern w:val="0"/>
                      <w:sz w:val="21"/>
                      <w:szCs w:val="21"/>
                      <w:lang w:eastAsia="zh-CN"/>
                    </w:rPr>
                    <w:t>按要求配备能源计量器具</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用水管理</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进出用能单位配备水计量器具，并符合GB 24789配备要求</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w:t>
                  </w:r>
                  <w:r>
                    <w:rPr>
                      <w:rFonts w:hint="eastAsia" w:ascii="Times New Roman" w:hAnsi="Times New Roman" w:eastAsia="宋体" w:cs="Times New Roman"/>
                      <w:color w:val="auto"/>
                      <w:kern w:val="0"/>
                      <w:sz w:val="21"/>
                      <w:szCs w:val="21"/>
                      <w:lang w:eastAsia="zh-CN"/>
                    </w:rPr>
                    <w:t>将</w:t>
                  </w:r>
                  <w:r>
                    <w:rPr>
                      <w:rFonts w:hint="default" w:ascii="Times New Roman" w:hAnsi="Times New Roman" w:eastAsia="宋体" w:cs="Times New Roman"/>
                      <w:color w:val="auto"/>
                      <w:kern w:val="0"/>
                      <w:sz w:val="21"/>
                      <w:szCs w:val="21"/>
                      <w:lang w:eastAsia="zh-CN"/>
                    </w:rPr>
                    <w:t>按要求配备能源计量器具</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52"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w:t>
                  </w:r>
                </w:p>
              </w:tc>
              <w:tc>
                <w:tcPr>
                  <w:tcW w:w="231"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269" w:type="pct"/>
                  <w:vMerge w:val="continue"/>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812" w:type="pct"/>
                  <w:gridSpan w:val="2"/>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生产现场管理</w:t>
                  </w:r>
                </w:p>
              </w:tc>
              <w:tc>
                <w:tcPr>
                  <w:tcW w:w="326"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17"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1640" w:type="pct"/>
                  <w:gridSpan w:val="3"/>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车间内地面没有积水和杂物；转运车辆</w:t>
                  </w:r>
                  <w:r>
                    <w:rPr>
                      <w:rFonts w:hint="eastAsia" w:cs="Times New Roman"/>
                      <w:color w:val="auto"/>
                      <w:kern w:val="0"/>
                      <w:sz w:val="21"/>
                      <w:szCs w:val="21"/>
                      <w:lang w:eastAsia="zh-CN"/>
                    </w:rPr>
                    <w:t>摆放</w:t>
                  </w:r>
                  <w:r>
                    <w:rPr>
                      <w:rFonts w:hint="default" w:ascii="Times New Roman" w:hAnsi="Times New Roman" w:eastAsia="宋体" w:cs="Times New Roman"/>
                      <w:color w:val="auto"/>
                      <w:kern w:val="0"/>
                      <w:sz w:val="21"/>
                      <w:szCs w:val="21"/>
                      <w:lang w:eastAsia="zh-CN"/>
                    </w:rPr>
                    <w:t>整齐有序；没有跑冒滴漏现象；生产废气及时排出或处理，车间异味少</w:t>
                  </w:r>
                </w:p>
              </w:tc>
              <w:tc>
                <w:tcPr>
                  <w:tcW w:w="54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本项目生产现场管理符合要求</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96" w:type="pct"/>
                  <w:gridSpan w:val="11"/>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合计</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87.5</w:t>
                  </w:r>
                </w:p>
              </w:tc>
              <w:tc>
                <w:tcPr>
                  <w:tcW w:w="235"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87.5</w:t>
                  </w:r>
                </w:p>
              </w:tc>
              <w:tc>
                <w:tcPr>
                  <w:tcW w:w="233" w:type="pct"/>
                  <w:tcBorders>
                    <w:tl2br w:val="nil"/>
                    <w:tr2bl w:val="nil"/>
                  </w:tcBorders>
                  <w:noWrap w:val="0"/>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92.5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aps w:val="0"/>
                <w:color w:val="auto"/>
                <w:sz w:val="24"/>
                <w:szCs w:val="24"/>
                <w:lang w:val="en-US" w:eastAsia="zh-CN"/>
              </w:rPr>
            </w:pPr>
            <w:r>
              <w:rPr>
                <w:rFonts w:hint="default" w:ascii="Times New Roman" w:hAnsi="Times New Roman" w:eastAsia="宋体" w:cs="Times New Roman"/>
                <w:b w:val="0"/>
                <w:bCs w:val="0"/>
                <w:caps w:val="0"/>
                <w:color w:val="auto"/>
                <w:sz w:val="24"/>
                <w:szCs w:val="24"/>
                <w:lang w:val="en-US" w:eastAsia="zh-CN"/>
              </w:rPr>
              <w:t>本标准采用限定性指标和指标分级加权评价相结合的方法，计算企业的清洁生产综合评价指数。在限定性指标达到Ⅲ级水平的基础上，采用指标分级加权的评价方法，计算企业的清洁生产综合评价指数。根据综合评价指数，确定清洁生产水平等级。对塑料生产企业清洁生产水平的评价，是以其清洁生产综合评价指数为依据的，对达到一定综合评价指数的企业，分别评定为Ⅰ级为国际清洁生产领先水平、Ⅱ级为国内清洁生产先进水平；Ⅲ级为国内清洁生产基本水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0"/>
                <w:sz w:val="24"/>
                <w:szCs w:val="24"/>
                <w:vertAlign w:val="baseline"/>
                <w:lang w:val="en-US" w:eastAsia="zh-CN"/>
              </w:rPr>
            </w:pPr>
            <w:r>
              <w:rPr>
                <w:rFonts w:hint="default" w:ascii="Times New Roman" w:hAnsi="Times New Roman" w:eastAsia="宋体" w:cs="Times New Roman"/>
                <w:b w:val="0"/>
                <w:bCs w:val="0"/>
                <w:caps w:val="0"/>
                <w:color w:val="auto"/>
                <w:sz w:val="24"/>
                <w:szCs w:val="24"/>
                <w:lang w:val="en-US" w:eastAsia="zh-CN"/>
              </w:rPr>
              <w:t>根据上述的计算方法得出企业清洁生产综合评价指数，本项目限定值指标全部满足</w:t>
            </w:r>
            <w:r>
              <w:rPr>
                <w:rFonts w:hint="default" w:ascii="Times New Roman" w:hAnsi="Times New Roman" w:eastAsia="宋体" w:cs="Times New Roman"/>
                <w:b w:val="0"/>
                <w:bCs w:val="0"/>
                <w:color w:val="auto"/>
                <w:kern w:val="0"/>
                <w:sz w:val="24"/>
                <w:szCs w:val="24"/>
                <w:lang w:eastAsia="zh-CN"/>
              </w:rPr>
              <w:t>Ⅰ级基准值要求，且</w:t>
            </w:r>
            <w:r>
              <w:rPr>
                <w:rFonts w:hint="default" w:ascii="Times New Roman" w:hAnsi="Times New Roman" w:eastAsia="宋体" w:cs="Times New Roman"/>
                <w:b w:val="0"/>
                <w:bCs w:val="0"/>
                <w:color w:val="auto"/>
                <w:kern w:val="0"/>
                <w:sz w:val="24"/>
                <w:szCs w:val="24"/>
                <w:lang w:val="en-US" w:eastAsia="zh-CN"/>
              </w:rPr>
              <w:t>Y</w:t>
            </w:r>
            <w:r>
              <w:rPr>
                <w:rFonts w:hint="default" w:ascii="Times New Roman" w:hAnsi="Times New Roman" w:eastAsia="宋体" w:cs="Times New Roman"/>
                <w:b w:val="0"/>
                <w:bCs w:val="0"/>
                <w:color w:val="auto"/>
                <w:kern w:val="0"/>
                <w:sz w:val="24"/>
                <w:szCs w:val="24"/>
                <w:vertAlign w:val="subscript"/>
                <w:lang w:eastAsia="zh-CN"/>
              </w:rPr>
              <w:t>Ⅰ</w:t>
            </w:r>
            <w:r>
              <w:rPr>
                <w:rFonts w:hint="default" w:ascii="Times New Roman" w:hAnsi="Times New Roman" w:eastAsia="宋体" w:cs="Times New Roman"/>
                <w:b w:val="0"/>
                <w:bCs w:val="0"/>
                <w:color w:val="auto"/>
                <w:kern w:val="0"/>
                <w:sz w:val="24"/>
                <w:szCs w:val="24"/>
                <w:vertAlign w:val="baseline"/>
                <w:lang w:eastAsia="zh-CN"/>
              </w:rPr>
              <w:t>大于</w:t>
            </w:r>
            <w:r>
              <w:rPr>
                <w:rFonts w:hint="default" w:ascii="Times New Roman" w:hAnsi="Times New Roman" w:eastAsia="宋体" w:cs="Times New Roman"/>
                <w:b w:val="0"/>
                <w:bCs w:val="0"/>
                <w:color w:val="auto"/>
                <w:kern w:val="0"/>
                <w:sz w:val="24"/>
                <w:szCs w:val="24"/>
                <w:vertAlign w:val="baseline"/>
                <w:lang w:val="en-US" w:eastAsia="zh-CN"/>
              </w:rPr>
              <w:t>85。因此可以</w:t>
            </w:r>
            <w:r>
              <w:rPr>
                <w:rFonts w:hint="default" w:ascii="Times New Roman" w:hAnsi="Times New Roman" w:eastAsia="宋体" w:cs="Times New Roman"/>
                <w:b w:val="0"/>
                <w:bCs w:val="0"/>
                <w:caps w:val="0"/>
                <w:color w:val="auto"/>
                <w:sz w:val="24"/>
                <w:szCs w:val="24"/>
                <w:lang w:val="en-US" w:eastAsia="zh-CN"/>
              </w:rPr>
              <w:t>判定本企业清洁生产水平评定为</w:t>
            </w:r>
            <w:r>
              <w:rPr>
                <w:rFonts w:hint="default" w:ascii="Times New Roman" w:hAnsi="Times New Roman" w:eastAsia="宋体" w:cs="Times New Roman"/>
                <w:b w:val="0"/>
                <w:bCs w:val="0"/>
                <w:color w:val="auto"/>
                <w:kern w:val="0"/>
                <w:sz w:val="24"/>
                <w:szCs w:val="24"/>
                <w:lang w:eastAsia="zh-CN"/>
              </w:rPr>
              <w:t>Ⅰ</w:t>
            </w:r>
            <w:r>
              <w:rPr>
                <w:rFonts w:hint="default" w:ascii="Times New Roman" w:hAnsi="Times New Roman" w:eastAsia="宋体" w:cs="Times New Roman"/>
                <w:b w:val="0"/>
                <w:bCs w:val="0"/>
                <w:caps w:val="0"/>
                <w:color w:val="auto"/>
                <w:sz w:val="24"/>
                <w:szCs w:val="24"/>
                <w:lang w:val="en-US" w:eastAsia="zh-CN"/>
              </w:rPr>
              <w:t>级，为国际清洁生产领先水平。本项目符合</w:t>
            </w:r>
            <w:r>
              <w:rPr>
                <w:rFonts w:hint="default" w:ascii="Times New Roman" w:hAnsi="Times New Roman" w:eastAsia="宋体" w:cs="Times New Roman"/>
                <w:color w:val="auto"/>
                <w:kern w:val="2"/>
                <w:sz w:val="24"/>
                <w:szCs w:val="24"/>
                <w:lang w:val="en-US" w:eastAsia="zh-CN" w:bidi="ar"/>
              </w:rPr>
              <w:t>《如皋市关于加强减污降碳协同推进重点行业绿色发展的实施方案》的要求。</w:t>
            </w:r>
          </w:p>
          <w:p>
            <w:pPr>
              <w:pStyle w:val="48"/>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b w:val="0"/>
                <w:bCs/>
                <w:color w:val="000000"/>
                <w:kern w:val="0"/>
                <w:sz w:val="21"/>
                <w:szCs w:val="21"/>
                <w:vertAlign w:val="baseline"/>
                <w:lang w:val="en-US" w:eastAsia="zh-CN"/>
              </w:rPr>
            </w:pPr>
          </w:p>
        </w:tc>
      </w:tr>
    </w:tbl>
    <w:p>
      <w:pPr>
        <w:pStyle w:val="2"/>
        <w:rPr>
          <w:rFonts w:hint="default"/>
        </w:rPr>
        <w:sectPr>
          <w:footerReference r:id="rId6"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start="31"/>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7" w:hRule="atLeast"/>
          <w:jc w:val="center"/>
        </w:trPr>
        <w:tc>
          <w:tcPr>
            <w:tcW w:w="822" w:type="dxa"/>
            <w:noWrap w:val="0"/>
            <w:vAlign w:val="center"/>
          </w:tcPr>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建设内容</w:t>
            </w:r>
          </w:p>
        </w:tc>
        <w:tc>
          <w:tcPr>
            <w:tcW w:w="7891" w:type="dxa"/>
            <w:noWrap w:val="0"/>
            <w:vAlign w:val="top"/>
          </w:tcPr>
          <w:p>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420" w:leftChars="200" w:right="0" w:rightChars="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1、任务由来</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江苏卓宏新材料有限公司成立于2024年12月，厂址位于磨头镇丁磨路111号，拟从事聚碳酸酯（PC）板的生产制造。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聚碳酸酯板（PC板）凭借其轻质高强、透光性好、抗冲击性强、耐候性优异及阻燃性能突出等优势，在建筑采光、汽车制造、电子设备、广告装饰等领域广泛应用。随着绿色建筑和新能源产业的快速发展，PC板在节能环保、可回收利用方面的特性将进一步推动市场需求。未来，随着改性技术的提升（如抗UV、自清洁等功能优化）和成本下降，PC板有望逐步替代传统玻璃和亚克力材料，在智能家居、光伏组件等新兴领域拓展应用空间，行业前景广阔。‌</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江苏卓宏新材料有限公司在此优势背景下，租赁现有厂房2500平方米，购置挤出机（BBX-01）、吸料机（L-01）、裁切机（CKCQ-01）、破碎机（PS-01）等生产设备共计30台（套）。 项目实施过程中不使用国家限制、淘汰类工艺设备，不生产国家限制、淘汰类产品，同步落实节能、环保、安全、消防、职业病危害防治措施，并办理相关手续，达到国家相关标准。项目建成投产后，预计年产聚碳酸酯</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PC</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板50万平方米。</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中华人民共和国环境保护法》（2014年）、《建设项目环境保护管理条例》（国务院第682号令），建设过程中或者建成投产后可能对环境产生影响的新建、扩建、改建、迁建、技术改造项目及区域开发建设项目，必须进行环境影响评价。根据《建设项目环境影响评价分类管理名录》（2021版），本项目为</w:t>
            </w:r>
            <w:r>
              <w:rPr>
                <w:rFonts w:hint="default" w:ascii="Times New Roman" w:hAnsi="Times New Roman" w:cs="Times New Roman" w:eastAsiaTheme="minorEastAsia"/>
                <w:color w:val="000000"/>
                <w:sz w:val="24"/>
                <w:szCs w:val="24"/>
              </w:rPr>
              <w:t>〔</w:t>
            </w:r>
            <w:r>
              <w:rPr>
                <w:rFonts w:hint="default" w:ascii="Times New Roman" w:hAnsi="Times New Roman" w:cs="Times New Roman" w:eastAsiaTheme="minorEastAsia"/>
                <w:color w:val="000000"/>
                <w:sz w:val="24"/>
                <w:szCs w:val="24"/>
                <w:lang w:eastAsia="zh-CN"/>
              </w:rPr>
              <w:t>C2922</w:t>
            </w:r>
            <w:r>
              <w:rPr>
                <w:rFonts w:hint="default" w:ascii="Times New Roman" w:hAnsi="Times New Roman" w:cs="Times New Roman" w:eastAsiaTheme="minorEastAsia"/>
                <w:color w:val="000000"/>
                <w:sz w:val="24"/>
                <w:szCs w:val="24"/>
              </w:rPr>
              <w:t>〕</w:t>
            </w:r>
            <w:r>
              <w:rPr>
                <w:rFonts w:hint="default" w:ascii="Times New Roman" w:hAnsi="Times New Roman" w:cs="Times New Roman" w:eastAsiaTheme="minorEastAsia"/>
                <w:color w:val="000000"/>
                <w:sz w:val="24"/>
                <w:szCs w:val="24"/>
                <w:lang w:eastAsia="zh-CN"/>
              </w:rPr>
              <w:t>塑料板、管、型材制造，</w:t>
            </w:r>
            <w:r>
              <w:rPr>
                <w:rFonts w:hint="default" w:ascii="Times New Roman" w:hAnsi="Times New Roman" w:cs="Times New Roman" w:eastAsiaTheme="minorEastAsia"/>
                <w:color w:val="000000"/>
                <w:sz w:val="24"/>
                <w:szCs w:val="24"/>
                <w:lang w:val="en-US" w:eastAsia="zh-CN"/>
              </w:rPr>
              <w:t>生产工艺为挤出工艺，同时本项目不涉及以再生塑料为原料、电镀工艺以及溶剂型涂料（含稀释剂）的使用，属于</w:t>
            </w:r>
            <w:r>
              <w:rPr>
                <w:rFonts w:hint="default" w:ascii="Times New Roman" w:hAnsi="Times New Roman" w:cs="Times New Roman" w:eastAsiaTheme="minorEastAsia"/>
                <w:color w:val="auto"/>
                <w:sz w:val="24"/>
                <w:szCs w:val="24"/>
                <w:u w:val="single"/>
                <w:lang w:val="en-US" w:eastAsia="zh-CN"/>
              </w:rPr>
              <w:t>二十六、橡胶和塑料制品业29塑料制品业292中“其他（年用非溶剂型低VOCs含量涂料10吨以下的除外）”</w:t>
            </w:r>
            <w:r>
              <w:rPr>
                <w:rFonts w:hint="default" w:ascii="Times New Roman" w:hAnsi="Times New Roman" w:cs="Times New Roman" w:eastAsiaTheme="minorEastAsia"/>
                <w:color w:val="auto"/>
                <w:sz w:val="24"/>
                <w:szCs w:val="24"/>
                <w:lang w:val="en-US" w:eastAsia="zh-CN"/>
              </w:rPr>
              <w:t>，应编制环境影响报告表。</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2、项目组成</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（1）主体工程</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color w:val="auto"/>
                <w:sz w:val="24"/>
                <w:szCs w:val="24"/>
                <w:lang w:val="en-US" w:eastAsia="zh-CN"/>
              </w:rPr>
              <w:t>本项目利用南通奕诚精密电子科技有限公司闲置厂区</w:t>
            </w:r>
            <w:r>
              <w:rPr>
                <w:rFonts w:hint="default" w:ascii="Times New Roman" w:hAnsi="Times New Roman" w:cs="Times New Roman" w:eastAsiaTheme="minorEastAsia"/>
                <w:color w:val="auto"/>
                <w:sz w:val="24"/>
                <w:szCs w:val="24"/>
                <w:vertAlign w:val="baseline"/>
                <w:lang w:val="en-US" w:eastAsia="zh-CN"/>
              </w:rPr>
              <w:t>，主要建构筑物情况见表</w:t>
            </w:r>
            <w:r>
              <w:rPr>
                <w:rFonts w:hint="default" w:ascii="Times New Roman" w:hAnsi="Times New Roman" w:cs="Times New Roman" w:eastAsiaTheme="minorEastAsia"/>
                <w:color w:val="auto"/>
                <w:sz w:val="24"/>
                <w:szCs w:val="24"/>
                <w:highlight w:val="none"/>
              </w:rPr>
              <w:t>2-1。</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表2-1  本项目主要构筑物情况</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0"/>
              <w:gridCol w:w="1125"/>
              <w:gridCol w:w="929"/>
              <w:gridCol w:w="955"/>
              <w:gridCol w:w="1119"/>
              <w:gridCol w:w="689"/>
              <w:gridCol w:w="18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构筑物名称</w:t>
                  </w:r>
                </w:p>
              </w:tc>
              <w:tc>
                <w:tcPr>
                  <w:tcW w:w="7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占地面积（</w:t>
                  </w:r>
                  <w:r>
                    <w:rPr>
                      <w:rFonts w:hint="default" w:ascii="Times New Roman" w:hAnsi="Times New Roman" w:cs="Times New Roman" w:eastAsiaTheme="minorEastAsia"/>
                      <w:b/>
                      <w:bCs/>
                      <w:color w:val="auto"/>
                      <w:kern w:val="0"/>
                      <w:sz w:val="21"/>
                      <w:szCs w:val="21"/>
                      <w:highlight w:val="none"/>
                    </w:rPr>
                    <w:t>m</w:t>
                  </w:r>
                  <w:r>
                    <w:rPr>
                      <w:rFonts w:hint="default" w:ascii="Times New Roman" w:hAnsi="Times New Roman" w:cs="Times New Roman" w:eastAsiaTheme="minorEastAsia"/>
                      <w:b/>
                      <w:bCs/>
                      <w:color w:val="auto"/>
                      <w:kern w:val="0"/>
                      <w:sz w:val="21"/>
                      <w:szCs w:val="21"/>
                      <w:highlight w:val="none"/>
                      <w:vertAlign w:val="superscript"/>
                    </w:rPr>
                    <w:t>2</w:t>
                  </w:r>
                  <w:r>
                    <w:rPr>
                      <w:rFonts w:hint="default" w:ascii="Times New Roman" w:hAnsi="Times New Roman" w:cs="Times New Roman" w:eastAsiaTheme="minorEastAsia"/>
                      <w:b/>
                      <w:bCs/>
                      <w:color w:val="auto"/>
                      <w:sz w:val="21"/>
                      <w:szCs w:val="21"/>
                      <w:highlight w:val="none"/>
                    </w:rPr>
                    <w:t>）</w:t>
                  </w:r>
                </w:p>
              </w:tc>
              <w:tc>
                <w:tcPr>
                  <w:tcW w:w="60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建筑面积</w:t>
                  </w:r>
                  <w:r>
                    <w:rPr>
                      <w:rFonts w:hint="default" w:ascii="Times New Roman" w:hAnsi="Times New Roman" w:cs="Times New Roman" w:eastAsiaTheme="minorEastAsia"/>
                      <w:b/>
                      <w:bCs/>
                      <w:color w:val="auto"/>
                      <w:sz w:val="21"/>
                      <w:szCs w:val="21"/>
                      <w:highlight w:val="none"/>
                    </w:rPr>
                    <w:t>（</w:t>
                  </w:r>
                  <w:r>
                    <w:rPr>
                      <w:rFonts w:hint="default" w:ascii="Times New Roman" w:hAnsi="Times New Roman" w:cs="Times New Roman" w:eastAsiaTheme="minorEastAsia"/>
                      <w:b/>
                      <w:bCs/>
                      <w:color w:val="auto"/>
                      <w:kern w:val="0"/>
                      <w:sz w:val="21"/>
                      <w:szCs w:val="21"/>
                      <w:highlight w:val="none"/>
                    </w:rPr>
                    <w:t>m</w:t>
                  </w:r>
                  <w:r>
                    <w:rPr>
                      <w:rFonts w:hint="default" w:ascii="Times New Roman" w:hAnsi="Times New Roman" w:cs="Times New Roman" w:eastAsiaTheme="minorEastAsia"/>
                      <w:b/>
                      <w:bCs/>
                      <w:color w:val="auto"/>
                      <w:kern w:val="0"/>
                      <w:sz w:val="21"/>
                      <w:szCs w:val="21"/>
                      <w:highlight w:val="none"/>
                      <w:vertAlign w:val="superscript"/>
                    </w:rPr>
                    <w:t>2</w:t>
                  </w:r>
                  <w:r>
                    <w:rPr>
                      <w:rFonts w:hint="default" w:ascii="Times New Roman" w:hAnsi="Times New Roman" w:cs="Times New Roman" w:eastAsiaTheme="minorEastAsia"/>
                      <w:b/>
                      <w:bCs/>
                      <w:color w:val="auto"/>
                      <w:sz w:val="21"/>
                      <w:szCs w:val="21"/>
                      <w:highlight w:val="none"/>
                    </w:rPr>
                    <w:t>）</w:t>
                  </w:r>
                </w:p>
              </w:tc>
              <w:tc>
                <w:tcPr>
                  <w:tcW w:w="62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防火等级</w:t>
                  </w:r>
                </w:p>
              </w:tc>
              <w:tc>
                <w:tcPr>
                  <w:tcW w:w="73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火灾危险性类别</w:t>
                  </w:r>
                </w:p>
              </w:tc>
              <w:tc>
                <w:tcPr>
                  <w:tcW w:w="450"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楼层</w:t>
                  </w:r>
                </w:p>
              </w:tc>
              <w:tc>
                <w:tcPr>
                  <w:tcW w:w="118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车间一</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1239.71</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2479.42</w:t>
                  </w:r>
                </w:p>
              </w:tc>
              <w:tc>
                <w:tcPr>
                  <w:tcW w:w="624"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二级</w:t>
                  </w:r>
                </w:p>
              </w:tc>
              <w:tc>
                <w:tcPr>
                  <w:tcW w:w="731"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戊类</w:t>
                  </w:r>
                </w:p>
              </w:tc>
              <w:tc>
                <w:tcPr>
                  <w:tcW w:w="450"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2F</w:t>
                  </w:r>
                </w:p>
              </w:tc>
              <w:tc>
                <w:tcPr>
                  <w:tcW w:w="1182"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车间二</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1239.71</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2479.42</w:t>
                  </w:r>
                </w:p>
              </w:tc>
              <w:tc>
                <w:tcPr>
                  <w:tcW w:w="624"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二级</w:t>
                  </w:r>
                </w:p>
              </w:tc>
              <w:tc>
                <w:tcPr>
                  <w:tcW w:w="731"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戊类</w:t>
                  </w:r>
                </w:p>
              </w:tc>
              <w:tc>
                <w:tcPr>
                  <w:tcW w:w="450"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2F</w:t>
                  </w:r>
                </w:p>
              </w:tc>
              <w:tc>
                <w:tcPr>
                  <w:tcW w:w="1182"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车间三</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1664.52</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1664.52</w:t>
                  </w:r>
                </w:p>
              </w:tc>
              <w:tc>
                <w:tcPr>
                  <w:tcW w:w="955"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二级</w:t>
                  </w:r>
                </w:p>
              </w:tc>
              <w:tc>
                <w:tcPr>
                  <w:tcW w:w="1119"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戊类</w:t>
                  </w:r>
                </w:p>
              </w:tc>
              <w:tc>
                <w:tcPr>
                  <w:tcW w:w="689"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1F</w:t>
                  </w:r>
                </w:p>
              </w:tc>
              <w:tc>
                <w:tcPr>
                  <w:tcW w:w="1808"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车间四</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1543.64</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1543.64</w:t>
                  </w:r>
                </w:p>
              </w:tc>
              <w:tc>
                <w:tcPr>
                  <w:tcW w:w="955"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二级</w:t>
                  </w:r>
                </w:p>
              </w:tc>
              <w:tc>
                <w:tcPr>
                  <w:tcW w:w="1119"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戊类</w:t>
                  </w:r>
                </w:p>
              </w:tc>
              <w:tc>
                <w:tcPr>
                  <w:tcW w:w="689"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1F</w:t>
                  </w:r>
                </w:p>
              </w:tc>
              <w:tc>
                <w:tcPr>
                  <w:tcW w:w="1808" w:type="dxa"/>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办公楼</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600.4975</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2401.99</w:t>
                  </w:r>
                </w:p>
              </w:tc>
              <w:tc>
                <w:tcPr>
                  <w:tcW w:w="624"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二级</w:t>
                  </w:r>
                </w:p>
              </w:tc>
              <w:tc>
                <w:tcPr>
                  <w:tcW w:w="731"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民用建筑</w:t>
                  </w:r>
                </w:p>
              </w:tc>
              <w:tc>
                <w:tcPr>
                  <w:tcW w:w="450"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4F</w:t>
                  </w:r>
                </w:p>
              </w:tc>
              <w:tc>
                <w:tcPr>
                  <w:tcW w:w="1182"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门卫</w:t>
                  </w:r>
                </w:p>
              </w:tc>
              <w:tc>
                <w:tcPr>
                  <w:tcW w:w="735"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42.29</w:t>
                  </w:r>
                </w:p>
              </w:tc>
              <w:tc>
                <w:tcPr>
                  <w:tcW w:w="607"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42.29</w:t>
                  </w:r>
                </w:p>
              </w:tc>
              <w:tc>
                <w:tcPr>
                  <w:tcW w:w="624"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三级</w:t>
                  </w:r>
                </w:p>
              </w:tc>
              <w:tc>
                <w:tcPr>
                  <w:tcW w:w="731"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民用建筑</w:t>
                  </w:r>
                </w:p>
              </w:tc>
              <w:tc>
                <w:tcPr>
                  <w:tcW w:w="450"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1F</w:t>
                  </w:r>
                </w:p>
              </w:tc>
              <w:tc>
                <w:tcPr>
                  <w:tcW w:w="1182" w:type="pct"/>
                  <w:tcBorders>
                    <w:tl2br w:val="nil"/>
                    <w:tr2bl w:val="nil"/>
                  </w:tcBorders>
                  <w:noWrap w:val="0"/>
                  <w:vAlign w:val="center"/>
                </w:tcPr>
                <w:p>
                  <w:pPr>
                    <w:keepNext w:val="0"/>
                    <w:keepLines w:val="0"/>
                    <w:suppressLineNumbers w:val="0"/>
                    <w:tabs>
                      <w:tab w:val="left" w:pos="1890"/>
                    </w:tabs>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已建</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（2）公用及辅助工程</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①供水</w:t>
            </w:r>
          </w:p>
          <w:p>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项目所在厂区供水来自如皋市市政给水管网，本项目用新鲜水量约1629.36t/a，主要为生活用水、冷却补充用水。</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②排水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厂区排水实行“雨污分流”制，本项目废水主要为生活污水。生活污水经化粪池处理后接管至如皋市碧水污水处理设施运行管理有限公司处理。</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③供电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本项目年用电量</w:t>
            </w:r>
            <w:r>
              <w:rPr>
                <w:rFonts w:hint="default" w:ascii="Times New Roman" w:hAnsi="Times New Roman" w:cs="Times New Roman" w:eastAsiaTheme="minorEastAsia"/>
                <w:color w:val="auto"/>
                <w:sz w:val="24"/>
                <w:szCs w:val="24"/>
                <w:lang w:val="en-US" w:eastAsia="zh-CN"/>
              </w:rPr>
              <w:t>32.808万kW·h，</w:t>
            </w:r>
            <w:r>
              <w:rPr>
                <w:rFonts w:hint="default" w:ascii="Times New Roman" w:hAnsi="Times New Roman" w:cs="Times New Roman" w:eastAsiaTheme="minorEastAsia"/>
                <w:color w:val="auto"/>
                <w:sz w:val="24"/>
                <w:szCs w:val="24"/>
                <w:lang w:eastAsia="zh-CN"/>
              </w:rPr>
              <w:t>用电由</w:t>
            </w:r>
            <w:r>
              <w:rPr>
                <w:rFonts w:hint="default" w:ascii="Times New Roman" w:hAnsi="Times New Roman" w:cs="Times New Roman" w:eastAsiaTheme="minorEastAsia"/>
                <w:color w:val="auto"/>
                <w:sz w:val="24"/>
                <w:szCs w:val="24"/>
              </w:rPr>
              <w:t>如皋市政电网提供，供电可靠，可以满足本项目的需求。</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（3）储运工程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本项目原料、产品储存于厂房内划分的仓库</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原料及成品进出厂均采用汽车运输</w:t>
            </w:r>
            <w:r>
              <w:rPr>
                <w:rFonts w:hint="default" w:ascii="Times New Roman" w:hAnsi="Times New Roman" w:cs="Times New Roman" w:eastAsiaTheme="minorEastAsia"/>
                <w:color w:val="auto"/>
                <w:sz w:val="24"/>
                <w:szCs w:val="24"/>
                <w:highlight w:val="none"/>
                <w:lang w:eastAsia="zh-CN"/>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（4）环保工程</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废气：本项目</w:t>
            </w:r>
            <w:r>
              <w:rPr>
                <w:rFonts w:hint="default" w:ascii="Times New Roman" w:hAnsi="Times New Roman" w:cs="Times New Roman" w:eastAsiaTheme="minorEastAsia"/>
                <w:b w:val="0"/>
                <w:bCs w:val="0"/>
                <w:color w:val="auto"/>
                <w:sz w:val="24"/>
                <w:szCs w:val="24"/>
                <w:lang w:val="en-US" w:eastAsia="zh-CN"/>
              </w:rPr>
              <w:t>挤出</w:t>
            </w:r>
            <w:r>
              <w:rPr>
                <w:rFonts w:hint="eastAsia" w:ascii="Times New Roman" w:hAnsi="Times New Roman" w:cs="Times New Roman" w:eastAsiaTheme="minorEastAsia"/>
                <w:b w:val="0"/>
                <w:bCs w:val="0"/>
                <w:color w:val="auto"/>
                <w:sz w:val="24"/>
                <w:szCs w:val="24"/>
                <w:lang w:val="en-US" w:eastAsia="zh-CN"/>
              </w:rPr>
              <w:t>、熔融</w:t>
            </w:r>
            <w:r>
              <w:rPr>
                <w:rFonts w:hint="default" w:ascii="Times New Roman" w:hAnsi="Times New Roman" w:cs="Times New Roman" w:eastAsiaTheme="minorEastAsia"/>
                <w:b w:val="0"/>
                <w:bCs w:val="0"/>
                <w:color w:val="auto"/>
                <w:sz w:val="24"/>
                <w:szCs w:val="24"/>
                <w:lang w:val="en-US" w:eastAsia="zh-CN"/>
              </w:rPr>
              <w:t>废气经集气罩收集后通过</w:t>
            </w:r>
            <w:r>
              <w:rPr>
                <w:rFonts w:hint="eastAsia" w:ascii="Times New Roman" w:hAnsi="Times New Roman" w:cs="Times New Roman" w:eastAsiaTheme="minorEastAsia"/>
                <w:b w:val="0"/>
                <w:bCs w:val="0"/>
                <w:color w:val="auto"/>
                <w:sz w:val="24"/>
                <w:szCs w:val="24"/>
                <w:lang w:val="en-US" w:eastAsia="zh-CN"/>
              </w:rPr>
              <w:t>风冷管+</w:t>
            </w:r>
            <w:r>
              <w:rPr>
                <w:rFonts w:hint="default" w:ascii="Times New Roman" w:hAnsi="Times New Roman" w:cs="Times New Roman" w:eastAsiaTheme="minorEastAsia"/>
                <w:b w:val="0"/>
                <w:bCs w:val="0"/>
                <w:color w:val="auto"/>
                <w:sz w:val="24"/>
                <w:szCs w:val="24"/>
                <w:lang w:val="en-US" w:eastAsia="zh-CN"/>
              </w:rPr>
              <w:t>二级活性炭吸附装置处理，达标尾气通过15m高排气筒（DA001）排放；</w:t>
            </w:r>
            <w:r>
              <w:rPr>
                <w:rFonts w:hint="eastAsia" w:ascii="Times New Roman" w:hAnsi="Times New Roman" w:cs="Times New Roman" w:eastAsiaTheme="minorEastAsia"/>
                <w:b w:val="0"/>
                <w:bCs w:val="0"/>
                <w:color w:val="auto"/>
                <w:sz w:val="24"/>
                <w:szCs w:val="24"/>
                <w:lang w:val="en-US" w:eastAsia="zh-CN"/>
              </w:rPr>
              <w:t>破碎废气经布袋除尘器处理后车间无组织排放，淋涂废气、危废暂存废气在厂区内无组织排放</w:t>
            </w:r>
            <w:r>
              <w:rPr>
                <w:rFonts w:hint="default" w:ascii="Times New Roman" w:hAnsi="Times New Roman" w:cs="Times New Roman" w:eastAsiaTheme="minorEastAsia"/>
                <w:color w:val="auto"/>
                <w:sz w:val="24"/>
                <w:szCs w:val="24"/>
                <w:lang w:val="en-US" w:eastAsia="zh-CN"/>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废水：本项目无生产废水，</w:t>
            </w:r>
            <w:r>
              <w:rPr>
                <w:rFonts w:hint="default" w:ascii="Times New Roman" w:hAnsi="Times New Roman" w:cs="Times New Roman" w:eastAsiaTheme="minorEastAsia"/>
                <w:color w:val="auto"/>
                <w:sz w:val="24"/>
                <w:highlight w:val="none"/>
              </w:rPr>
              <w:t>生活污水经化粪池处理后</w:t>
            </w:r>
            <w:r>
              <w:rPr>
                <w:rFonts w:hint="default" w:ascii="Times New Roman" w:hAnsi="Times New Roman" w:cs="Times New Roman" w:eastAsiaTheme="minorEastAsia"/>
                <w:color w:val="auto"/>
                <w:sz w:val="24"/>
                <w:szCs w:val="24"/>
                <w:highlight w:val="none"/>
                <w:lang w:val="en-US" w:eastAsia="zh-CN"/>
              </w:rPr>
              <w:t>接管至如皋市碧水污水处理设施运行管理有限公司处理</w:t>
            </w:r>
            <w:r>
              <w:rPr>
                <w:rFonts w:hint="default" w:ascii="Times New Roman" w:hAnsi="Times New Roman" w:cs="Times New Roman" w:eastAsiaTheme="minorEastAsia"/>
                <w:color w:val="auto"/>
                <w:sz w:val="24"/>
                <w:highlight w:val="none"/>
                <w:lang w:val="en-US" w:eastAsia="zh-CN"/>
              </w:rPr>
              <w:t>。</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lang w:val="en-US" w:eastAsia="zh-CN"/>
              </w:rPr>
              <w:t>固废：本项目拟新建一座</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0m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一般固废库，用于贮存废包装袋、</w:t>
            </w:r>
            <w:r>
              <w:rPr>
                <w:rFonts w:hint="eastAsia" w:ascii="Times New Roman" w:hAnsi="Times New Roman" w:cs="Times New Roman" w:eastAsiaTheme="minorEastAsia"/>
                <w:color w:val="auto"/>
                <w:sz w:val="24"/>
                <w:szCs w:val="24"/>
                <w:lang w:val="en-US" w:eastAsia="zh-CN"/>
              </w:rPr>
              <w:t>碎屑、</w:t>
            </w:r>
            <w:r>
              <w:rPr>
                <w:rFonts w:hint="default" w:ascii="Times New Roman" w:hAnsi="Times New Roman" w:cs="Times New Roman" w:eastAsiaTheme="minorEastAsia"/>
                <w:color w:val="auto"/>
                <w:sz w:val="24"/>
                <w:szCs w:val="24"/>
                <w:lang w:val="en-US" w:eastAsia="zh-CN"/>
              </w:rPr>
              <w:t>废滤渣、废滤网、废槽渣、废布袋等一般固废，新建30m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vertAlign w:val="baseline"/>
                <w:lang w:val="en-US" w:eastAsia="zh-CN"/>
              </w:rPr>
              <w:t>危险固废库，用于贮存废活性炭、</w:t>
            </w:r>
            <w:r>
              <w:rPr>
                <w:rFonts w:hint="eastAsia" w:ascii="Times New Roman" w:hAnsi="Times New Roman" w:cs="Times New Roman" w:eastAsiaTheme="minorEastAsia"/>
                <w:color w:val="auto"/>
                <w:sz w:val="24"/>
                <w:szCs w:val="24"/>
                <w:vertAlign w:val="baseline"/>
                <w:lang w:val="en-US" w:eastAsia="zh-CN"/>
              </w:rPr>
              <w:t>废包装桶、</w:t>
            </w:r>
            <w:r>
              <w:rPr>
                <w:rFonts w:hint="default" w:ascii="Times New Roman" w:hAnsi="Times New Roman" w:cs="Times New Roman" w:eastAsiaTheme="minorEastAsia"/>
                <w:color w:val="auto"/>
                <w:sz w:val="24"/>
                <w:szCs w:val="24"/>
                <w:vertAlign w:val="baseline"/>
                <w:lang w:val="en-US" w:eastAsia="zh-CN"/>
              </w:rPr>
              <w:t>废润滑油、废润滑油桶、空压机含油废水等。</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（5）依托工程</w:t>
            </w:r>
          </w:p>
          <w:p>
            <w:pPr>
              <w:pStyle w:val="1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本项目属于新建项目，租用</w:t>
            </w:r>
            <w:r>
              <w:rPr>
                <w:rFonts w:hint="default" w:ascii="Times New Roman" w:hAnsi="Times New Roman" w:cs="Times New Roman" w:eastAsiaTheme="minorEastAsia"/>
                <w:color w:val="auto"/>
                <w:sz w:val="24"/>
                <w:szCs w:val="24"/>
                <w:lang w:val="en-US" w:eastAsia="zh-CN"/>
              </w:rPr>
              <w:t>南通奕诚精密电子科技有限公司闲置厂区</w:t>
            </w:r>
            <w:r>
              <w:rPr>
                <w:rFonts w:hint="default" w:ascii="Times New Roman" w:hAnsi="Times New Roman" w:cs="Times New Roman" w:eastAsiaTheme="minorEastAsia"/>
                <w:sz w:val="24"/>
                <w:szCs w:val="24"/>
              </w:rPr>
              <w:t>，依托现有</w:t>
            </w:r>
            <w:r>
              <w:rPr>
                <w:rFonts w:hint="default" w:ascii="Times New Roman" w:hAnsi="Times New Roman" w:cs="Times New Roman" w:eastAsiaTheme="minorEastAsia"/>
                <w:sz w:val="24"/>
                <w:szCs w:val="24"/>
                <w:lang w:val="en-US" w:eastAsia="zh-CN"/>
              </w:rPr>
              <w:t>厂区</w:t>
            </w:r>
            <w:r>
              <w:rPr>
                <w:rFonts w:hint="default" w:ascii="Times New Roman" w:hAnsi="Times New Roman" w:cs="Times New Roman" w:eastAsiaTheme="minorEastAsia"/>
                <w:sz w:val="24"/>
                <w:szCs w:val="24"/>
              </w:rPr>
              <w:t>及给水系统、供电系统、化粪池、排水系统。其余废气、固废暂存设施、环境风险设施包括事故应急池均由江苏卓宏新材料有限公司</w:t>
            </w:r>
          </w:p>
          <w:p>
            <w:pPr>
              <w:pStyle w:val="11"/>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自行负责建设。</w:t>
            </w:r>
          </w:p>
          <w:p>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eastAsiaTheme="minorEastAsia"/>
                <w:szCs w:val="21"/>
              </w:rPr>
            </w:pPr>
            <w:r>
              <w:rPr>
                <w:rFonts w:hint="default" w:ascii="Times New Roman" w:hAnsi="Times New Roman" w:cs="Times New Roman" w:eastAsiaTheme="minorEastAsia"/>
                <w:b/>
                <w:sz w:val="24"/>
              </w:rPr>
              <w:t>表2-2  本项目依托厂区基础设施情况一览表</w:t>
            </w:r>
          </w:p>
          <w:tbl>
            <w:tblPr>
              <w:tblStyle w:val="2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49"/>
              <w:gridCol w:w="1379"/>
              <w:gridCol w:w="1441"/>
              <w:gridCol w:w="41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rPr>
                  </w:pPr>
                  <w:r>
                    <w:rPr>
                      <w:rFonts w:hint="default" w:ascii="Times New Roman" w:hAnsi="Times New Roman" w:cs="Times New Roman" w:eastAsiaTheme="minorEastAsia"/>
                      <w:b/>
                    </w:rPr>
                    <w:t>序号</w:t>
                  </w:r>
                </w:p>
              </w:tc>
              <w:tc>
                <w:tcPr>
                  <w:tcW w:w="90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rPr>
                  </w:pPr>
                  <w:r>
                    <w:rPr>
                      <w:rFonts w:hint="default" w:ascii="Times New Roman" w:hAnsi="Times New Roman" w:cs="Times New Roman" w:eastAsiaTheme="minorEastAsia"/>
                      <w:b/>
                    </w:rPr>
                    <w:t>项目</w:t>
                  </w:r>
                </w:p>
              </w:tc>
              <w:tc>
                <w:tcPr>
                  <w:tcW w:w="94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rPr>
                  </w:pPr>
                  <w:r>
                    <w:rPr>
                      <w:rFonts w:hint="default" w:ascii="Times New Roman" w:hAnsi="Times New Roman" w:cs="Times New Roman" w:eastAsiaTheme="minorEastAsia"/>
                      <w:b/>
                    </w:rPr>
                    <w:t>项目内容</w:t>
                  </w:r>
                </w:p>
              </w:tc>
              <w:tc>
                <w:tcPr>
                  <w:tcW w:w="2728"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rPr>
                  </w:pPr>
                  <w:r>
                    <w:rPr>
                      <w:rFonts w:hint="default" w:ascii="Times New Roman" w:hAnsi="Times New Roman" w:cs="Times New Roman" w:eastAsiaTheme="minorEastAsia"/>
                      <w:b/>
                    </w:rPr>
                    <w:t>依托情况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1</w:t>
                  </w:r>
                </w:p>
              </w:tc>
              <w:tc>
                <w:tcPr>
                  <w:tcW w:w="90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主体工程</w:t>
                  </w:r>
                </w:p>
              </w:tc>
              <w:tc>
                <w:tcPr>
                  <w:tcW w:w="94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生产车间</w:t>
                  </w:r>
                </w:p>
              </w:tc>
              <w:tc>
                <w:tcPr>
                  <w:tcW w:w="2728"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租用闲置</w:t>
                  </w:r>
                  <w:r>
                    <w:rPr>
                      <w:rFonts w:hint="default" w:ascii="Times New Roman" w:hAnsi="Times New Roman" w:cs="Times New Roman" w:eastAsiaTheme="minorEastAsia"/>
                      <w:bCs/>
                      <w:lang w:val="en-US" w:eastAsia="zh-CN"/>
                    </w:rPr>
                    <w:t>厂区</w:t>
                  </w:r>
                  <w:r>
                    <w:rPr>
                      <w:rFonts w:hint="default" w:ascii="Times New Roman" w:hAnsi="Times New Roman" w:cs="Times New Roman" w:eastAsiaTheme="minorEastAsia"/>
                      <w:bCs/>
                    </w:rPr>
                    <w:t>，目前已经建成，根据厂房和项目工艺，本项目合理</w:t>
                  </w:r>
                  <w:r>
                    <w:rPr>
                      <w:rFonts w:hint="default" w:ascii="Times New Roman" w:hAnsi="Times New Roman" w:cs="Times New Roman" w:eastAsiaTheme="minorEastAsia"/>
                      <w:bCs/>
                      <w:lang w:val="en-US" w:eastAsia="zh-CN"/>
                    </w:rPr>
                    <w:t>布局</w:t>
                  </w:r>
                  <w:r>
                    <w:rPr>
                      <w:rFonts w:hint="default" w:ascii="Times New Roman" w:hAnsi="Times New Roman" w:cs="Times New Roman" w:eastAsiaTheme="minorEastAsia"/>
                      <w:bCs/>
                    </w:rPr>
                    <w:t>车间功能、办公，因此依托可行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2</w:t>
                  </w:r>
                </w:p>
              </w:tc>
              <w:tc>
                <w:tcPr>
                  <w:tcW w:w="902" w:type="pct"/>
                  <w:vMerge w:val="restar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公辅工程</w:t>
                  </w:r>
                </w:p>
              </w:tc>
              <w:tc>
                <w:tcPr>
                  <w:tcW w:w="94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给水系统</w:t>
                  </w:r>
                </w:p>
              </w:tc>
              <w:tc>
                <w:tcPr>
                  <w:tcW w:w="2728"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目前厂区供水管网已经铺设管网，因此依托可行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3</w:t>
                  </w:r>
                </w:p>
              </w:tc>
              <w:tc>
                <w:tcPr>
                  <w:tcW w:w="902" w:type="pct"/>
                  <w:vMerge w:val="continue"/>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p>
              </w:tc>
              <w:tc>
                <w:tcPr>
                  <w:tcW w:w="94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供电系统</w:t>
                  </w:r>
                </w:p>
              </w:tc>
              <w:tc>
                <w:tcPr>
                  <w:tcW w:w="2728"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厂区供电线路、变压器均已经完善，因此依托现有已建可行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25"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4</w:t>
                  </w:r>
                </w:p>
              </w:tc>
              <w:tc>
                <w:tcPr>
                  <w:tcW w:w="902" w:type="pct"/>
                  <w:vMerge w:val="continue"/>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p>
              </w:tc>
              <w:tc>
                <w:tcPr>
                  <w:tcW w:w="942"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排水系统</w:t>
                  </w:r>
                </w:p>
              </w:tc>
              <w:tc>
                <w:tcPr>
                  <w:tcW w:w="2728" w:type="pct"/>
                  <w:tcBorders>
                    <w:tl2br w:val="nil"/>
                    <w:tr2bl w:val="nil"/>
                  </w:tcBorders>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目前厂区已进行雨污分流</w:t>
                  </w:r>
                  <w:r>
                    <w:rPr>
                      <w:rFonts w:hint="default" w:ascii="Times New Roman" w:hAnsi="Times New Roman" w:cs="Times New Roman" w:eastAsiaTheme="minorEastAsia"/>
                      <w:bCs/>
                      <w:color w:val="auto"/>
                    </w:rPr>
                    <w:t>，厂区雨水经</w:t>
                  </w:r>
                  <w:r>
                    <w:rPr>
                      <w:rFonts w:hint="default" w:ascii="Times New Roman" w:hAnsi="Times New Roman" w:cs="Times New Roman" w:eastAsiaTheme="minorEastAsia"/>
                      <w:bCs/>
                      <w:color w:val="auto"/>
                      <w:lang w:val="en-US" w:eastAsia="zh-CN"/>
                    </w:rPr>
                    <w:t>市政雨水管网</w:t>
                  </w:r>
                  <w:r>
                    <w:rPr>
                      <w:rFonts w:hint="default" w:ascii="Times New Roman" w:hAnsi="Times New Roman" w:cs="Times New Roman" w:eastAsiaTheme="minorEastAsia"/>
                      <w:bCs/>
                      <w:color w:val="auto"/>
                    </w:rPr>
                    <w:t>收集后最终排入</w:t>
                  </w:r>
                  <w:r>
                    <w:rPr>
                      <w:rFonts w:hint="default" w:ascii="Times New Roman" w:hAnsi="Times New Roman" w:cs="Times New Roman" w:eastAsiaTheme="minorEastAsia"/>
                      <w:bCs/>
                      <w:color w:val="auto"/>
                      <w:lang w:val="en-US" w:eastAsia="zh-CN"/>
                    </w:rPr>
                    <w:t>南</w:t>
                  </w:r>
                  <w:r>
                    <w:rPr>
                      <w:rFonts w:hint="default" w:ascii="Times New Roman" w:hAnsi="Times New Roman" w:cs="Times New Roman" w:eastAsiaTheme="minorEastAsia"/>
                      <w:bCs/>
                      <w:color w:val="auto"/>
                    </w:rPr>
                    <w:t>侧</w:t>
                  </w:r>
                  <w:r>
                    <w:rPr>
                      <w:rFonts w:hint="default" w:ascii="Times New Roman" w:hAnsi="Times New Roman" w:cs="Times New Roman" w:eastAsiaTheme="minorEastAsia"/>
                      <w:bCs/>
                      <w:color w:val="auto"/>
                      <w:lang w:val="en-US" w:eastAsia="zh-CN"/>
                    </w:rPr>
                    <w:t>红星</w:t>
                  </w:r>
                  <w:r>
                    <w:rPr>
                      <w:rFonts w:hint="default" w:ascii="Times New Roman" w:hAnsi="Times New Roman" w:cs="Times New Roman" w:eastAsiaTheme="minorEastAsia"/>
                      <w:bCs/>
                      <w:color w:val="auto"/>
                    </w:rPr>
                    <w:t>河，生活污水厂内设有化粪池，依托可行。</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本项目具体工程组成见表2-</w:t>
            </w: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482" w:firstLineChars="20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2-</w:t>
            </w:r>
            <w:r>
              <w:rPr>
                <w:rFonts w:hint="eastAsia" w:ascii="Times New Roman" w:hAnsi="Times New Roman" w:cs="Times New Roman" w:eastAsiaTheme="minorEastAsia"/>
                <w:b/>
                <w:color w:val="auto"/>
                <w:sz w:val="24"/>
                <w:szCs w:val="24"/>
                <w:highlight w:val="none"/>
                <w:lang w:val="en-US" w:eastAsia="zh-CN"/>
              </w:rPr>
              <w:t>3</w:t>
            </w:r>
            <w:r>
              <w:rPr>
                <w:rFonts w:hint="default" w:ascii="Times New Roman" w:hAnsi="Times New Roman" w:cs="Times New Roman" w:eastAsiaTheme="minorEastAsia"/>
                <w:b/>
                <w:color w:val="auto"/>
                <w:sz w:val="24"/>
                <w:szCs w:val="24"/>
                <w:highlight w:val="none"/>
              </w:rPr>
              <w:t xml:space="preserve">  </w:t>
            </w:r>
            <w:r>
              <w:rPr>
                <w:rFonts w:hint="default" w:ascii="Times New Roman" w:hAnsi="Times New Roman" w:cs="Times New Roman" w:eastAsiaTheme="minorEastAsia"/>
                <w:b/>
                <w:color w:val="auto"/>
                <w:sz w:val="24"/>
                <w:szCs w:val="24"/>
                <w:highlight w:val="none"/>
                <w:lang w:eastAsia="zh-CN"/>
              </w:rPr>
              <w:t>项目建设内容一览表</w:t>
            </w:r>
          </w:p>
          <w:tbl>
            <w:tblPr>
              <w:tblStyle w:val="2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3"/>
              <w:gridCol w:w="890"/>
              <w:gridCol w:w="1318"/>
              <w:gridCol w:w="2850"/>
              <w:gridCol w:w="19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1" w:hRule="atLeast"/>
                <w:jc w:val="center"/>
              </w:trPr>
              <w:tc>
                <w:tcPr>
                  <w:tcW w:w="44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lang w:eastAsia="zh-CN"/>
                    </w:rPr>
                  </w:pPr>
                  <w:r>
                    <w:rPr>
                      <w:rFonts w:hint="default" w:ascii="Times New Roman" w:hAnsi="Times New Roman" w:cs="Times New Roman" w:eastAsiaTheme="minorEastAsia"/>
                      <w:b/>
                      <w:color w:val="auto"/>
                      <w:lang w:eastAsia="zh-CN"/>
                    </w:rPr>
                    <w:t>工程类别</w:t>
                  </w: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工程名称</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lang w:val="en-US" w:eastAsia="zh-CN"/>
                    </w:rPr>
                  </w:pPr>
                  <w:r>
                    <w:rPr>
                      <w:rFonts w:hint="default" w:ascii="Times New Roman" w:hAnsi="Times New Roman" w:cs="Times New Roman" w:eastAsiaTheme="minorEastAsia"/>
                      <w:b/>
                      <w:color w:val="auto"/>
                      <w:lang w:val="en-US" w:eastAsia="zh-CN"/>
                    </w:rPr>
                    <w:t>工程内容和规模</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lang w:val="en-US" w:eastAsia="zh-CN"/>
                    </w:rPr>
                  </w:pPr>
                  <w:r>
                    <w:rPr>
                      <w:rFonts w:hint="default" w:ascii="Times New Roman" w:hAnsi="Times New Roman" w:cs="Times New Roman" w:eastAsiaTheme="minorEastAsia"/>
                      <w:b/>
                      <w:color w:val="auto"/>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46"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主体工程</w:t>
                  </w: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车间三</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vertAlign w:val="baseline"/>
                      <w:lang w:val="en-US" w:eastAsia="zh-CN"/>
                    </w:rPr>
                    <w:t>建筑面积1664.52m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（占地面积1664.52m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PC板加工（3条线）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车间四</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vertAlign w:val="baseline"/>
                      <w:lang w:val="en-US" w:eastAsia="zh-CN"/>
                    </w:rPr>
                  </w:pPr>
                  <w:r>
                    <w:rPr>
                      <w:rFonts w:hint="default" w:ascii="Times New Roman" w:hAnsi="Times New Roman" w:cs="Times New Roman" w:eastAsiaTheme="minorEastAsia"/>
                      <w:b w:val="0"/>
                      <w:bCs/>
                      <w:color w:val="auto"/>
                      <w:vertAlign w:val="baseline"/>
                      <w:lang w:val="en-US" w:eastAsia="zh-CN"/>
                    </w:rPr>
                    <w:t>建筑面积1543.64m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（占地面积1543.64m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PC板加工（1条线）、破碎、造粒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车间一</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vertAlign w:val="baseline"/>
                      <w:lang w:val="en-US" w:eastAsia="zh-CN"/>
                    </w:rPr>
                  </w:pPr>
                  <w:r>
                    <w:rPr>
                      <w:rFonts w:hint="default" w:ascii="Times New Roman" w:hAnsi="Times New Roman" w:cs="Times New Roman" w:eastAsiaTheme="minorEastAsia"/>
                      <w:b w:val="0"/>
                      <w:bCs/>
                      <w:color w:val="auto"/>
                      <w:vertAlign w:val="baseline"/>
                      <w:lang w:val="en-US" w:eastAsia="zh-CN"/>
                    </w:rPr>
                    <w:t>建筑面积2479.42m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（占地面积1239.71m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雕刻、淋涂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公辅工程</w:t>
                  </w: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给水系统</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vertAlign w:val="baseline"/>
                      <w:lang w:val="en-US" w:eastAsia="zh-CN"/>
                    </w:rPr>
                    <w:t>1629.36</w:t>
                  </w:r>
                  <w:r>
                    <w:rPr>
                      <w:rFonts w:hint="default" w:ascii="Times New Roman" w:hAnsi="Times New Roman" w:cs="Times New Roman" w:eastAsiaTheme="minorEastAsia"/>
                      <w:b w:val="0"/>
                      <w:bCs/>
                      <w:color w:val="auto"/>
                      <w:lang w:val="en-US" w:eastAsia="zh-CN"/>
                    </w:rPr>
                    <w:t>m</w:t>
                  </w:r>
                  <w:r>
                    <w:rPr>
                      <w:rFonts w:hint="default" w:ascii="Times New Roman" w:hAnsi="Times New Roman" w:cs="Times New Roman" w:eastAsiaTheme="minorEastAsia"/>
                      <w:b w:val="0"/>
                      <w:bCs/>
                      <w:color w:val="auto"/>
                      <w:vertAlign w:val="superscript"/>
                      <w:lang w:val="en-US" w:eastAsia="zh-CN"/>
                    </w:rPr>
                    <w:t>3</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市政供水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排水系统</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360m</w:t>
                  </w:r>
                  <w:r>
                    <w:rPr>
                      <w:rFonts w:hint="default" w:ascii="Times New Roman" w:hAnsi="Times New Roman" w:cs="Times New Roman" w:eastAsiaTheme="minorEastAsia"/>
                      <w:b w:val="0"/>
                      <w:bCs/>
                      <w:color w:val="auto"/>
                      <w:vertAlign w:val="superscript"/>
                      <w:lang w:val="en-US" w:eastAsia="zh-CN"/>
                    </w:rPr>
                    <w:t>3</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如皋市碧水污水处理设施运行管理有限公司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供电系统</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32.808万kWh/a</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lang w:val="en-US" w:eastAsia="zh-CN"/>
                    </w:rPr>
                    <w:t>当地供电站电网输送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6" w:hRule="atLeast"/>
                <w:jc w:val="center"/>
              </w:trPr>
              <w:tc>
                <w:tcPr>
                  <w:tcW w:w="44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贮运工程</w:t>
                  </w:r>
                </w:p>
              </w:tc>
              <w:tc>
                <w:tcPr>
                  <w:tcW w:w="58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仓库</w:t>
                  </w: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车间二</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b w:val="0"/>
                      <w:bCs/>
                      <w:color w:val="auto"/>
                      <w:vertAlign w:val="baseline"/>
                      <w:lang w:val="en-US" w:eastAsia="zh-CN"/>
                    </w:rPr>
                    <w:t>建筑面积2479.42m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（占地面积1239.71m</w:t>
                  </w:r>
                  <w:r>
                    <w:rPr>
                      <w:rFonts w:hint="default" w:ascii="Times New Roman" w:hAnsi="Times New Roman" w:cs="Times New Roman" w:eastAsiaTheme="minorEastAsia"/>
                      <w:b w:val="0"/>
                      <w:bCs/>
                      <w:color w:val="auto"/>
                      <w:vertAlign w:val="superscript"/>
                      <w:lang w:val="en-US" w:eastAsia="zh-CN"/>
                    </w:rPr>
                    <w:t>2</w:t>
                  </w:r>
                  <w:r>
                    <w:rPr>
                      <w:rFonts w:hint="default" w:ascii="Times New Roman" w:hAnsi="Times New Roman" w:cs="Times New Roman" w:eastAsiaTheme="minorEastAsia"/>
                      <w:b w:val="0"/>
                      <w:bCs/>
                      <w:color w:val="auto"/>
                      <w:vertAlign w:val="baseline"/>
                      <w:lang w:val="en-US" w:eastAsia="zh-CN"/>
                    </w:rPr>
                    <w:t>）</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原料、成品存储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环保</w:t>
                  </w:r>
                  <w:r>
                    <w:rPr>
                      <w:rFonts w:hint="default" w:ascii="Times New Roman" w:hAnsi="Times New Roman" w:cs="Times New Roman" w:eastAsiaTheme="minorEastAsia"/>
                      <w:color w:val="auto"/>
                      <w:lang w:eastAsia="zh-CN"/>
                    </w:rPr>
                    <w:t>工程</w:t>
                  </w:r>
                </w:p>
              </w:tc>
              <w:tc>
                <w:tcPr>
                  <w:tcW w:w="582"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废气</w:t>
                  </w: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挤出</w:t>
                  </w:r>
                  <w:r>
                    <w:rPr>
                      <w:rFonts w:hint="eastAsia" w:ascii="Times New Roman" w:hAnsi="Times New Roman" w:cs="Times New Roman" w:eastAsiaTheme="minorEastAsia"/>
                      <w:color w:val="auto"/>
                      <w:lang w:val="en-US" w:eastAsia="zh-CN"/>
                    </w:rPr>
                    <w:t>、熔融</w:t>
                  </w:r>
                  <w:r>
                    <w:rPr>
                      <w:rFonts w:hint="default" w:ascii="Times New Roman" w:hAnsi="Times New Roman" w:cs="Times New Roman" w:eastAsiaTheme="minorEastAsia"/>
                      <w:color w:val="auto"/>
                      <w:lang w:val="en-US" w:eastAsia="zh-CN"/>
                    </w:rPr>
                    <w:t>废气</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风冷管+</w:t>
                  </w:r>
                  <w:r>
                    <w:rPr>
                      <w:rFonts w:hint="default" w:ascii="Times New Roman" w:hAnsi="Times New Roman" w:cs="Times New Roman" w:eastAsiaTheme="minorEastAsia"/>
                      <w:color w:val="auto"/>
                      <w:lang w:val="en-US" w:eastAsia="zh-CN"/>
                    </w:rPr>
                    <w:t>二级活性炭</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15mDA001排气筒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rPr>
                  </w:pPr>
                </w:p>
              </w:tc>
              <w:tc>
                <w:tcPr>
                  <w:tcW w:w="582"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破碎</w:t>
                  </w:r>
                  <w:r>
                    <w:rPr>
                      <w:rFonts w:hint="default" w:ascii="Times New Roman" w:hAnsi="Times New Roman" w:cs="Times New Roman" w:eastAsiaTheme="minorEastAsia"/>
                      <w:color w:val="auto"/>
                      <w:lang w:val="en-US" w:eastAsia="zh-CN"/>
                    </w:rPr>
                    <w:t>废气</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布袋除尘器</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rPr>
                  </w:pPr>
                </w:p>
              </w:tc>
              <w:tc>
                <w:tcPr>
                  <w:tcW w:w="582"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淋涂废气、危废暂存废气</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车间通风、厂区绿化</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p>
              </w:tc>
              <w:tc>
                <w:tcPr>
                  <w:tcW w:w="58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废水</w:t>
                  </w: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生活</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污水</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依托</w:t>
                  </w:r>
                  <w:r>
                    <w:rPr>
                      <w:rFonts w:hint="default" w:ascii="Times New Roman" w:hAnsi="Times New Roman" w:cs="Times New Roman" w:eastAsiaTheme="minorEastAsia"/>
                      <w:color w:val="auto"/>
                      <w:lang w:val="en-US" w:eastAsia="zh-CN"/>
                    </w:rPr>
                    <w:t>化粪池（</w:t>
                  </w:r>
                  <w:r>
                    <w:rPr>
                      <w:rFonts w:hint="eastAsia" w:ascii="Times New Roman" w:hAnsi="Times New Roman" w:cs="Times New Roman" w:eastAsiaTheme="minorEastAsia"/>
                      <w:color w:val="auto"/>
                      <w:lang w:val="en-US" w:eastAsia="zh-CN"/>
                    </w:rPr>
                    <w:t>20</w:t>
                  </w:r>
                  <w:r>
                    <w:rPr>
                      <w:rFonts w:hint="default" w:ascii="Times New Roman" w:hAnsi="Times New Roman" w:cs="Times New Roman" w:eastAsiaTheme="minorEastAsia"/>
                      <w:color w:val="auto"/>
                      <w:lang w:val="en-US" w:eastAsia="zh-CN"/>
                    </w:rPr>
                    <w:t>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）预处理</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p>
              </w:tc>
              <w:tc>
                <w:tcPr>
                  <w:tcW w:w="1444" w:type="pct"/>
                  <w:gridSpan w:val="2"/>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噪声</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vertAlign w:val="baseline"/>
                      <w:lang w:val="en-US" w:eastAsia="zh-CN"/>
                    </w:rPr>
                  </w:pPr>
                  <w:r>
                    <w:rPr>
                      <w:rFonts w:hint="default" w:ascii="Times New Roman" w:hAnsi="Times New Roman" w:cs="Times New Roman" w:eastAsiaTheme="minorEastAsia"/>
                      <w:color w:val="auto"/>
                      <w:vertAlign w:val="baseline"/>
                      <w:lang w:val="en-US" w:eastAsia="zh-CN"/>
                    </w:rPr>
                    <w:t>厂房隔声、减振隔声措施</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vertAlign w:val="baseline"/>
                      <w:lang w:val="en-US" w:eastAsia="zh-CN"/>
                    </w:rPr>
                  </w:pPr>
                  <w:r>
                    <w:rPr>
                      <w:rFonts w:hint="default" w:ascii="Times New Roman" w:hAnsi="Times New Roman" w:cs="Times New Roman" w:eastAsiaTheme="minorEastAsia"/>
                      <w:color w:val="auto"/>
                      <w:vertAlign w:val="baseline"/>
                      <w:lang w:val="en-US" w:eastAsia="zh-CN"/>
                    </w:rPr>
                    <w:t>厂界噪声达标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446"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p>
              </w:tc>
              <w:tc>
                <w:tcPr>
                  <w:tcW w:w="582"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固废</w:t>
                  </w: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一般固废库</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vertAlign w:val="baseline"/>
                      <w:lang w:val="en-US" w:eastAsia="zh-CN"/>
                    </w:rPr>
                    <w:t>2</w:t>
                  </w:r>
                  <w:r>
                    <w:rPr>
                      <w:rFonts w:hint="default" w:ascii="Times New Roman" w:hAnsi="Times New Roman" w:cs="Times New Roman" w:eastAsiaTheme="minorEastAsia"/>
                      <w:color w:val="auto"/>
                      <w:vertAlign w:val="baseline"/>
                      <w:lang w:val="en-US" w:eastAsia="zh-CN"/>
                    </w:rPr>
                    <w:t>0m</w:t>
                  </w:r>
                  <w:r>
                    <w:rPr>
                      <w:rFonts w:hint="default" w:ascii="Times New Roman" w:hAnsi="Times New Roman" w:cs="Times New Roman" w:eastAsiaTheme="minorEastAsia"/>
                      <w:color w:val="auto"/>
                      <w:vertAlign w:val="superscript"/>
                      <w:lang w:val="en-US" w:eastAsia="zh-CN"/>
                    </w:rPr>
                    <w:t>2</w:t>
                  </w:r>
                </w:p>
              </w:tc>
              <w:tc>
                <w:tcPr>
                  <w:tcW w:w="1243" w:type="pct"/>
                  <w:vMerge w:val="restar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4"/>
                      <w:lang w:val="en-US" w:eastAsia="zh-CN" w:bidi="ar-SA"/>
                    </w:rPr>
                    <w:t>生产车间内划分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6" w:type="pct"/>
                  <w:vMerge w:val="continue"/>
                  <w:tcBorders>
                    <w:bottom w:val="single" w:color="auto" w:sz="4" w:space="0"/>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rPr>
                  </w:pPr>
                </w:p>
              </w:tc>
              <w:tc>
                <w:tcPr>
                  <w:tcW w:w="582"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rPr>
                  </w:pP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危险固废库</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vertAlign w:val="baseline"/>
                      <w:lang w:val="en-US" w:eastAsia="zh-CN"/>
                    </w:rPr>
                    <w:t>30m</w:t>
                  </w:r>
                  <w:r>
                    <w:rPr>
                      <w:rFonts w:hint="default" w:ascii="Times New Roman" w:hAnsi="Times New Roman" w:cs="Times New Roman" w:eastAsiaTheme="minorEastAsia"/>
                      <w:color w:val="auto"/>
                      <w:vertAlign w:val="superscript"/>
                      <w:lang w:val="en-US" w:eastAsia="zh-CN"/>
                    </w:rPr>
                    <w:t>2</w:t>
                  </w:r>
                </w:p>
              </w:tc>
              <w:tc>
                <w:tcPr>
                  <w:tcW w:w="1243" w:type="pct"/>
                  <w:vMerge w:val="continue"/>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29" w:type="pct"/>
                  <w:gridSpan w:val="2"/>
                  <w:tcBorders>
                    <w:top w:val="single" w:color="auto" w:sz="4" w:space="0"/>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环境风险</w:t>
                  </w:r>
                </w:p>
              </w:tc>
              <w:tc>
                <w:tcPr>
                  <w:tcW w:w="862"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事故应急池</w:t>
                  </w:r>
                </w:p>
              </w:tc>
              <w:tc>
                <w:tcPr>
                  <w:tcW w:w="186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vertAlign w:val="baseline"/>
                      <w:lang w:val="en-US" w:eastAsia="zh-CN"/>
                    </w:rPr>
                  </w:pPr>
                  <w:r>
                    <w:rPr>
                      <w:rFonts w:hint="default" w:ascii="Times New Roman" w:hAnsi="Times New Roman" w:cs="Times New Roman" w:eastAsiaTheme="minorEastAsia"/>
                      <w:color w:val="auto"/>
                      <w:vertAlign w:val="baseline"/>
                      <w:lang w:val="en-US" w:eastAsia="zh-CN"/>
                    </w:rPr>
                    <w:t>2</w:t>
                  </w:r>
                  <w:r>
                    <w:rPr>
                      <w:rFonts w:hint="eastAsia" w:ascii="Times New Roman" w:hAnsi="Times New Roman" w:cs="Times New Roman" w:eastAsiaTheme="minorEastAsia"/>
                      <w:color w:val="auto"/>
                      <w:vertAlign w:val="baseline"/>
                      <w:lang w:val="en-US" w:eastAsia="zh-CN"/>
                    </w:rPr>
                    <w:t>2</w:t>
                  </w:r>
                  <w:r>
                    <w:rPr>
                      <w:rFonts w:hint="default" w:ascii="Times New Roman" w:hAnsi="Times New Roman" w:cs="Times New Roman" w:eastAsiaTheme="minorEastAsia"/>
                      <w:color w:val="auto"/>
                      <w:vertAlign w:val="baseline"/>
                      <w:lang w:val="en-US" w:eastAsia="zh-CN"/>
                    </w:rPr>
                    <w:t>0m</w:t>
                  </w:r>
                  <w:r>
                    <w:rPr>
                      <w:rFonts w:hint="default" w:ascii="Times New Roman" w:hAnsi="Times New Roman" w:cs="Times New Roman" w:eastAsiaTheme="minorEastAsia"/>
                      <w:color w:val="auto"/>
                      <w:vertAlign w:val="superscript"/>
                      <w:lang w:val="en-US" w:eastAsia="zh-CN"/>
                    </w:rPr>
                    <w:t>3</w:t>
                  </w:r>
                </w:p>
              </w:tc>
              <w:tc>
                <w:tcPr>
                  <w:tcW w:w="124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4"/>
                      <w:lang w:val="en-US" w:eastAsia="zh-CN" w:bidi="ar-SA"/>
                    </w:rPr>
                    <w:t>新建</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3、产品方案</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本项目产品方案见表2-</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482" w:firstLineChars="200"/>
              <w:jc w:val="center"/>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2-</w:t>
            </w:r>
            <w:r>
              <w:rPr>
                <w:rFonts w:hint="eastAsia" w:ascii="Times New Roman" w:hAnsi="Times New Roman" w:cs="Times New Roman" w:eastAsiaTheme="minorEastAsia"/>
                <w:b/>
                <w:color w:val="auto"/>
                <w:sz w:val="24"/>
                <w:szCs w:val="24"/>
                <w:highlight w:val="none"/>
                <w:lang w:val="en-US" w:eastAsia="zh-CN"/>
              </w:rPr>
              <w:t>4</w:t>
            </w:r>
            <w:r>
              <w:rPr>
                <w:rFonts w:hint="default" w:ascii="Times New Roman" w:hAnsi="Times New Roman" w:cs="Times New Roman" w:eastAsiaTheme="minorEastAsia"/>
                <w:b/>
                <w:color w:val="auto"/>
                <w:sz w:val="24"/>
                <w:szCs w:val="24"/>
                <w:highlight w:val="none"/>
              </w:rPr>
              <w:t xml:space="preserve"> </w:t>
            </w:r>
            <w:r>
              <w:rPr>
                <w:rFonts w:hint="default" w:ascii="Times New Roman" w:hAnsi="Times New Roman" w:cs="Times New Roman" w:eastAsiaTheme="minorEastAsia"/>
                <w:b/>
                <w:color w:val="auto"/>
                <w:sz w:val="24"/>
                <w:szCs w:val="24"/>
                <w:highlight w:val="none"/>
                <w:lang w:val="en-US" w:eastAsia="zh-CN"/>
              </w:rPr>
              <w:t>本项目产品方案一览表  单位：吨/年</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327"/>
              <w:gridCol w:w="2656"/>
              <w:gridCol w:w="1233"/>
              <w:gridCol w:w="1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05"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工程名称</w:t>
                  </w:r>
                </w:p>
              </w:tc>
              <w:tc>
                <w:tcPr>
                  <w:tcW w:w="868"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产品名称</w:t>
                  </w:r>
                </w:p>
              </w:tc>
              <w:tc>
                <w:tcPr>
                  <w:tcW w:w="1737"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用途</w:t>
                  </w:r>
                </w:p>
              </w:tc>
              <w:tc>
                <w:tcPr>
                  <w:tcW w:w="806"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设计规模</w:t>
                  </w:r>
                </w:p>
              </w:tc>
              <w:tc>
                <w:tcPr>
                  <w:tcW w:w="881"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705"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生产车间</w:t>
                  </w:r>
                </w:p>
              </w:tc>
              <w:tc>
                <w:tcPr>
                  <w:tcW w:w="868" w:type="pct"/>
                  <w:tcBorders>
                    <w:tl2br w:val="nil"/>
                    <w:tr2bl w:val="nil"/>
                  </w:tcBorders>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kern w:val="0"/>
                      <w:sz w:val="21"/>
                      <w:szCs w:val="21"/>
                      <w:lang w:val="en-US" w:eastAsia="zh-CN" w:bidi="ar-SA"/>
                    </w:rPr>
                    <w:t>PC板</w:t>
                  </w:r>
                </w:p>
              </w:tc>
              <w:tc>
                <w:tcPr>
                  <w:tcW w:w="1737" w:type="pct"/>
                  <w:tcBorders>
                    <w:tl2br w:val="nil"/>
                    <w:tr2bl w:val="nil"/>
                  </w:tcBorders>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eastAsiaTheme="minorEastAsia"/>
                      <w:color w:val="auto"/>
                      <w:szCs w:val="24"/>
                      <w:lang w:val="en-US" w:eastAsia="zh-CN"/>
                    </w:rPr>
                  </w:pPr>
                  <w:r>
                    <w:rPr>
                      <w:rFonts w:hint="default" w:ascii="Times New Roman" w:hAnsi="Times New Roman" w:cs="Times New Roman" w:eastAsiaTheme="minorEastAsia"/>
                      <w:color w:val="auto"/>
                      <w:szCs w:val="24"/>
                      <w:lang w:val="en-US" w:eastAsia="zh-CN"/>
                    </w:rPr>
                    <w:t>新能源汽车电池的外壳、轨道交通封闭式声屏障等</w:t>
                  </w:r>
                </w:p>
              </w:tc>
              <w:tc>
                <w:tcPr>
                  <w:tcW w:w="806"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50万平方米/a</w:t>
                  </w:r>
                </w:p>
              </w:tc>
              <w:tc>
                <w:tcPr>
                  <w:tcW w:w="881"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年运行7200h</w:t>
                  </w:r>
                </w:p>
              </w:tc>
            </w:tr>
          </w:tbl>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482" w:firstLineChars="200"/>
              <w:jc w:val="center"/>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2-</w:t>
            </w:r>
            <w:r>
              <w:rPr>
                <w:rFonts w:hint="eastAsia" w:ascii="Times New Roman" w:hAnsi="Times New Roman" w:cs="Times New Roman" w:eastAsiaTheme="minorEastAsia"/>
                <w:b/>
                <w:color w:val="auto"/>
                <w:sz w:val="24"/>
                <w:szCs w:val="24"/>
                <w:highlight w:val="none"/>
                <w:lang w:val="en-US" w:eastAsia="zh-CN"/>
              </w:rPr>
              <w:t>5</w:t>
            </w:r>
            <w:r>
              <w:rPr>
                <w:rFonts w:hint="default" w:ascii="Times New Roman" w:hAnsi="Times New Roman" w:cs="Times New Roman" w:eastAsiaTheme="minorEastAsia"/>
                <w:b/>
                <w:color w:val="auto"/>
                <w:sz w:val="24"/>
                <w:szCs w:val="24"/>
                <w:highlight w:val="none"/>
              </w:rPr>
              <w:t xml:space="preserve">  </w:t>
            </w:r>
            <w:r>
              <w:rPr>
                <w:rFonts w:hint="default" w:ascii="Times New Roman" w:hAnsi="Times New Roman" w:cs="Times New Roman" w:eastAsiaTheme="minorEastAsia"/>
                <w:b/>
                <w:color w:val="auto"/>
                <w:sz w:val="24"/>
                <w:szCs w:val="24"/>
                <w:highlight w:val="none"/>
                <w:lang w:val="en-US" w:eastAsia="zh-CN"/>
              </w:rPr>
              <w:t>本项目产品规格</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3127"/>
              <w:gridCol w:w="3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967"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产品名称</w:t>
                  </w:r>
                </w:p>
              </w:tc>
              <w:tc>
                <w:tcPr>
                  <w:tcW w:w="2045"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典型规格</w:t>
                  </w:r>
                </w:p>
              </w:tc>
              <w:tc>
                <w:tcPr>
                  <w:tcW w:w="1987"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典型产品照片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67" w:type="pc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Cs w:val="24"/>
                      <w:lang w:val="en-US" w:eastAsia="zh-CN"/>
                    </w:rPr>
                    <w:t>PC板</w:t>
                  </w:r>
                </w:p>
              </w:tc>
              <w:tc>
                <w:tcPr>
                  <w:tcW w:w="2045" w:type="pct"/>
                  <w:tcBorders>
                    <w:tl2br w:val="nil"/>
                    <w:tr2bl w:val="nil"/>
                  </w:tcBorders>
                  <w:noWrap w:val="0"/>
                  <w:vAlign w:val="center"/>
                </w:tcPr>
                <w:p>
                  <w:pPr>
                    <w:pStyle w:val="6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bCs/>
                      <w:color w:val="auto"/>
                    </w:rPr>
                  </w:pPr>
                  <w:r>
                    <w:rPr>
                      <w:rFonts w:hint="default" w:ascii="Times New Roman" w:hAnsi="Times New Roman" w:cs="Times New Roman" w:eastAsiaTheme="minorEastAsia"/>
                      <w:bCs/>
                      <w:color w:val="auto"/>
                    </w:rPr>
                    <w:t>尺寸：长×宽×厚度</w:t>
                  </w:r>
                </w:p>
                <w:p>
                  <w:pPr>
                    <w:pStyle w:val="6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bCs/>
                      <w:color w:val="auto"/>
                      <w:kern w:val="0"/>
                      <w:sz w:val="21"/>
                      <w:szCs w:val="21"/>
                      <w:lang w:val="en-US" w:eastAsia="zh-CN" w:bidi="ar-SA"/>
                    </w:rPr>
                  </w:pPr>
                  <w:r>
                    <w:rPr>
                      <w:rFonts w:hint="default" w:ascii="Times New Roman" w:hAnsi="Times New Roman" w:cs="Times New Roman" w:eastAsiaTheme="minorEastAsia"/>
                      <w:bCs/>
                      <w:color w:val="auto"/>
                    </w:rPr>
                    <w:t>=1.25m×1.6m×0.009-0.01m</w:t>
                  </w:r>
                </w:p>
              </w:tc>
              <w:tc>
                <w:tcPr>
                  <w:tcW w:w="198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2"/>
                      <w:sz w:val="24"/>
                      <w:szCs w:val="24"/>
                      <w:u w:val="none"/>
                      <w:lang w:val="en-US" w:eastAsia="zh-CN" w:bidi="ar-SA"/>
                    </w:rPr>
                  </w:pPr>
                  <w:r>
                    <w:rPr>
                      <w:rFonts w:hint="default" w:ascii="Times New Roman" w:hAnsi="Times New Roman" w:cs="Times New Roman" w:eastAsiaTheme="minorEastAsia"/>
                    </w:rPr>
                    <w:drawing>
                      <wp:inline distT="0" distB="0" distL="114300" distR="114300">
                        <wp:extent cx="1786890" cy="1866900"/>
                        <wp:effectExtent l="0" t="0" r="38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1786890" cy="1866900"/>
                                </a:xfrm>
                                <a:prstGeom prst="rect">
                                  <a:avLst/>
                                </a:prstGeom>
                                <a:noFill/>
                                <a:ln>
                                  <a:noFill/>
                                </a:ln>
                              </pic:spPr>
                            </pic:pic>
                          </a:graphicData>
                        </a:graphic>
                      </wp:inline>
                    </w:drawing>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 xml:space="preserve">产品质量标准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本项目产品初始透光率≥60% 且太阳能总透射比≤60%；按照GB/T 16422.2标准，经5000小时人工气候老化试验后，透光率变化率小于3%，黄变指数小于3；板材的燃烧性能等级须达到《建筑材料及制品燃烧性能分级》（GB 8624-2012）B1级。板材的其他要求满足《聚碳酸酯（PC）实心板》（JG/T 347-2012）。聚碳酸酯板在实际风荷载和安装条件下，变形量满足安全要求。</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产品质量检测方法（</w:t>
            </w:r>
            <w:r>
              <w:rPr>
                <w:rFonts w:hint="eastAsia" w:ascii="Times New Roman" w:hAnsi="Times New Roman" w:cs="Times New Roman" w:eastAsiaTheme="minorEastAsia"/>
                <w:b/>
                <w:bCs/>
                <w:color w:val="auto"/>
                <w:sz w:val="24"/>
                <w:szCs w:val="24"/>
                <w:lang w:val="en-US" w:eastAsia="zh-CN"/>
              </w:rPr>
              <w:t>抽样</w:t>
            </w:r>
            <w:r>
              <w:rPr>
                <w:rFonts w:hint="default" w:ascii="Times New Roman" w:hAnsi="Times New Roman" w:cs="Times New Roman" w:eastAsiaTheme="minorEastAsia"/>
                <w:b/>
                <w:bCs/>
                <w:color w:val="auto"/>
                <w:sz w:val="24"/>
                <w:szCs w:val="24"/>
                <w:lang w:val="en-US" w:eastAsia="zh-CN"/>
              </w:rPr>
              <w:t xml:space="preserve">委外）                   </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①核心光学性能检测：使用分光光度计或雾度计，测量规定波长下（如可见光区）透过试样的光通量与入射光通量的比值，以百分比表示；通过测量太阳光各波段（紫外、可见、近红外）的透射、反射数据，经加权计算得到太阳能总透射比。</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②人工气候老化试验：按照《塑料实验室光源暴露试验方法 第2部分：氙弧灯》（GB/T 16422.2）进行试验，试验结束后，再次测定透光率，计算其与初始值的变化百分比，使用色差计或分光光度计，测量样品老化前后的颜色变化，通过公式计算黄变指数（YI）。</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③燃烧性能等级检测：使用小火源对试样边缘或表面进行燃烧，评定试样的可燃性，60s内焰尖高度Fs≤150mm，且无燃烧滴落物引燃滤纸的现象。评估材料在特定燃烧条件下的对火反应。</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④结构安全性能评估：根据板材的几何尺寸、力学性能参数（如弹性模量）以及安装条件，建立有限元模型，模拟在不同风压荷载下的变形情况；在实验室条件下，对足尺板材样品施加等效的均布静态风压，测量其中心点的最大挠度，确保其小于标准规定的安全限值。</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4、主要生产设备</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本项目主要生产设备一览表见表2-</w:t>
            </w: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sz w:val="24"/>
                <w:szCs w:val="24"/>
              </w:rPr>
              <w:t>表</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6</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eastAsia="zh-CN"/>
              </w:rPr>
              <w:t>本项目</w:t>
            </w:r>
            <w:r>
              <w:rPr>
                <w:rFonts w:hint="default" w:ascii="Times New Roman" w:hAnsi="Times New Roman" w:cs="Times New Roman" w:eastAsiaTheme="minorEastAsia"/>
                <w:b/>
                <w:color w:val="auto"/>
                <w:sz w:val="24"/>
                <w:szCs w:val="24"/>
              </w:rPr>
              <w:t>主要生产设备一览表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294"/>
              <w:gridCol w:w="850"/>
              <w:gridCol w:w="1717"/>
              <w:gridCol w:w="1467"/>
              <w:gridCol w:w="1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1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序号</w:t>
                  </w:r>
                </w:p>
              </w:tc>
              <w:tc>
                <w:tcPr>
                  <w:tcW w:w="84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设备名称</w:t>
                  </w:r>
                </w:p>
              </w:tc>
              <w:tc>
                <w:tcPr>
                  <w:tcW w:w="55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工序</w:t>
                  </w:r>
                </w:p>
              </w:tc>
              <w:tc>
                <w:tcPr>
                  <w:tcW w:w="1123"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规格及型号</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数量（台/套）</w:t>
                  </w:r>
                </w:p>
              </w:tc>
              <w:tc>
                <w:tcPr>
                  <w:tcW w:w="1197"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烘干机</w:t>
                  </w:r>
                </w:p>
              </w:tc>
              <w:tc>
                <w:tcPr>
                  <w:tcW w:w="556" w:type="pct"/>
                  <w:vMerge w:val="restar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PC板加工</w:t>
                  </w: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HG-01</w:t>
                  </w:r>
                </w:p>
              </w:tc>
              <w:tc>
                <w:tcPr>
                  <w:tcW w:w="959"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2</w:t>
                  </w:r>
                </w:p>
              </w:tc>
              <w:tc>
                <w:tcPr>
                  <w:tcW w:w="1197"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吸料机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L-01</w:t>
                  </w:r>
                </w:p>
              </w:tc>
              <w:tc>
                <w:tcPr>
                  <w:tcW w:w="959"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8</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挤出机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BBX-01</w:t>
                  </w:r>
                </w:p>
              </w:tc>
              <w:tc>
                <w:tcPr>
                  <w:tcW w:w="959"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4</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覆膜机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FM-01</w:t>
                  </w:r>
                </w:p>
              </w:tc>
              <w:tc>
                <w:tcPr>
                  <w:tcW w:w="959"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5</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5</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折弯机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w:t>
                  </w:r>
                </w:p>
              </w:tc>
              <w:tc>
                <w:tcPr>
                  <w:tcW w:w="959"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6</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裁切机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CKCQ-01</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雕刻机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2</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8</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eastAsia" w:ascii="Times New Roman" w:hAnsi="Times New Roman" w:cs="Times New Roman" w:eastAsiaTheme="minorEastAsia"/>
                      <w:i w:val="0"/>
                      <w:color w:val="auto"/>
                      <w:kern w:val="2"/>
                      <w:sz w:val="21"/>
                      <w:szCs w:val="21"/>
                      <w:highlight w:val="none"/>
                      <w:u w:val="none"/>
                      <w:lang w:val="en-US" w:eastAsia="zh-CN" w:bidi="ar-SA"/>
                    </w:rPr>
                    <w:t>淋涂生产线</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48m*1m*2.85m</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2"/>
                      <w:sz w:val="21"/>
                      <w:szCs w:val="21"/>
                      <w:highlight w:val="none"/>
                      <w:u w:val="none"/>
                      <w:lang w:val="en-US" w:eastAsia="zh-CN" w:bidi="ar-SA"/>
                    </w:rPr>
                    <w:t>破碎机</w:t>
                  </w:r>
                </w:p>
              </w:tc>
              <w:tc>
                <w:tcPr>
                  <w:tcW w:w="556" w:type="pct"/>
                  <w:vMerge w:val="restar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PC再生加工</w:t>
                  </w: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PS-01</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10</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2"/>
                      <w:sz w:val="21"/>
                      <w:szCs w:val="21"/>
                      <w:highlight w:val="none"/>
                      <w:u w:val="none"/>
                      <w:lang w:val="en-US" w:eastAsia="zh-CN" w:bidi="ar-SA"/>
                    </w:rPr>
                    <w:t>造粒机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ZL-01</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11</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2"/>
                      <w:sz w:val="21"/>
                      <w:szCs w:val="21"/>
                      <w:highlight w:val="none"/>
                      <w:u w:val="none"/>
                      <w:lang w:val="en-US" w:eastAsia="zh-CN" w:bidi="ar-SA"/>
                    </w:rPr>
                    <w:t>风机</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p>
              </w:tc>
              <w:tc>
                <w:tcPr>
                  <w:tcW w:w="1123"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2</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12</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2"/>
                      <w:sz w:val="21"/>
                      <w:szCs w:val="21"/>
                      <w:highlight w:val="none"/>
                      <w:u w:val="none"/>
                      <w:lang w:val="en-US" w:eastAsia="zh-CN" w:bidi="ar-SA"/>
                    </w:rPr>
                    <w:t>空压机</w:t>
                  </w:r>
                </w:p>
              </w:tc>
              <w:tc>
                <w:tcPr>
                  <w:tcW w:w="556" w:type="pct"/>
                  <w:vMerge w:val="restar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辅助设备</w:t>
                  </w:r>
                </w:p>
              </w:tc>
              <w:tc>
                <w:tcPr>
                  <w:tcW w:w="11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20A</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16"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13</w:t>
                  </w:r>
                </w:p>
              </w:tc>
              <w:tc>
                <w:tcPr>
                  <w:tcW w:w="84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2"/>
                      <w:sz w:val="21"/>
                      <w:szCs w:val="21"/>
                      <w:highlight w:val="none"/>
                      <w:u w:val="none"/>
                      <w:lang w:val="en-US" w:eastAsia="zh-CN" w:bidi="ar-SA"/>
                    </w:rPr>
                    <w:t>冷却塔</w:t>
                  </w:r>
                </w:p>
              </w:tc>
              <w:tc>
                <w:tcPr>
                  <w:tcW w:w="556" w:type="pct"/>
                  <w:vMerge w:val="continue"/>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z w:val="21"/>
                      <w:szCs w:val="21"/>
                      <w:lang w:val="en-US" w:eastAsia="zh-CN"/>
                    </w:rPr>
                  </w:pPr>
                </w:p>
              </w:tc>
              <w:tc>
                <w:tcPr>
                  <w:tcW w:w="11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23.4m</w:t>
                  </w:r>
                  <w:r>
                    <w:rPr>
                      <w:rFonts w:hint="default" w:ascii="Times New Roman" w:hAnsi="Times New Roman" w:cs="Times New Roman" w:eastAsiaTheme="minorEastAsia"/>
                      <w:i w:val="0"/>
                      <w:color w:val="auto"/>
                      <w:kern w:val="2"/>
                      <w:sz w:val="21"/>
                      <w:szCs w:val="21"/>
                      <w:highlight w:val="none"/>
                      <w:u w:val="none"/>
                      <w:vertAlign w:val="superscript"/>
                      <w:lang w:val="en-US" w:eastAsia="zh-CN" w:bidi="ar-SA"/>
                    </w:rPr>
                    <w:t>3</w:t>
                  </w:r>
                  <w:r>
                    <w:rPr>
                      <w:rFonts w:hint="default" w:ascii="Times New Roman" w:hAnsi="Times New Roman" w:cs="Times New Roman" w:eastAsiaTheme="minorEastAsia"/>
                      <w:i w:val="0"/>
                      <w:color w:val="auto"/>
                      <w:kern w:val="2"/>
                      <w:sz w:val="21"/>
                      <w:szCs w:val="21"/>
                      <w:highlight w:val="none"/>
                      <w:u w:val="none"/>
                      <w:lang w:val="en-US" w:eastAsia="zh-CN" w:bidi="ar-SA"/>
                    </w:rPr>
                    <w:t>/h</w:t>
                  </w:r>
                </w:p>
              </w:tc>
              <w:tc>
                <w:tcPr>
                  <w:tcW w:w="95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w:t>
                  </w:r>
                </w:p>
              </w:tc>
              <w:tc>
                <w:tcPr>
                  <w:tcW w:w="11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外购</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产能匹配说明</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val="en-US" w:eastAsia="zh-CN"/>
              </w:rPr>
              <w:t>制约</w:t>
            </w:r>
            <w:r>
              <w:rPr>
                <w:rFonts w:hint="default" w:ascii="Times New Roman" w:hAnsi="Times New Roman" w:cs="Times New Roman" w:eastAsiaTheme="minorEastAsia"/>
                <w:color w:val="auto"/>
                <w:sz w:val="24"/>
                <w:szCs w:val="24"/>
              </w:rPr>
              <w:t>产能的主要设备为</w:t>
            </w:r>
            <w:r>
              <w:rPr>
                <w:rFonts w:hint="default" w:ascii="Times New Roman" w:hAnsi="Times New Roman" w:cs="Times New Roman" w:eastAsiaTheme="minorEastAsia"/>
                <w:color w:val="auto"/>
                <w:sz w:val="24"/>
                <w:szCs w:val="24"/>
                <w:lang w:val="en-US" w:eastAsia="zh-CN"/>
              </w:rPr>
              <w:t>挤出</w:t>
            </w:r>
            <w:r>
              <w:rPr>
                <w:rFonts w:hint="default" w:ascii="Times New Roman" w:hAnsi="Times New Roman" w:cs="Times New Roman" w:eastAsiaTheme="minorEastAsia"/>
                <w:color w:val="auto"/>
                <w:sz w:val="24"/>
                <w:szCs w:val="24"/>
              </w:rPr>
              <w:t>机，根据业主提供资料，设备</w:t>
            </w:r>
            <w:r>
              <w:rPr>
                <w:rFonts w:hint="default" w:ascii="Times New Roman" w:hAnsi="Times New Roman" w:cs="Times New Roman" w:eastAsiaTheme="minorEastAsia"/>
                <w:color w:val="auto"/>
                <w:sz w:val="24"/>
                <w:szCs w:val="24"/>
                <w:lang w:val="en-US" w:eastAsia="zh-CN"/>
              </w:rPr>
              <w:t>最大产能</w:t>
            </w:r>
            <w:r>
              <w:rPr>
                <w:rFonts w:hint="default" w:ascii="Times New Roman" w:hAnsi="Times New Roman" w:cs="Times New Roman" w:eastAsiaTheme="minorEastAsia"/>
                <w:color w:val="auto"/>
                <w:sz w:val="24"/>
                <w:szCs w:val="24"/>
              </w:rPr>
              <w:t>分析见下表。</w:t>
            </w:r>
          </w:p>
          <w:p>
            <w:pPr>
              <w:keepNext w:val="0"/>
              <w:keepLines w:val="0"/>
              <w:suppressLineNumbers w:val="0"/>
              <w:spacing w:before="0" w:beforeAutospacing="0" w:after="0" w:afterAutospacing="0"/>
              <w:ind w:left="0" w:right="0" w:firstLine="465"/>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表2-</w:t>
            </w:r>
            <w:r>
              <w:rPr>
                <w:rFonts w:hint="eastAsia" w:ascii="Times New Roman" w:hAnsi="Times New Roman" w:cs="Times New Roman" w:eastAsiaTheme="minorEastAsia"/>
                <w:b/>
                <w:bCs/>
                <w:color w:val="auto"/>
                <w:sz w:val="24"/>
                <w:szCs w:val="24"/>
                <w:lang w:val="en-US" w:eastAsia="zh-CN"/>
              </w:rPr>
              <w:t xml:space="preserve">7 </w:t>
            </w:r>
            <w:r>
              <w:rPr>
                <w:rFonts w:hint="default" w:ascii="Times New Roman" w:hAnsi="Times New Roman" w:cs="Times New Roman" w:eastAsiaTheme="minorEastAsia"/>
                <w:b/>
                <w:bCs/>
                <w:color w:val="auto"/>
                <w:sz w:val="24"/>
                <w:szCs w:val="24"/>
              </w:rPr>
              <w:t>主要设备与产能匹配性</w:t>
            </w:r>
          </w:p>
          <w:tbl>
            <w:tblPr>
              <w:tblStyle w:val="26"/>
              <w:tblW w:w="499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6"/>
              <w:gridCol w:w="788"/>
              <w:gridCol w:w="888"/>
              <w:gridCol w:w="794"/>
              <w:gridCol w:w="1272"/>
              <w:gridCol w:w="1272"/>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1"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设备（规格）</w:t>
                  </w:r>
                </w:p>
              </w:tc>
              <w:tc>
                <w:tcPr>
                  <w:tcW w:w="516"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型号</w:t>
                  </w:r>
                </w:p>
              </w:tc>
              <w:tc>
                <w:tcPr>
                  <w:tcW w:w="581"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数量/台</w:t>
                  </w:r>
                </w:p>
              </w:tc>
              <w:tc>
                <w:tcPr>
                  <w:tcW w:w="519"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eastAsia="zh-CN"/>
                    </w:rPr>
                  </w:pPr>
                  <w:r>
                    <w:rPr>
                      <w:rFonts w:hint="default" w:ascii="Times New Roman" w:hAnsi="Times New Roman" w:cs="Times New Roman" w:eastAsiaTheme="minorEastAsia"/>
                      <w:b/>
                      <w:color w:val="auto"/>
                      <w:szCs w:val="21"/>
                      <w:lang w:val="en-US" w:eastAsia="zh-CN"/>
                    </w:rPr>
                    <w:t>所属工艺</w:t>
                  </w:r>
                </w:p>
              </w:tc>
              <w:tc>
                <w:tcPr>
                  <w:tcW w:w="833"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运行时间/h</w:t>
                  </w:r>
                </w:p>
              </w:tc>
              <w:tc>
                <w:tcPr>
                  <w:tcW w:w="833"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单台最大工作能力（t/h）</w:t>
                  </w:r>
                </w:p>
              </w:tc>
              <w:tc>
                <w:tcPr>
                  <w:tcW w:w="834"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cs="Times New Roman" w:eastAsiaTheme="minorEastAsia"/>
                      <w:b/>
                      <w:color w:val="auto"/>
                      <w:szCs w:val="21"/>
                      <w:lang w:val="en-US" w:eastAsia="zh-CN"/>
                    </w:rPr>
                  </w:pPr>
                  <w:r>
                    <w:rPr>
                      <w:rFonts w:hint="default" w:ascii="Times New Roman" w:hAnsi="Times New Roman" w:cs="Times New Roman" w:eastAsiaTheme="minorEastAsia"/>
                      <w:b/>
                      <w:color w:val="auto"/>
                      <w:szCs w:val="21"/>
                      <w:lang w:val="en-US" w:eastAsia="zh-CN"/>
                    </w:rPr>
                    <w:t>年最大产能（t/a）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1"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挤出机</w:t>
                  </w:r>
                </w:p>
              </w:tc>
              <w:tc>
                <w:tcPr>
                  <w:tcW w:w="516"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snapToGrid/>
                      <w:color w:val="auto"/>
                      <w:kern w:val="2"/>
                      <w:sz w:val="21"/>
                      <w:szCs w:val="21"/>
                      <w:lang w:val="en-US" w:eastAsia="zh-CN" w:bidi="ar-SA"/>
                    </w:rPr>
                    <w:t>BBX-01</w:t>
                  </w:r>
                </w:p>
              </w:tc>
              <w:tc>
                <w:tcPr>
                  <w:tcW w:w="581"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eastAsia" w:ascii="Times New Roman" w:hAnsi="Times New Roman" w:cs="Times New Roman" w:eastAsiaTheme="minorEastAsia"/>
                      <w:color w:val="auto"/>
                      <w:szCs w:val="21"/>
                      <w:lang w:val="en-US" w:eastAsia="zh-CN"/>
                    </w:rPr>
                    <w:t>4</w:t>
                  </w:r>
                </w:p>
              </w:tc>
              <w:tc>
                <w:tcPr>
                  <w:tcW w:w="519"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挤出</w:t>
                  </w:r>
                </w:p>
              </w:tc>
              <w:tc>
                <w:tcPr>
                  <w:tcW w:w="833"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i w:val="0"/>
                      <w:color w:val="auto"/>
                      <w:kern w:val="2"/>
                      <w:sz w:val="21"/>
                      <w:szCs w:val="21"/>
                      <w:highlight w:val="none"/>
                      <w:u w:val="none"/>
                      <w:lang w:val="en-US" w:eastAsia="zh-CN" w:bidi="ar-SA"/>
                    </w:rPr>
                  </w:pPr>
                  <w:r>
                    <w:rPr>
                      <w:rFonts w:hint="default" w:ascii="Times New Roman" w:hAnsi="Times New Roman" w:cs="Times New Roman" w:eastAsiaTheme="minorEastAsia"/>
                      <w:i w:val="0"/>
                      <w:color w:val="auto"/>
                      <w:kern w:val="2"/>
                      <w:sz w:val="21"/>
                      <w:szCs w:val="21"/>
                      <w:highlight w:val="none"/>
                      <w:u w:val="none"/>
                      <w:lang w:val="en-US" w:eastAsia="zh-CN" w:bidi="ar-SA"/>
                    </w:rPr>
                    <w:t>7200</w:t>
                  </w:r>
                </w:p>
              </w:tc>
              <w:tc>
                <w:tcPr>
                  <w:tcW w:w="833"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0.</w:t>
                  </w:r>
                  <w:r>
                    <w:rPr>
                      <w:rFonts w:hint="eastAsia" w:ascii="Times New Roman" w:hAnsi="Times New Roman" w:cs="Times New Roman" w:eastAsiaTheme="minorEastAsia"/>
                      <w:color w:val="auto"/>
                      <w:szCs w:val="21"/>
                      <w:lang w:val="en-US" w:eastAsia="zh-CN"/>
                    </w:rPr>
                    <w:t>17</w:t>
                  </w:r>
                </w:p>
              </w:tc>
              <w:tc>
                <w:tcPr>
                  <w:tcW w:w="834"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4896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65" w:type="pct"/>
                  <w:gridSpan w:val="6"/>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b/>
                      <w:bCs/>
                      <w:color w:val="auto"/>
                      <w:szCs w:val="21"/>
                      <w:lang w:val="en-US" w:eastAsia="zh-CN"/>
                    </w:rPr>
                    <w:t>满载年运行最大挤出产能</w:t>
                  </w:r>
                </w:p>
              </w:tc>
              <w:tc>
                <w:tcPr>
                  <w:tcW w:w="834"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4896</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rPr>
              <w:t>根据上表，核算</w:t>
            </w:r>
            <w:r>
              <w:rPr>
                <w:rFonts w:hint="default" w:ascii="Times New Roman" w:hAnsi="Times New Roman" w:cs="Times New Roman" w:eastAsiaTheme="minorEastAsia"/>
                <w:b w:val="0"/>
                <w:bCs w:val="0"/>
                <w:color w:val="auto"/>
                <w:sz w:val="24"/>
                <w:szCs w:val="24"/>
                <w:lang w:val="en-US" w:eastAsia="zh-CN"/>
              </w:rPr>
              <w:t>挤出</w:t>
            </w:r>
            <w:r>
              <w:rPr>
                <w:rFonts w:hint="default" w:ascii="Times New Roman" w:hAnsi="Times New Roman" w:cs="Times New Roman" w:eastAsiaTheme="minorEastAsia"/>
                <w:b w:val="0"/>
                <w:bCs w:val="0"/>
                <w:color w:val="auto"/>
                <w:sz w:val="24"/>
                <w:szCs w:val="24"/>
              </w:rPr>
              <w:t>产能可达</w:t>
            </w:r>
            <w:r>
              <w:rPr>
                <w:rFonts w:hint="eastAsia" w:ascii="Times New Roman" w:hAnsi="Times New Roman" w:cs="Times New Roman" w:eastAsiaTheme="minorEastAsia"/>
                <w:b w:val="0"/>
                <w:bCs w:val="0"/>
                <w:color w:val="auto"/>
                <w:sz w:val="24"/>
                <w:szCs w:val="24"/>
                <w:lang w:val="en-US" w:eastAsia="zh-CN"/>
              </w:rPr>
              <w:t>4896</w:t>
            </w:r>
            <w:r>
              <w:rPr>
                <w:rFonts w:hint="default" w:ascii="Times New Roman" w:hAnsi="Times New Roman" w:cs="Times New Roman" w:eastAsiaTheme="minorEastAsia"/>
                <w:b w:val="0"/>
                <w:bCs w:val="0"/>
                <w:color w:val="auto"/>
                <w:sz w:val="24"/>
                <w:szCs w:val="24"/>
              </w:rPr>
              <w:t>t/a</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挤出</w:t>
            </w:r>
            <w:r>
              <w:rPr>
                <w:rFonts w:hint="default" w:ascii="Times New Roman" w:hAnsi="Times New Roman" w:cs="Times New Roman" w:eastAsiaTheme="minorEastAsia"/>
                <w:color w:val="auto"/>
                <w:sz w:val="24"/>
                <w:szCs w:val="24"/>
              </w:rPr>
              <w:t>量</w:t>
            </w:r>
            <w:r>
              <w:rPr>
                <w:rFonts w:hint="default" w:ascii="Times New Roman" w:hAnsi="Times New Roman" w:cs="Times New Roman" w:eastAsiaTheme="minorEastAsia"/>
                <w:color w:val="auto"/>
                <w:sz w:val="24"/>
                <w:szCs w:val="24"/>
                <w:lang w:val="en-US" w:eastAsia="zh-CN"/>
              </w:rPr>
              <w:t>约4800（PC粒子4800t/a）t</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b w:val="0"/>
                <w:bCs w:val="0"/>
                <w:color w:val="auto"/>
                <w:sz w:val="24"/>
                <w:szCs w:val="24"/>
              </w:rPr>
              <w:t>。因此设备配置能够满足设计产能需要。</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5、主要原辅材料及燃料</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主要原辅材料消耗情况见表2-</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color w:val="auto"/>
                <w:sz w:val="24"/>
                <w:szCs w:val="24"/>
              </w:rPr>
              <w:t>表</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8</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本项目主要原辅材料消耗情况一览表  单位：吨/年</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8"/>
              <w:gridCol w:w="670"/>
              <w:gridCol w:w="745"/>
              <w:gridCol w:w="745"/>
              <w:gridCol w:w="1330"/>
              <w:gridCol w:w="909"/>
              <w:gridCol w:w="698"/>
              <w:gridCol w:w="862"/>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序号</w:t>
                  </w:r>
                </w:p>
              </w:tc>
              <w:tc>
                <w:tcPr>
                  <w:tcW w:w="438"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名称</w:t>
                  </w:r>
                </w:p>
              </w:tc>
              <w:tc>
                <w:tcPr>
                  <w:tcW w:w="487"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对应工序</w:t>
                  </w:r>
                </w:p>
              </w:tc>
              <w:tc>
                <w:tcPr>
                  <w:tcW w:w="487"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状态</w:t>
                  </w:r>
                </w:p>
              </w:tc>
              <w:tc>
                <w:tcPr>
                  <w:tcW w:w="869"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主要成分</w:t>
                  </w:r>
                </w:p>
              </w:tc>
              <w:tc>
                <w:tcPr>
                  <w:tcW w:w="594"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年耗量t/a</w:t>
                  </w:r>
                </w:p>
              </w:tc>
              <w:tc>
                <w:tcPr>
                  <w:tcW w:w="456"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最大储存量t/a</w:t>
                  </w:r>
                </w:p>
              </w:tc>
              <w:tc>
                <w:tcPr>
                  <w:tcW w:w="563"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存放位置</w:t>
                  </w:r>
                </w:p>
              </w:tc>
              <w:tc>
                <w:tcPr>
                  <w:tcW w:w="868" w:type="pct"/>
                  <w:tcBorders>
                    <w:tl2br w:val="nil"/>
                    <w:tr2bl w:val="nil"/>
                  </w:tcBorders>
                  <w:noWrap w:val="0"/>
                  <w:vAlign w:val="center"/>
                </w:tcPr>
                <w:p>
                  <w:pPr>
                    <w:pStyle w:val="5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包装规格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438"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color w:val="auto"/>
                      <w:kern w:val="2"/>
                      <w:sz w:val="21"/>
                      <w:szCs w:val="21"/>
                      <w:lang w:val="en-US" w:eastAsia="zh-CN" w:bidi="ar-SA"/>
                    </w:rPr>
                    <w:t>PC粒子</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挤出</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粒料，粒径3mm</w:t>
                  </w:r>
                </w:p>
              </w:tc>
              <w:tc>
                <w:tcPr>
                  <w:tcW w:w="869"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基于双酚A的聚碳酸酯新料</w:t>
                  </w:r>
                </w:p>
              </w:tc>
              <w:tc>
                <w:tcPr>
                  <w:tcW w:w="594"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4800</w:t>
                  </w:r>
                </w:p>
              </w:tc>
              <w:tc>
                <w:tcPr>
                  <w:tcW w:w="45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480</w:t>
                  </w:r>
                </w:p>
              </w:tc>
              <w:tc>
                <w:tcPr>
                  <w:tcW w:w="563"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原料仓库</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snapToGrid w:val="0"/>
                      <w:color w:val="auto"/>
                      <w:kern w:val="0"/>
                      <w:szCs w:val="21"/>
                    </w:rPr>
                    <w:t>25kg/</w:t>
                  </w:r>
                  <w:r>
                    <w:rPr>
                      <w:rFonts w:hint="default" w:ascii="Times New Roman" w:hAnsi="Times New Roman" w:cs="Times New Roman" w:eastAsiaTheme="minorEastAsia"/>
                      <w:bCs/>
                      <w:snapToGrid w:val="0"/>
                      <w:color w:val="auto"/>
                      <w:kern w:val="0"/>
                      <w:szCs w:val="21"/>
                      <w:lang w:val="en-US" w:eastAsia="zh-CN"/>
                    </w:rPr>
                    <w:t>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438"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模具</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挤出</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固态</w:t>
                  </w:r>
                </w:p>
              </w:tc>
              <w:tc>
                <w:tcPr>
                  <w:tcW w:w="869"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模具</w:t>
                  </w:r>
                </w:p>
              </w:tc>
              <w:tc>
                <w:tcPr>
                  <w:tcW w:w="594"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w:t>
                  </w:r>
                </w:p>
              </w:tc>
              <w:tc>
                <w:tcPr>
                  <w:tcW w:w="45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w:t>
                  </w:r>
                </w:p>
              </w:tc>
              <w:tc>
                <w:tcPr>
                  <w:tcW w:w="563"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snapToGrid w:val="0"/>
                      <w:color w:val="auto"/>
                      <w:kern w:val="0"/>
                      <w:szCs w:val="21"/>
                      <w:lang w:val="en-US" w:eastAsia="zh-CN"/>
                    </w:rPr>
                  </w:pPr>
                  <w:r>
                    <w:rPr>
                      <w:rFonts w:hint="default" w:ascii="Times New Roman" w:hAnsi="Times New Roman" w:cs="Times New Roman" w:eastAsiaTheme="minorEastAsia"/>
                      <w:bCs/>
                      <w:snapToGrid w:val="0"/>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438"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PE薄膜</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覆膜</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片状</w:t>
                  </w:r>
                </w:p>
              </w:tc>
              <w:tc>
                <w:tcPr>
                  <w:tcW w:w="869"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聚乙烯</w:t>
                  </w:r>
                </w:p>
              </w:tc>
              <w:tc>
                <w:tcPr>
                  <w:tcW w:w="594"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200</w:t>
                  </w:r>
                </w:p>
              </w:tc>
              <w:tc>
                <w:tcPr>
                  <w:tcW w:w="456"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20</w:t>
                  </w:r>
                </w:p>
              </w:tc>
              <w:tc>
                <w:tcPr>
                  <w:tcW w:w="563"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原料仓库</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snapToGrid w:val="0"/>
                      <w:color w:val="auto"/>
                      <w:kern w:val="0"/>
                      <w:szCs w:val="21"/>
                      <w:lang w:val="en-US" w:eastAsia="zh-CN"/>
                    </w:rPr>
                    <w:t>捆装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shd w:val="clear" w:color="auto" w:fill="auto"/>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438"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淋涂药剂</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淋涂</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液态</w:t>
                  </w:r>
                </w:p>
              </w:tc>
              <w:tc>
                <w:tcPr>
                  <w:tcW w:w="869"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聚噻吩25%、水20-40%、PU15-20%、其他</w:t>
                  </w:r>
                  <w:r>
                    <w:rPr>
                      <w:rFonts w:hint="default" w:ascii="Times New Roman" w:hAnsi="Times New Roman" w:cs="Times New Roman" w:eastAsiaTheme="minorEastAsia"/>
                      <w:color w:val="auto"/>
                      <w:kern w:val="2"/>
                      <w:sz w:val="21"/>
                      <w:szCs w:val="21"/>
                      <w:lang w:val="en-US" w:eastAsia="zh-CN" w:bidi="ar-SA"/>
                    </w:rPr>
                    <w:t>＜</w:t>
                  </w:r>
                  <w:r>
                    <w:rPr>
                      <w:rFonts w:hint="eastAsia" w:ascii="Times New Roman" w:hAnsi="Times New Roman" w:cs="Times New Roman" w:eastAsiaTheme="minorEastAsia"/>
                      <w:color w:val="auto"/>
                      <w:kern w:val="2"/>
                      <w:sz w:val="21"/>
                      <w:szCs w:val="21"/>
                      <w:lang w:val="en-US" w:eastAsia="zh-CN" w:bidi="ar-SA"/>
                    </w:rPr>
                    <w:t>10%</w:t>
                  </w:r>
                </w:p>
              </w:tc>
              <w:tc>
                <w:tcPr>
                  <w:tcW w:w="594"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eastAsia" w:ascii="Times New Roman" w:hAnsi="Times New Roman" w:cs="Times New Roman" w:eastAsiaTheme="minorEastAsia"/>
                      <w:snapToGrid/>
                      <w:color w:val="auto"/>
                      <w:kern w:val="2"/>
                      <w:sz w:val="21"/>
                      <w:szCs w:val="21"/>
                      <w:lang w:val="en-US" w:eastAsia="zh-CN" w:bidi="ar-SA"/>
                    </w:rPr>
                    <w:t>1.433</w:t>
                  </w:r>
                </w:p>
              </w:tc>
              <w:tc>
                <w:tcPr>
                  <w:tcW w:w="456"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0.1</w:t>
                  </w:r>
                </w:p>
              </w:tc>
              <w:tc>
                <w:tcPr>
                  <w:tcW w:w="563"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原料仓库</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snapToGrid w:val="0"/>
                      <w:color w:val="auto"/>
                      <w:kern w:val="0"/>
                      <w:szCs w:val="21"/>
                      <w:lang w:val="en-US" w:eastAsia="zh-CN"/>
                    </w:rPr>
                  </w:pPr>
                  <w:r>
                    <w:rPr>
                      <w:rFonts w:hint="eastAsia" w:ascii="Times New Roman" w:hAnsi="Times New Roman" w:cs="Times New Roman" w:eastAsiaTheme="minorEastAsia"/>
                      <w:bCs/>
                      <w:snapToGrid w:val="0"/>
                      <w:color w:val="auto"/>
                      <w:kern w:val="0"/>
                      <w:szCs w:val="21"/>
                      <w:lang w:val="en-US" w:eastAsia="zh-CN"/>
                    </w:rPr>
                    <w:t>25kg/桶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438"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润滑油</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设备维护</w:t>
                  </w:r>
                </w:p>
              </w:tc>
              <w:tc>
                <w:tcPr>
                  <w:tcW w:w="487"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液态</w:t>
                  </w:r>
                </w:p>
              </w:tc>
              <w:tc>
                <w:tcPr>
                  <w:tcW w:w="869"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矿物油</w:t>
                  </w:r>
                </w:p>
              </w:tc>
              <w:tc>
                <w:tcPr>
                  <w:tcW w:w="594"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snapToGrid/>
                      <w:color w:val="auto"/>
                      <w:kern w:val="2"/>
                      <w:sz w:val="21"/>
                      <w:szCs w:val="21"/>
                      <w:lang w:val="en-US" w:eastAsia="zh-CN" w:bidi="ar-SA"/>
                    </w:rPr>
                  </w:pPr>
                  <w:r>
                    <w:rPr>
                      <w:rFonts w:hint="default" w:ascii="Times New Roman" w:hAnsi="Times New Roman" w:cs="Times New Roman" w:eastAsiaTheme="minorEastAsia"/>
                      <w:snapToGrid/>
                      <w:color w:val="auto"/>
                      <w:kern w:val="2"/>
                      <w:sz w:val="21"/>
                      <w:szCs w:val="21"/>
                      <w:lang w:val="en-US" w:eastAsia="zh-CN" w:bidi="ar-SA"/>
                    </w:rPr>
                    <w:t>0.02</w:t>
                  </w:r>
                </w:p>
              </w:tc>
              <w:tc>
                <w:tcPr>
                  <w:tcW w:w="456"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0.02</w:t>
                  </w:r>
                </w:p>
              </w:tc>
              <w:tc>
                <w:tcPr>
                  <w:tcW w:w="563" w:type="pct"/>
                  <w:tcBorders>
                    <w:tl2br w:val="nil"/>
                    <w:tr2bl w:val="nil"/>
                  </w:tcBorders>
                  <w:noWrap w:val="0"/>
                  <w:vAlign w:val="center"/>
                </w:tcPr>
                <w:p>
                  <w:pPr>
                    <w:pStyle w:val="6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原料仓库</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snapToGrid w:val="0"/>
                      <w:color w:val="auto"/>
                      <w:kern w:val="0"/>
                      <w:szCs w:val="21"/>
                      <w:lang w:val="en-US" w:eastAsia="zh-CN"/>
                    </w:rPr>
                  </w:pPr>
                  <w:r>
                    <w:rPr>
                      <w:rFonts w:hint="default" w:ascii="Times New Roman" w:hAnsi="Times New Roman" w:cs="Times New Roman" w:eastAsiaTheme="minorEastAsia"/>
                      <w:bCs/>
                      <w:snapToGrid w:val="0"/>
                      <w:color w:val="auto"/>
                      <w:kern w:val="0"/>
                      <w:szCs w:val="21"/>
                      <w:lang w:val="en-US" w:eastAsia="zh-CN"/>
                    </w:rPr>
                    <w:t>20kg/桶</w:t>
                  </w:r>
                </w:p>
              </w:tc>
            </w:tr>
          </w:tbl>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注：1、PC粒子来料均为基于双酚A的聚碳酸酯新料。</w:t>
            </w:r>
          </w:p>
          <w:p>
            <w:pPr>
              <w:keepNext w:val="0"/>
              <w:keepLines w:val="0"/>
              <w:numPr>
                <w:ilvl w:val="0"/>
                <w:numId w:val="11"/>
              </w:numPr>
              <w:suppressLineNumbers w:val="0"/>
              <w:spacing w:before="0" w:beforeAutospacing="0" w:after="0" w:afterAutospacing="0" w:line="240" w:lineRule="auto"/>
              <w:ind w:left="0" w:leftChars="0" w:right="0" w:firstLine="420" w:firstLineChars="20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来料控制要求：</w:t>
            </w:r>
          </w:p>
          <w:p>
            <w:pPr>
              <w:keepNext w:val="0"/>
              <w:keepLines w:val="0"/>
              <w:numPr>
                <w:ilvl w:val="0"/>
                <w:numId w:val="0"/>
              </w:numPr>
              <w:suppressLineNumbers w:val="0"/>
              <w:spacing w:before="0" w:beforeAutospacing="0" w:after="0" w:afterAutospacing="0" w:line="240" w:lineRule="auto"/>
              <w:ind w:left="0" w:right="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水分含量控制‌：</w:t>
            </w:r>
            <w:r>
              <w:rPr>
                <w:rFonts w:hint="default" w:ascii="Times New Roman" w:hAnsi="Times New Roman" w:cs="Times New Roman" w:eastAsiaTheme="minorEastAsia"/>
                <w:bCs/>
                <w:color w:val="auto"/>
                <w:sz w:val="21"/>
                <w:szCs w:val="21"/>
                <w:lang w:val="en-US" w:eastAsia="zh-CN"/>
              </w:rPr>
              <w:t>聚碳酸酯对水分非常敏感，高温下微量水分会导致塑料降解，影响产品质量。因此，来料聚碳酸酯的水分含量必须严格控制，通常要求水分含量不超过0.02%。</w:t>
            </w:r>
          </w:p>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‌原料保管‌：</w:t>
            </w:r>
            <w:r>
              <w:rPr>
                <w:rFonts w:hint="default" w:ascii="Times New Roman" w:hAnsi="Times New Roman" w:cs="Times New Roman" w:eastAsiaTheme="minorEastAsia"/>
                <w:bCs/>
                <w:color w:val="auto"/>
                <w:sz w:val="21"/>
                <w:szCs w:val="21"/>
                <w:lang w:val="en-US" w:eastAsia="zh-CN"/>
              </w:rPr>
              <w:t>聚碳酸酯原料需严格保管，防止受潮。在高温下，聚碳酸酯对微量水分非常敏感，因此储存环境需保持干燥。</w:t>
            </w:r>
          </w:p>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‌外观检查‌：</w:t>
            </w:r>
            <w:r>
              <w:rPr>
                <w:rFonts w:hint="default" w:ascii="Times New Roman" w:hAnsi="Times New Roman" w:cs="Times New Roman" w:eastAsiaTheme="minorEastAsia"/>
                <w:bCs/>
                <w:color w:val="auto"/>
                <w:sz w:val="21"/>
                <w:szCs w:val="21"/>
                <w:lang w:val="en-US" w:eastAsia="zh-CN"/>
              </w:rPr>
              <w:t>来料聚碳酸酯粒子应外观均匀，无杂质、无变色现象。任何外观上的异常都可能影响产品质量‌。</w:t>
            </w:r>
          </w:p>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‌化学成分分析‌：</w:t>
            </w:r>
            <w:r>
              <w:rPr>
                <w:rFonts w:hint="default" w:ascii="Times New Roman" w:hAnsi="Times New Roman" w:cs="Times New Roman" w:eastAsiaTheme="minorEastAsia"/>
                <w:bCs/>
                <w:color w:val="auto"/>
                <w:sz w:val="21"/>
                <w:szCs w:val="21"/>
                <w:lang w:val="en-US" w:eastAsia="zh-CN"/>
              </w:rPr>
              <w:t>来料聚碳酸酯的化学成分需符合相关标准，确保其成分纯度和质量。</w:t>
            </w:r>
          </w:p>
          <w:p>
            <w:pPr>
              <w:keepNext w:val="0"/>
              <w:keepLines w:val="0"/>
              <w:suppressLineNumbers w:val="0"/>
              <w:spacing w:before="0" w:beforeAutospacing="0" w:after="0" w:afterAutospacing="0" w:line="360" w:lineRule="auto"/>
              <w:ind w:left="0" w:right="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bCs w:val="0"/>
                <w:color w:val="auto"/>
                <w:sz w:val="21"/>
                <w:szCs w:val="21"/>
                <w:lang w:val="en-US" w:eastAsia="zh-CN"/>
              </w:rPr>
              <w:t>‌物理性能测试‌：</w:t>
            </w:r>
            <w:r>
              <w:rPr>
                <w:rFonts w:hint="default" w:ascii="Times New Roman" w:hAnsi="Times New Roman" w:cs="Times New Roman" w:eastAsiaTheme="minorEastAsia"/>
                <w:bCs/>
                <w:color w:val="auto"/>
                <w:sz w:val="21"/>
                <w:szCs w:val="21"/>
                <w:lang w:val="en-US" w:eastAsia="zh-CN"/>
              </w:rPr>
              <w:t>包括密度、流动性、湿度、可溶性、酸值等指标需符合标准。</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本项目主要原辅料的理化性质见表2-</w:t>
            </w:r>
            <w:r>
              <w:rPr>
                <w:rFonts w:hint="eastAsia" w:ascii="Times New Roman" w:hAnsi="Times New Roman" w:cs="Times New Roman" w:eastAsiaTheme="minorEastAsia"/>
                <w:b w:val="0"/>
                <w:bCs w:val="0"/>
                <w:color w:val="auto"/>
                <w:sz w:val="24"/>
                <w:szCs w:val="24"/>
                <w:lang w:val="en-US" w:eastAsia="zh-CN"/>
              </w:rPr>
              <w:t>9</w:t>
            </w:r>
            <w:r>
              <w:rPr>
                <w:rFonts w:hint="default" w:ascii="Times New Roman" w:hAnsi="Times New Roman" w:cs="Times New Roman" w:eastAsiaTheme="minorEastAsia"/>
                <w:b w:val="0"/>
                <w:bCs w:val="0"/>
                <w:color w:val="auto"/>
                <w:sz w:val="24"/>
                <w:szCs w:val="24"/>
                <w:lang w:val="en-US" w:eastAsia="zh-CN"/>
              </w:rPr>
              <w:t>。</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eastAsiaTheme="minorEastAsia"/>
                <w:b/>
                <w:color w:val="auto"/>
                <w:lang w:val="en-US"/>
              </w:rPr>
            </w:pPr>
            <w:r>
              <w:rPr>
                <w:rFonts w:hint="default" w:ascii="Times New Roman" w:hAnsi="Times New Roman" w:cs="Times New Roman" w:eastAsiaTheme="minorEastAsia"/>
                <w:b/>
                <w:color w:val="auto"/>
                <w:sz w:val="24"/>
                <w:szCs w:val="24"/>
              </w:rPr>
              <w:t>表</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9</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原辅料理化性质一览表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462"/>
              <w:gridCol w:w="2388"/>
              <w:gridCol w:w="2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pStyle w:val="58"/>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名称</w:t>
                  </w:r>
                </w:p>
              </w:tc>
              <w:tc>
                <w:tcPr>
                  <w:tcW w:w="1610" w:type="pct"/>
                  <w:tcBorders>
                    <w:tl2br w:val="nil"/>
                    <w:tr2bl w:val="nil"/>
                  </w:tcBorders>
                  <w:noWrap w:val="0"/>
                  <w:vAlign w:val="center"/>
                </w:tcPr>
                <w:p>
                  <w:pPr>
                    <w:pStyle w:val="58"/>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理化特性</w:t>
                  </w:r>
                </w:p>
              </w:tc>
              <w:tc>
                <w:tcPr>
                  <w:tcW w:w="1562" w:type="pct"/>
                  <w:tcBorders>
                    <w:tl2br w:val="nil"/>
                    <w:tr2bl w:val="nil"/>
                  </w:tcBorders>
                  <w:noWrap w:val="0"/>
                  <w:vAlign w:val="center"/>
                </w:tcPr>
                <w:p>
                  <w:pPr>
                    <w:pStyle w:val="58"/>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燃烧爆炸性</w:t>
                  </w:r>
                </w:p>
              </w:tc>
              <w:tc>
                <w:tcPr>
                  <w:tcW w:w="1368" w:type="pct"/>
                  <w:tcBorders>
                    <w:tl2br w:val="nil"/>
                    <w:tr2bl w:val="nil"/>
                  </w:tcBorders>
                  <w:noWrap w:val="0"/>
                  <w:vAlign w:val="center"/>
                </w:tcPr>
                <w:p>
                  <w:pPr>
                    <w:pStyle w:val="58"/>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毒性毒理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聚碳酸酯</w:t>
                  </w:r>
                </w:p>
              </w:tc>
              <w:tc>
                <w:tcPr>
                  <w:tcW w:w="161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无毒、无臭、无色至淡黄色透明的固体；密度：1.2-1.43g/mL（25℃）；熔点：220-230℃；溶于二氯甲烷和对二恶烷，稍溶于芳烃和酮等</w:t>
                  </w:r>
                </w:p>
              </w:tc>
              <w:tc>
                <w:tcPr>
                  <w:tcW w:w="1562"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不易燃</w:t>
                  </w:r>
                </w:p>
              </w:tc>
              <w:tc>
                <w:tcPr>
                  <w:tcW w:w="1368"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无毒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szCs w:val="21"/>
                      <w:lang w:val="en-US" w:eastAsia="zh-CN"/>
                    </w:rPr>
                    <w:t>聚乙烯</w:t>
                  </w:r>
                </w:p>
              </w:tc>
              <w:tc>
                <w:tcPr>
                  <w:tcW w:w="1610" w:type="pct"/>
                  <w:tcBorders>
                    <w:tl2br w:val="nil"/>
                    <w:tr2bl w:val="nil"/>
                  </w:tcBorders>
                  <w:noWrap w:val="0"/>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Cs w:val="21"/>
                    </w:rPr>
                    <w:t>比重：0.94-0.96克/立方厘米，成型收缩率：1.5-3.6%，成型温度：140-220℃特点</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耐腐蚀性，电绝缘性</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尤其高频绝缘性</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优良，可以氯化，化学交联、辐照交联改性，可用玻璃纤维增强。低压聚乙烯的熔点、刚性、硬度和强度较高，吸水性小，有良好的电性能和耐辐射性；高压聚乙烯的柔软性，伸长率，冲击强度和渗透性较好；超高分子量聚乙烯冲击强度高</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耐疲劳</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rPr>
                    <w:t>耐磨。 低压聚乙烯适于制作耐腐蚀零件和绝缘零件；高压聚乙烯适于制作薄膜等；超高分子量聚乙烯适于制作减震，耐磨及传动零件。</w:t>
                  </w:r>
                </w:p>
              </w:tc>
              <w:tc>
                <w:tcPr>
                  <w:tcW w:w="1562" w:type="pct"/>
                  <w:tcBorders>
                    <w:tl2br w:val="nil"/>
                    <w:tr2bl w:val="nil"/>
                  </w:tcBorders>
                  <w:noWrap w:val="0"/>
                  <w:vAlign w:val="center"/>
                </w:tcPr>
                <w:p>
                  <w:pPr>
                    <w:pStyle w:val="4"/>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bidi="ar"/>
                    </w:rPr>
                  </w:pPr>
                  <w:r>
                    <w:rPr>
                      <w:rFonts w:hint="default" w:ascii="Times New Roman" w:hAnsi="Times New Roman" w:cs="Times New Roman" w:eastAsiaTheme="minorEastAsia"/>
                      <w:b w:val="0"/>
                      <w:bCs w:val="0"/>
                      <w:color w:val="auto"/>
                      <w:sz w:val="21"/>
                      <w:szCs w:val="21"/>
                    </w:rPr>
                    <w:t>易燃</w:t>
                  </w:r>
                </w:p>
              </w:tc>
              <w:tc>
                <w:tcPr>
                  <w:tcW w:w="1368"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line="260" w:lineRule="exact"/>
                    <w:ind w:left="0" w:right="0"/>
                    <w:jc w:val="center"/>
                    <w:rPr>
                      <w:rFonts w:hint="default" w:ascii="Times New Roman" w:hAnsi="Times New Roman" w:cs="Times New Roman" w:eastAsiaTheme="minorEastAsia"/>
                      <w:color w:val="auto"/>
                      <w:kern w:val="0"/>
                      <w:szCs w:val="21"/>
                      <w:lang w:bidi="ar"/>
                    </w:rPr>
                  </w:pPr>
                  <w:r>
                    <w:rPr>
                      <w:rFonts w:hint="default" w:ascii="Times New Roman" w:hAnsi="Times New Roman" w:cs="Times New Roman" w:eastAsiaTheme="minorEastAsia"/>
                      <w:color w:val="auto"/>
                      <w:szCs w:val="21"/>
                    </w:rPr>
                    <w:t>无毒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淋涂药剂</w:t>
                  </w:r>
                </w:p>
              </w:tc>
              <w:tc>
                <w:tcPr>
                  <w:tcW w:w="1610" w:type="pct"/>
                  <w:tcBorders>
                    <w:tl2br w:val="nil"/>
                    <w:tr2bl w:val="nil"/>
                  </w:tcBorders>
                  <w:noWrap w:val="0"/>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水状液体，黑色，轻微气味，pH：8-10，相对密度：1.00g/cm</w:t>
                  </w:r>
                  <w:r>
                    <w:rPr>
                      <w:rFonts w:hint="eastAsia" w:ascii="Times New Roman" w:hAnsi="Times New Roman" w:cs="Times New Roman" w:eastAsiaTheme="minorEastAsia"/>
                      <w:color w:val="auto"/>
                      <w:szCs w:val="21"/>
                      <w:vertAlign w:val="superscript"/>
                      <w:lang w:val="en-US" w:eastAsia="zh-CN"/>
                    </w:rPr>
                    <w:t>3</w:t>
                  </w:r>
                  <w:r>
                    <w:rPr>
                      <w:rFonts w:hint="eastAsia" w:ascii="Times New Roman" w:hAnsi="Times New Roman" w:cs="Times New Roman" w:eastAsiaTheme="minorEastAsia"/>
                      <w:color w:val="auto"/>
                      <w:szCs w:val="21"/>
                      <w:lang w:val="en-US" w:eastAsia="zh-CN"/>
                    </w:rPr>
                    <w:t>，粘度</w:t>
                  </w:r>
                  <w:r>
                    <w:rPr>
                      <w:rFonts w:hint="default" w:ascii="Times New Roman" w:hAnsi="Times New Roman" w:cs="Times New Roman" w:eastAsiaTheme="minorEastAsia"/>
                      <w:color w:val="auto"/>
                      <w:szCs w:val="21"/>
                      <w:lang w:val="en-US" w:eastAsia="zh-CN"/>
                    </w:rPr>
                    <w:t>＜</w:t>
                  </w:r>
                  <w:r>
                    <w:rPr>
                      <w:rFonts w:hint="eastAsia" w:ascii="Times New Roman" w:hAnsi="Times New Roman" w:cs="Times New Roman" w:eastAsiaTheme="minorEastAsia"/>
                      <w:color w:val="auto"/>
                      <w:szCs w:val="21"/>
                      <w:lang w:val="en-US" w:eastAsia="zh-CN"/>
                    </w:rPr>
                    <w:t>30CPS</w:t>
                  </w:r>
                </w:p>
              </w:tc>
              <w:tc>
                <w:tcPr>
                  <w:tcW w:w="1562" w:type="pct"/>
                  <w:tcBorders>
                    <w:tl2br w:val="nil"/>
                    <w:tr2bl w:val="nil"/>
                  </w:tcBorders>
                  <w:noWrap w:val="0"/>
                  <w:vAlign w:val="center"/>
                </w:tcPr>
                <w:p>
                  <w:pPr>
                    <w:pStyle w:val="4"/>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无资料</w:t>
                  </w:r>
                </w:p>
              </w:tc>
              <w:tc>
                <w:tcPr>
                  <w:tcW w:w="1368"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line="26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聚噻吩</w:t>
                  </w:r>
                </w:p>
              </w:tc>
              <w:tc>
                <w:tcPr>
                  <w:tcW w:w="1610" w:type="pct"/>
                  <w:tcBorders>
                    <w:tl2br w:val="nil"/>
                    <w:tr2bl w:val="nil"/>
                  </w:tcBorders>
                  <w:noWrap w:val="0"/>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通常为粉末状或薄膜状。具有一定的导电性，不溶于水。其结构中的噻吩单元赋予材料良好的热稳定性，在空气中热分解温度较高。</w:t>
                  </w:r>
                </w:p>
              </w:tc>
              <w:tc>
                <w:tcPr>
                  <w:tcW w:w="1562" w:type="pct"/>
                  <w:tcBorders>
                    <w:tl2br w:val="nil"/>
                    <w:tr2bl w:val="nil"/>
                  </w:tcBorders>
                  <w:noWrap w:val="0"/>
                  <w:vAlign w:val="center"/>
                </w:tcPr>
                <w:p>
                  <w:pPr>
                    <w:pStyle w:val="4"/>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可燃，遇明火、高热可燃。粉体与空气可形成爆炸性混合物，当达到一定浓度时，遇火星会发生爆炸。</w:t>
                  </w:r>
                </w:p>
              </w:tc>
              <w:tc>
                <w:tcPr>
                  <w:tcW w:w="1368"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line="26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目前未见相关明确毒性报道，但在生产和使用过程中可能产生的粉尘等对呼吸道等有一定刺激风险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PU（聚氨酯）</w:t>
                  </w:r>
                </w:p>
              </w:tc>
              <w:tc>
                <w:tcPr>
                  <w:tcW w:w="1610" w:type="pct"/>
                  <w:tcBorders>
                    <w:tl2br w:val="nil"/>
                    <w:tr2bl w:val="nil"/>
                  </w:tcBorders>
                  <w:noWrap w:val="0"/>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形态多样，可为泡沫、弹性体、涂料、胶黏剂等。硬泡密度一般在 30 - 70kg/m</w:t>
                  </w:r>
                  <w:r>
                    <w:rPr>
                      <w:rFonts w:hint="eastAsia" w:ascii="Times New Roman" w:hAnsi="Times New Roman" w:cs="Times New Roman" w:eastAsiaTheme="minorEastAsia"/>
                      <w:color w:val="auto"/>
                      <w:szCs w:val="21"/>
                      <w:vertAlign w:val="superscript"/>
                      <w:lang w:val="en-US" w:eastAsia="zh-CN"/>
                    </w:rPr>
                    <w:t>3</w:t>
                  </w:r>
                  <w:r>
                    <w:rPr>
                      <w:rFonts w:hint="eastAsia" w:ascii="Times New Roman" w:hAnsi="Times New Roman" w:cs="Times New Roman" w:eastAsiaTheme="minorEastAsia"/>
                      <w:color w:val="auto"/>
                      <w:szCs w:val="21"/>
                      <w:lang w:val="en-US" w:eastAsia="zh-CN"/>
                    </w:rPr>
                    <w:t>，软泡密度在 10 - 30kg/m</w:t>
                  </w:r>
                  <w:r>
                    <w:rPr>
                      <w:rFonts w:hint="eastAsia" w:ascii="Times New Roman" w:hAnsi="Times New Roman" w:cs="Times New Roman" w:eastAsiaTheme="minorEastAsia"/>
                      <w:color w:val="auto"/>
                      <w:szCs w:val="21"/>
                      <w:vertAlign w:val="superscript"/>
                      <w:lang w:val="en-US" w:eastAsia="zh-CN"/>
                    </w:rPr>
                    <w:t>3</w:t>
                  </w:r>
                  <w:r>
                    <w:rPr>
                      <w:rFonts w:hint="eastAsia" w:ascii="Times New Roman" w:hAnsi="Times New Roman" w:cs="Times New Roman" w:eastAsiaTheme="minorEastAsia"/>
                      <w:color w:val="auto"/>
                      <w:szCs w:val="21"/>
                      <w:lang w:val="en-US" w:eastAsia="zh-CN"/>
                    </w:rPr>
                    <w:t>。具有良好的耐磨性、耐油性、柔韧性、耐低温性。熔点根据不同类型差异较大，通常在 100 - 250℃左右。溶解性因化学结构而异，部分可溶于二甲基甲酰胺等有机溶剂</w:t>
                  </w:r>
                </w:p>
              </w:tc>
              <w:tc>
                <w:tcPr>
                  <w:tcW w:w="1562" w:type="pct"/>
                  <w:tcBorders>
                    <w:tl2br w:val="nil"/>
                    <w:tr2bl w:val="nil"/>
                  </w:tcBorders>
                  <w:noWrap w:val="0"/>
                  <w:vAlign w:val="center"/>
                </w:tcPr>
                <w:p>
                  <w:pPr>
                    <w:pStyle w:val="4"/>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易燃，燃烧时会产生浓烟，且燃烧产物复杂，包括一氧化碳等有毒气体。</w:t>
                  </w:r>
                </w:p>
              </w:tc>
              <w:tc>
                <w:tcPr>
                  <w:tcW w:w="1368" w:type="pct"/>
                  <w:tcBorders>
                    <w:tl2br w:val="nil"/>
                    <w:tr2bl w:val="nil"/>
                  </w:tcBorders>
                  <w:noWrap w:val="0"/>
                  <w:vAlign w:val="center"/>
                </w:tcPr>
                <w:p>
                  <w:pPr>
                    <w:keepNext w:val="0"/>
                    <w:keepLines w:val="0"/>
                    <w:suppressLineNumbers w:val="0"/>
                    <w:tabs>
                      <w:tab w:val="left" w:pos="442"/>
                      <w:tab w:val="right" w:leader="dot" w:pos="8296"/>
                    </w:tabs>
                    <w:spacing w:before="0" w:beforeAutospacing="0" w:after="0" w:afterAutospacing="0" w:line="26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生产过程中使用的异氰酸酯单体有较大毒性，可刺激呼吸道，引发过敏等。制成的 PU 产品在正常使用条件下，一般毒性较低，但燃烧分解产物可能对人体有害 。</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6、物料平衡</w:t>
            </w:r>
          </w:p>
          <w:p>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color w:val="auto"/>
                <w:kern w:val="2"/>
                <w:sz w:val="24"/>
                <w:szCs w:val="24"/>
                <w:lang w:val="en-US" w:eastAsia="zh-CN" w:bidi="ar-SA"/>
              </w:rPr>
            </w:pPr>
            <w:bookmarkStart w:id="2" w:name="OLE_LINK316"/>
            <w:bookmarkStart w:id="3" w:name="OLE_LINK318"/>
            <w:r>
              <w:rPr>
                <w:rFonts w:hint="default" w:ascii="Times New Roman" w:hAnsi="Times New Roman" w:cs="Times New Roman" w:eastAsiaTheme="minorEastAsia"/>
                <w:color w:val="auto"/>
                <w:kern w:val="2"/>
                <w:sz w:val="24"/>
                <w:szCs w:val="24"/>
                <w:lang w:val="en-US" w:eastAsia="zh-CN" w:bidi="ar-SA"/>
              </w:rPr>
              <w:t>本项目物料平衡表见下表。</w:t>
            </w:r>
          </w:p>
          <w:p>
            <w:pPr>
              <w:keepNext w:val="0"/>
              <w:keepLines w:val="0"/>
              <w:suppressLineNumbers w:val="0"/>
              <w:spacing w:before="0" w:beforeAutospacing="0" w:after="0" w:afterAutospacing="0" w:line="240" w:lineRule="auto"/>
              <w:ind w:left="0" w:right="0" w:firstLine="482"/>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表2-</w:t>
            </w:r>
            <w:r>
              <w:rPr>
                <w:rFonts w:hint="eastAsia" w:ascii="Times New Roman" w:hAnsi="Times New Roman" w:cs="Times New Roman" w:eastAsiaTheme="minorEastAsia"/>
                <w:b/>
                <w:color w:val="auto"/>
                <w:sz w:val="24"/>
                <w:szCs w:val="24"/>
                <w:lang w:val="en-US" w:eastAsia="zh-CN"/>
              </w:rPr>
              <w:t>10</w:t>
            </w:r>
            <w:r>
              <w:rPr>
                <w:rFonts w:hint="default" w:ascii="Times New Roman" w:hAnsi="Times New Roman" w:cs="Times New Roman" w:eastAsiaTheme="minorEastAsia"/>
                <w:b/>
                <w:color w:val="auto"/>
                <w:sz w:val="24"/>
                <w:szCs w:val="24"/>
              </w:rPr>
              <w:t xml:space="preserve"> 本项目物料平衡表（单位：t/a）</w:t>
            </w:r>
          </w:p>
          <w:bookmarkEnd w:id="2"/>
          <w:bookmarkEnd w:id="3"/>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71"/>
              <w:gridCol w:w="1101"/>
              <w:gridCol w:w="1163"/>
              <w:gridCol w:w="645"/>
              <w:gridCol w:w="1185"/>
              <w:gridCol w:w="1380"/>
              <w:gridCol w:w="16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序号</w:t>
                  </w:r>
                </w:p>
              </w:tc>
              <w:tc>
                <w:tcPr>
                  <w:tcW w:w="2264" w:type="dxa"/>
                  <w:gridSpan w:val="2"/>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投入方</w:t>
                  </w:r>
                </w:p>
              </w:tc>
              <w:tc>
                <w:tcPr>
                  <w:tcW w:w="4810" w:type="dxa"/>
                  <w:gridSpan w:val="4"/>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产出方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continue"/>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0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名称</w:t>
                  </w:r>
                </w:p>
              </w:tc>
              <w:tc>
                <w:tcPr>
                  <w:tcW w:w="1163"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数量</w:t>
                  </w:r>
                </w:p>
              </w:tc>
              <w:tc>
                <w:tcPr>
                  <w:tcW w:w="1830" w:type="dxa"/>
                  <w:gridSpan w:val="2"/>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物料名称</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物料组成</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数量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110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P</w:t>
                  </w:r>
                  <w:r>
                    <w:rPr>
                      <w:rFonts w:hint="default" w:ascii="Times New Roman" w:hAnsi="Times New Roman" w:cs="Times New Roman" w:eastAsiaTheme="minorEastAsia"/>
                      <w:color w:val="auto"/>
                      <w:szCs w:val="21"/>
                      <w:lang w:val="en-US" w:eastAsia="zh-CN"/>
                    </w:rPr>
                    <w:t>C粒子</w:t>
                  </w:r>
                </w:p>
              </w:tc>
              <w:tc>
                <w:tcPr>
                  <w:tcW w:w="1163" w:type="dxa"/>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4800</w:t>
                  </w:r>
                </w:p>
              </w:tc>
              <w:tc>
                <w:tcPr>
                  <w:tcW w:w="645"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产品</w:t>
                  </w:r>
                </w:p>
              </w:tc>
              <w:tc>
                <w:tcPr>
                  <w:tcW w:w="1185"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进入产品</w:t>
                  </w:r>
                </w:p>
              </w:tc>
              <w:tc>
                <w:tcPr>
                  <w:tcW w:w="1380"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PC板</w:t>
                  </w:r>
                </w:p>
              </w:tc>
              <w:tc>
                <w:tcPr>
                  <w:tcW w:w="1600"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4982.6235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w:t>
                  </w:r>
                </w:p>
              </w:tc>
              <w:tc>
                <w:tcPr>
                  <w:tcW w:w="110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bidi="ar"/>
                    </w:rPr>
                    <w:t>PE薄膜</w:t>
                  </w:r>
                </w:p>
              </w:tc>
              <w:tc>
                <w:tcPr>
                  <w:tcW w:w="1163" w:type="dxa"/>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200</w:t>
                  </w:r>
                </w:p>
              </w:tc>
              <w:tc>
                <w:tcPr>
                  <w:tcW w:w="64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8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380"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600"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val="en-US" w:eastAsia="zh-CN"/>
                    </w:rPr>
                    <w:t>3</w:t>
                  </w:r>
                </w:p>
              </w:tc>
              <w:tc>
                <w:tcPr>
                  <w:tcW w:w="1101"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淋涂药剂</w:t>
                  </w:r>
                </w:p>
              </w:tc>
              <w:tc>
                <w:tcPr>
                  <w:tcW w:w="1163" w:type="dxa"/>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1.433</w:t>
                  </w:r>
                </w:p>
              </w:tc>
              <w:tc>
                <w:tcPr>
                  <w:tcW w:w="645"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废气</w:t>
                  </w: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破碎</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颗粒物</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1101"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1163" w:type="dxa"/>
                  <w:vMerge w:val="restart"/>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64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挤出、熔融</w:t>
                  </w:r>
                  <w:r>
                    <w:rPr>
                      <w:rFonts w:hint="eastAsia" w:ascii="Times New Roman" w:hAnsi="Times New Roman" w:cs="Times New Roman" w:eastAsiaTheme="minorEastAsia"/>
                      <w:color w:val="auto"/>
                      <w:szCs w:val="21"/>
                      <w:lang w:val="en-US" w:eastAsia="zh-CN"/>
                    </w:rPr>
                    <w:t>、淋涂</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非甲烷总烃</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2.7195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0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63" w:type="dxa"/>
                  <w:vMerge w:val="continue"/>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645" w:type="dxa"/>
                  <w:vMerge w:val="restart"/>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固废</w:t>
                  </w: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挤出</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废滤渣</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0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63" w:type="dxa"/>
                  <w:vMerge w:val="continue"/>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64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淋涂、破碎</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废PE膜</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0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63" w:type="dxa"/>
                  <w:vMerge w:val="continue"/>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64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雕刻</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碎屑</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7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01"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1163" w:type="dxa"/>
                  <w:vMerge w:val="continue"/>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p>
              </w:tc>
              <w:tc>
                <w:tcPr>
                  <w:tcW w:w="645" w:type="dxa"/>
                  <w:vMerge w:val="continue"/>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p>
              </w:tc>
              <w:tc>
                <w:tcPr>
                  <w:tcW w:w="1185"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熔融</w:t>
                  </w:r>
                </w:p>
              </w:tc>
              <w:tc>
                <w:tcPr>
                  <w:tcW w:w="138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废滤渣</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1672" w:type="dxa"/>
                  <w:gridSpan w:val="2"/>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合计</w:t>
                  </w:r>
                </w:p>
              </w:tc>
              <w:tc>
                <w:tcPr>
                  <w:tcW w:w="1163" w:type="dxa"/>
                  <w:shd w:val="clear" w:color="auto" w:fill="auto"/>
                  <w:vAlign w:val="center"/>
                </w:tcPr>
                <w:p>
                  <w:pPr>
                    <w:keepNext w:val="0"/>
                    <w:keepLines w:val="0"/>
                    <w:widowControl/>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500</w:t>
                  </w:r>
                  <w:r>
                    <w:rPr>
                      <w:rFonts w:hint="eastAsia" w:ascii="Times New Roman" w:hAnsi="Times New Roman" w:cs="Times New Roman" w:eastAsiaTheme="minorEastAsia"/>
                      <w:color w:val="auto"/>
                      <w:szCs w:val="21"/>
                      <w:lang w:val="en-US" w:eastAsia="zh-CN"/>
                    </w:rPr>
                    <w:t>1.433</w:t>
                  </w:r>
                </w:p>
              </w:tc>
              <w:tc>
                <w:tcPr>
                  <w:tcW w:w="3210" w:type="dxa"/>
                  <w:gridSpan w:val="3"/>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合计</w:t>
                  </w:r>
                </w:p>
              </w:tc>
              <w:tc>
                <w:tcPr>
                  <w:tcW w:w="1600" w:type="dxa"/>
                  <w:shd w:val="clear" w:color="auto" w:fill="auto"/>
                  <w:vAlign w:val="center"/>
                </w:tcPr>
                <w:p>
                  <w:pPr>
                    <w:keepNext w:val="0"/>
                    <w:keepLines w:val="0"/>
                    <w:suppressLineNumbers w:val="0"/>
                    <w:tabs>
                      <w:tab w:val="left" w:pos="5670"/>
                    </w:tabs>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5001.433</w:t>
                  </w:r>
                </w:p>
              </w:tc>
            </w:tr>
          </w:tbl>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7、劳动动员和工作制度</w:t>
            </w:r>
          </w:p>
          <w:p>
            <w:pPr>
              <w:pStyle w:val="11"/>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①劳动定员：本项目拟定职工人数为30人，不提供食宿；</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②工作制度：本项目实行</w:t>
            </w:r>
            <w:r>
              <w:rPr>
                <w:rFonts w:hint="eastAsia" w:ascii="Times New Roman" w:hAnsi="Times New Roman" w:cs="Times New Roman" w:eastAsiaTheme="minorEastAsia"/>
                <w:color w:val="auto"/>
                <w:sz w:val="24"/>
                <w:szCs w:val="24"/>
                <w:lang w:val="en-US" w:eastAsia="zh-CN"/>
              </w:rPr>
              <w:t>三</w:t>
            </w:r>
            <w:r>
              <w:rPr>
                <w:rFonts w:hint="default" w:ascii="Times New Roman" w:hAnsi="Times New Roman" w:cs="Times New Roman" w:eastAsiaTheme="minorEastAsia"/>
                <w:color w:val="auto"/>
                <w:sz w:val="24"/>
                <w:szCs w:val="24"/>
                <w:lang w:val="en-US" w:eastAsia="zh-CN"/>
              </w:rPr>
              <w:t>班制，每班工作</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lang w:val="en-US" w:eastAsia="zh-CN"/>
              </w:rPr>
              <w:t>小时，全年工作300天，共计7200h。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8、四至情况及厂区平面布置情况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lang w:eastAsia="zh-CN"/>
              </w:rPr>
              <w:t>①四至情况：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本项目位于磨头镇丁磨路111号，项目东侧为</w:t>
            </w:r>
            <w:r>
              <w:rPr>
                <w:rFonts w:hint="eastAsia" w:ascii="Times New Roman" w:hAnsi="Times New Roman" w:cs="Times New Roman" w:eastAsiaTheme="minorEastAsia"/>
                <w:b w:val="0"/>
                <w:bCs w:val="0"/>
                <w:color w:val="auto"/>
                <w:sz w:val="24"/>
                <w:szCs w:val="24"/>
                <w:lang w:val="en-US" w:eastAsia="zh-CN"/>
              </w:rPr>
              <w:t>凌力智能制造科技南通有限公司</w:t>
            </w:r>
            <w:r>
              <w:rPr>
                <w:rFonts w:hint="default" w:ascii="Times New Roman" w:hAnsi="Times New Roman" w:cs="Times New Roman" w:eastAsiaTheme="minorEastAsia"/>
                <w:b w:val="0"/>
                <w:bCs w:val="0"/>
                <w:color w:val="auto"/>
                <w:sz w:val="24"/>
                <w:szCs w:val="24"/>
                <w:lang w:val="en-US" w:eastAsia="zh-CN"/>
              </w:rPr>
              <w:t>，南侧为</w:t>
            </w:r>
            <w:r>
              <w:rPr>
                <w:rFonts w:hint="eastAsia" w:ascii="Times New Roman" w:hAnsi="Times New Roman" w:cs="Times New Roman" w:eastAsiaTheme="minorEastAsia"/>
                <w:b w:val="0"/>
                <w:bCs w:val="0"/>
                <w:color w:val="auto"/>
                <w:sz w:val="24"/>
                <w:szCs w:val="24"/>
                <w:lang w:val="en-US" w:eastAsia="zh-CN"/>
              </w:rPr>
              <w:t>玖通塑业集团</w:t>
            </w:r>
            <w:r>
              <w:rPr>
                <w:rFonts w:hint="default" w:ascii="Times New Roman" w:hAnsi="Times New Roman" w:cs="Times New Roman" w:eastAsiaTheme="minorEastAsia"/>
                <w:b w:val="0"/>
                <w:bCs w:val="0"/>
                <w:color w:val="auto"/>
                <w:sz w:val="24"/>
                <w:szCs w:val="24"/>
                <w:lang w:val="en-US" w:eastAsia="zh-CN"/>
              </w:rPr>
              <w:t>，西侧为</w:t>
            </w:r>
            <w:r>
              <w:rPr>
                <w:rFonts w:hint="eastAsia" w:ascii="Times New Roman" w:hAnsi="Times New Roman" w:cs="Times New Roman" w:eastAsiaTheme="minorEastAsia"/>
                <w:b w:val="0"/>
                <w:bCs w:val="0"/>
                <w:color w:val="auto"/>
                <w:sz w:val="24"/>
                <w:szCs w:val="24"/>
                <w:lang w:val="en-US" w:eastAsia="zh-CN"/>
              </w:rPr>
              <w:t>南通朝阳模具科技有限公司</w:t>
            </w:r>
            <w:r>
              <w:rPr>
                <w:rFonts w:hint="default" w:ascii="Times New Roman" w:hAnsi="Times New Roman" w:cs="Times New Roman" w:eastAsiaTheme="minorEastAsia"/>
                <w:b w:val="0"/>
                <w:bCs w:val="0"/>
                <w:color w:val="auto"/>
                <w:sz w:val="24"/>
                <w:szCs w:val="24"/>
                <w:lang w:val="en-US" w:eastAsia="zh-CN"/>
              </w:rPr>
              <w:t>，北侧为</w:t>
            </w:r>
            <w:r>
              <w:rPr>
                <w:rFonts w:hint="eastAsia" w:ascii="Times New Roman" w:hAnsi="Times New Roman" w:cs="Times New Roman" w:eastAsiaTheme="minorEastAsia"/>
                <w:b w:val="0"/>
                <w:bCs w:val="0"/>
                <w:color w:val="auto"/>
                <w:sz w:val="24"/>
                <w:szCs w:val="24"/>
                <w:lang w:val="en-US" w:eastAsia="zh-CN"/>
              </w:rPr>
              <w:t>丁磨公路</w:t>
            </w:r>
            <w:r>
              <w:rPr>
                <w:rFonts w:hint="default" w:ascii="Times New Roman" w:hAnsi="Times New Roman" w:cs="Times New Roman" w:eastAsiaTheme="minorEastAsia"/>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eastAsiaTheme="minorEastAsia"/>
                <w:b/>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本项目厂界周边最近的环境敏感目标为</w:t>
            </w:r>
            <w:r>
              <w:rPr>
                <w:rFonts w:hint="eastAsia" w:ascii="Times New Roman" w:hAnsi="Times New Roman" w:cs="Times New Roman" w:eastAsiaTheme="minorEastAsia"/>
                <w:b w:val="0"/>
                <w:bCs w:val="0"/>
                <w:color w:val="auto"/>
                <w:sz w:val="24"/>
                <w:szCs w:val="24"/>
                <w:lang w:val="en-US" w:eastAsia="zh-CN"/>
              </w:rPr>
              <w:t>北</w:t>
            </w:r>
            <w:r>
              <w:rPr>
                <w:rFonts w:hint="default" w:ascii="Times New Roman" w:hAnsi="Times New Roman" w:cs="Times New Roman" w:eastAsiaTheme="minorEastAsia"/>
                <w:b w:val="0"/>
                <w:bCs w:val="0"/>
                <w:color w:val="auto"/>
                <w:sz w:val="24"/>
                <w:szCs w:val="24"/>
                <w:lang w:val="en-US" w:eastAsia="zh-CN"/>
              </w:rPr>
              <w:t>侧</w:t>
            </w:r>
            <w:r>
              <w:rPr>
                <w:rFonts w:hint="eastAsia" w:ascii="Times New Roman" w:hAnsi="Times New Roman" w:cs="Times New Roman" w:eastAsiaTheme="minorEastAsia"/>
                <w:b w:val="0"/>
                <w:bCs w:val="0"/>
                <w:color w:val="auto"/>
                <w:sz w:val="24"/>
                <w:szCs w:val="24"/>
                <w:lang w:val="en-US" w:eastAsia="zh-CN"/>
              </w:rPr>
              <w:t>宗家庄</w:t>
            </w:r>
            <w:r>
              <w:rPr>
                <w:rFonts w:hint="default" w:ascii="Times New Roman" w:hAnsi="Times New Roman" w:cs="Times New Roman" w:eastAsiaTheme="minorEastAsia"/>
                <w:b w:val="0"/>
                <w:bCs w:val="0"/>
                <w:color w:val="auto"/>
                <w:sz w:val="24"/>
                <w:szCs w:val="24"/>
                <w:lang w:val="en-US" w:eastAsia="zh-CN"/>
              </w:rPr>
              <w:t>居民，距离约</w:t>
            </w:r>
            <w:r>
              <w:rPr>
                <w:rFonts w:hint="eastAsia" w:ascii="Times New Roman" w:hAnsi="Times New Roman" w:cs="Times New Roman" w:eastAsiaTheme="minorEastAsia"/>
                <w:b w:val="0"/>
                <w:bCs w:val="0"/>
                <w:color w:val="auto"/>
                <w:sz w:val="24"/>
                <w:szCs w:val="24"/>
                <w:lang w:val="en-US" w:eastAsia="zh-CN"/>
              </w:rPr>
              <w:t>70</w:t>
            </w:r>
            <w:r>
              <w:rPr>
                <w:rFonts w:hint="default" w:ascii="Times New Roman" w:hAnsi="Times New Roman" w:cs="Times New Roman" w:eastAsiaTheme="minorEastAsia"/>
                <w:b w:val="0"/>
                <w:bCs w:val="0"/>
                <w:color w:val="auto"/>
                <w:sz w:val="24"/>
                <w:szCs w:val="24"/>
                <w:lang w:val="en-US" w:eastAsia="zh-CN"/>
              </w:rPr>
              <w:t>m。</w:t>
            </w:r>
            <w:r>
              <w:rPr>
                <w:rFonts w:hint="default" w:ascii="Times New Roman" w:hAnsi="Times New Roman" w:cs="Times New Roman" w:eastAsiaTheme="minorEastAsia"/>
                <w:b w:val="0"/>
                <w:bCs/>
                <w:color w:val="auto"/>
                <w:sz w:val="24"/>
                <w:szCs w:val="24"/>
                <w:lang w:val="en-US" w:eastAsia="zh-CN"/>
              </w:rPr>
              <w:t>本项目地理位置图见附图1，周边500米环境概况图见附图2。</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②厂区平面布置</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color w:val="auto"/>
                <w:sz w:val="24"/>
                <w:szCs w:val="24"/>
                <w:highlight w:val="none"/>
                <w:lang w:val="en-US" w:eastAsia="zh-CN"/>
              </w:rPr>
              <w:t>本项目依托现有厂房，厂</w:t>
            </w:r>
            <w:r>
              <w:rPr>
                <w:rFonts w:hint="eastAsia" w:ascii="Times New Roman" w:hAnsi="Times New Roman" w:cs="Times New Roman" w:eastAsiaTheme="minorEastAsia"/>
                <w:color w:val="auto"/>
                <w:sz w:val="24"/>
                <w:szCs w:val="24"/>
                <w:highlight w:val="none"/>
                <w:lang w:val="en-US" w:eastAsia="zh-CN"/>
              </w:rPr>
              <w:t>区</w:t>
            </w:r>
            <w:r>
              <w:rPr>
                <w:rFonts w:hint="default" w:ascii="Times New Roman" w:hAnsi="Times New Roman" w:cs="Times New Roman" w:eastAsiaTheme="minorEastAsia"/>
                <w:color w:val="auto"/>
                <w:sz w:val="24"/>
                <w:szCs w:val="24"/>
                <w:highlight w:val="none"/>
                <w:lang w:val="en-US" w:eastAsia="zh-CN"/>
              </w:rPr>
              <w:t>建筑物呈</w:t>
            </w:r>
            <w:r>
              <w:rPr>
                <w:rFonts w:hint="eastAsia" w:ascii="Times New Roman" w:hAnsi="Times New Roman" w:cs="Times New Roman" w:eastAsiaTheme="minorEastAsia"/>
                <w:color w:val="auto"/>
                <w:sz w:val="24"/>
                <w:szCs w:val="24"/>
                <w:highlight w:val="none"/>
                <w:lang w:val="en-US" w:eastAsia="zh-CN"/>
              </w:rPr>
              <w:t>南北</w:t>
            </w:r>
            <w:r>
              <w:rPr>
                <w:rFonts w:hint="default" w:ascii="Times New Roman" w:hAnsi="Times New Roman" w:cs="Times New Roman" w:eastAsiaTheme="minorEastAsia"/>
                <w:color w:val="auto"/>
                <w:sz w:val="24"/>
                <w:szCs w:val="24"/>
                <w:highlight w:val="none"/>
                <w:lang w:val="en-US" w:eastAsia="zh-CN"/>
              </w:rPr>
              <w:t>向布置，</w:t>
            </w:r>
            <w:r>
              <w:rPr>
                <w:rFonts w:hint="default" w:ascii="Times New Roman" w:hAnsi="Times New Roman" w:cs="Times New Roman" w:eastAsiaTheme="minorEastAsia"/>
                <w:color w:val="auto"/>
                <w:sz w:val="24"/>
                <w:szCs w:val="24"/>
                <w:highlight w:val="none"/>
                <w:vertAlign w:val="baseline"/>
                <w:lang w:val="en-US" w:eastAsia="zh-CN"/>
              </w:rPr>
              <w:t>厂区总平面布置图见</w:t>
            </w:r>
            <w:r>
              <w:rPr>
                <w:rFonts w:hint="default" w:ascii="Times New Roman" w:hAnsi="Times New Roman" w:cs="Times New Roman" w:eastAsiaTheme="minorEastAsia"/>
                <w:b w:val="0"/>
                <w:bCs/>
                <w:color w:val="auto"/>
                <w:sz w:val="24"/>
                <w:szCs w:val="24"/>
                <w:lang w:val="en-US" w:eastAsia="zh-CN"/>
              </w:rPr>
              <w:t>附图3。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9、VOCs平衡图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val="0"/>
                <w:bCs w:val="0"/>
                <w:color w:val="auto"/>
                <w:sz w:val="24"/>
                <w:highlight w:val="none"/>
                <w:lang w:val="en-US" w:eastAsia="zh-CN"/>
              </w:rPr>
              <w:t>本项目VOCs平衡见下图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drawing>
                <wp:inline distT="0" distB="0" distL="114300" distR="114300">
                  <wp:extent cx="4608830" cy="3530600"/>
                  <wp:effectExtent l="0" t="0" r="1270" b="12700"/>
                  <wp:docPr id="5" name="ECB019B1-382A-4266-B25C-5B523AA43C14-1" descr="C:/Users/Administrator/AppData/Local/Temp/wps.KtENt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Administrator/AppData/Local/Temp/wps.KtENtmwps"/>
                          <pic:cNvPicPr>
                            <a:picLocks noChangeAspect="1"/>
                          </pic:cNvPicPr>
                        </pic:nvPicPr>
                        <pic:blipFill>
                          <a:blip r:embed="rId11"/>
                          <a:stretch>
                            <a:fillRect/>
                          </a:stretch>
                        </pic:blipFill>
                        <pic:spPr>
                          <a:xfrm>
                            <a:off x="0" y="0"/>
                            <a:ext cx="4608830" cy="353060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color w:val="auto"/>
                <w:sz w:val="24"/>
                <w:szCs w:val="24"/>
              </w:rPr>
              <w:t>图</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1</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本项目VOCs平衡图</w:t>
            </w:r>
            <w:r>
              <w:rPr>
                <w:rFonts w:hint="default" w:ascii="Times New Roman" w:hAnsi="Times New Roman" w:cs="Times New Roman" w:eastAsiaTheme="minorEastAsia"/>
                <w:b/>
                <w:color w:val="auto"/>
                <w:sz w:val="24"/>
                <w:szCs w:val="24"/>
                <w:lang w:eastAsia="zh-CN"/>
              </w:rPr>
              <w:t>（</w:t>
            </w:r>
            <w:r>
              <w:rPr>
                <w:rFonts w:hint="default" w:ascii="Times New Roman" w:hAnsi="Times New Roman" w:cs="Times New Roman" w:eastAsiaTheme="minorEastAsia"/>
                <w:b/>
                <w:color w:val="auto"/>
                <w:sz w:val="24"/>
                <w:szCs w:val="24"/>
                <w:lang w:val="en-US" w:eastAsia="zh-CN"/>
              </w:rPr>
              <w:t>t/a</w:t>
            </w:r>
            <w:r>
              <w:rPr>
                <w:rFonts w:hint="default" w:ascii="Times New Roman" w:hAnsi="Times New Roman" w:cs="Times New Roman" w:eastAsiaTheme="minorEastAsia"/>
                <w:b/>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10、水平衡图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b w:val="0"/>
                <w:bCs w:val="0"/>
                <w:color w:val="auto"/>
                <w:sz w:val="24"/>
                <w:highlight w:val="none"/>
                <w:lang w:val="en-US" w:eastAsia="zh-CN"/>
              </w:rPr>
              <w:t>本项目用水、排水说明：</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①职工生活</w:t>
            </w:r>
            <w:r>
              <w:rPr>
                <w:rFonts w:hint="default" w:ascii="Times New Roman" w:hAnsi="Times New Roman" w:cs="Times New Roman" w:eastAsiaTheme="minorEastAsia"/>
                <w:color w:val="auto"/>
                <w:sz w:val="24"/>
                <w:highlight w:val="none"/>
              </w:rPr>
              <w:t>用水</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排水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本</w:t>
            </w:r>
            <w:r>
              <w:rPr>
                <w:rFonts w:hint="default" w:ascii="Times New Roman" w:hAnsi="Times New Roman" w:cs="Times New Roman" w:eastAsiaTheme="minorEastAsia"/>
                <w:color w:val="auto"/>
                <w:sz w:val="24"/>
                <w:highlight w:val="none"/>
              </w:rPr>
              <w:t>项目</w:t>
            </w:r>
            <w:r>
              <w:rPr>
                <w:rFonts w:hint="default" w:ascii="Times New Roman" w:hAnsi="Times New Roman" w:cs="Times New Roman" w:eastAsiaTheme="minorEastAsia"/>
                <w:color w:val="auto"/>
                <w:sz w:val="24"/>
                <w:highlight w:val="none"/>
                <w:lang w:val="en-US" w:eastAsia="zh-CN"/>
              </w:rPr>
              <w:t>新增</w:t>
            </w:r>
            <w:r>
              <w:rPr>
                <w:rFonts w:hint="default" w:ascii="Times New Roman" w:hAnsi="Times New Roman" w:cs="Times New Roman" w:eastAsiaTheme="minorEastAsia"/>
                <w:color w:val="auto"/>
                <w:sz w:val="24"/>
                <w:highlight w:val="none"/>
              </w:rPr>
              <w:t>职工人数为</w:t>
            </w:r>
            <w:r>
              <w:rPr>
                <w:rFonts w:hint="default" w:ascii="Times New Roman" w:hAnsi="Times New Roman" w:cs="Times New Roman" w:eastAsiaTheme="minorEastAsia"/>
                <w:color w:val="auto"/>
                <w:sz w:val="24"/>
                <w:highlight w:val="none"/>
                <w:lang w:val="en-US" w:eastAsia="zh-CN"/>
              </w:rPr>
              <w:t>30</w:t>
            </w:r>
            <w:r>
              <w:rPr>
                <w:rFonts w:hint="default" w:ascii="Times New Roman" w:hAnsi="Times New Roman" w:cs="Times New Roman" w:eastAsiaTheme="minorEastAsia"/>
                <w:color w:val="auto"/>
                <w:sz w:val="24"/>
                <w:highlight w:val="none"/>
              </w:rPr>
              <w:t>人，公司不设食宿，年工作时间为300天。生活用水参考生活用水参考《建筑给水排水设计标准》（GB50015-2019），员工用水定额为50L/人/天计。排水量以用水量的80%计，职工生活用水量约为</w:t>
            </w:r>
            <w:r>
              <w:rPr>
                <w:rFonts w:hint="default" w:ascii="Times New Roman" w:hAnsi="Times New Roman" w:cs="Times New Roman" w:eastAsiaTheme="minorEastAsia"/>
                <w:color w:val="auto"/>
                <w:sz w:val="24"/>
                <w:highlight w:val="none"/>
                <w:lang w:val="en-US" w:eastAsia="zh-CN"/>
              </w:rPr>
              <w:t>450</w:t>
            </w:r>
            <w:r>
              <w:rPr>
                <w:rFonts w:hint="default" w:ascii="Times New Roman" w:hAnsi="Times New Roman" w:cs="Times New Roman" w:eastAsiaTheme="minorEastAsia"/>
                <w:color w:val="auto"/>
                <w:sz w:val="24"/>
                <w:highlight w:val="none"/>
              </w:rPr>
              <w:t>t/a，生活污水产生量约为</w:t>
            </w:r>
            <w:r>
              <w:rPr>
                <w:rFonts w:hint="default" w:ascii="Times New Roman" w:hAnsi="Times New Roman" w:cs="Times New Roman" w:eastAsiaTheme="minorEastAsia"/>
                <w:color w:val="auto"/>
                <w:sz w:val="24"/>
                <w:highlight w:val="none"/>
                <w:lang w:val="en-US" w:eastAsia="zh-CN"/>
              </w:rPr>
              <w:t>360</w:t>
            </w:r>
            <w:r>
              <w:rPr>
                <w:rFonts w:hint="default" w:ascii="Times New Roman" w:hAnsi="Times New Roman" w:cs="Times New Roman" w:eastAsiaTheme="minorEastAsia"/>
                <w:color w:val="auto"/>
                <w:sz w:val="24"/>
                <w:highlight w:val="none"/>
              </w:rPr>
              <w:t>t/a，主要污染物为COD、SS、NH</w:t>
            </w:r>
            <w:r>
              <w:rPr>
                <w:rFonts w:hint="default" w:ascii="Times New Roman" w:hAnsi="Times New Roman" w:cs="Times New Roman" w:eastAsiaTheme="minorEastAsia"/>
                <w:color w:val="auto"/>
                <w:sz w:val="24"/>
                <w:highlight w:val="none"/>
                <w:vertAlign w:val="subscript"/>
              </w:rPr>
              <w:t>3</w:t>
            </w:r>
            <w:r>
              <w:rPr>
                <w:rFonts w:hint="default" w:ascii="Times New Roman" w:hAnsi="Times New Roman" w:cs="Times New Roman" w:eastAsiaTheme="minorEastAsia"/>
                <w:color w:val="auto"/>
                <w:sz w:val="24"/>
                <w:highlight w:val="none"/>
              </w:rPr>
              <w:t>-N、TP、TN。生活污水经化粪池处理后接管至</w:t>
            </w:r>
            <w:r>
              <w:rPr>
                <w:rFonts w:hint="default" w:ascii="Times New Roman" w:hAnsi="Times New Roman" w:cs="Times New Roman" w:eastAsiaTheme="minorEastAsia"/>
                <w:color w:val="auto"/>
                <w:sz w:val="24"/>
                <w:highlight w:val="none"/>
                <w:lang w:eastAsia="zh-CN"/>
              </w:rPr>
              <w:t>如皋市碧水污水处理设施运行管理有限公司</w:t>
            </w:r>
            <w:r>
              <w:rPr>
                <w:rFonts w:hint="default" w:ascii="Times New Roman" w:hAnsi="Times New Roman" w:cs="Times New Roman" w:eastAsiaTheme="minorEastAsia"/>
                <w:color w:val="auto"/>
                <w:sz w:val="24"/>
                <w:highlight w:val="none"/>
              </w:rPr>
              <w:t>处理。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②冷却补充用水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新增一套冷却塔循环冷却水系统，每小时循环用水量为23.4t，年工作7200h，年循环量为168480t；由于在循环冷却过程中存在一定量的消耗，需对其补水。参考《工业循环冷却水处理设计规范》（GB/T50050-2017）中开式系统补充水计算公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Qm=Qe+Qb+Qw</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式中，Qm——补充水量（m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Qe——蒸发水量（m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/h），Qe=k·Δt·Qr，Qr为循环冷却水量（m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/h），本项目冷却塔水量为23.4m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/h，k取0.0014（20℃），Δt取5℃；</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Qb——排污水量（m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/h），取 0；</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Qw——蒸风吹损失水量（m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/h），取 0。</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经计算，补充水量为0.1638m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/h，年工作时间为7200h，则一年的补充水量为 1179.36m</w:t>
            </w:r>
            <w:r>
              <w:rPr>
                <w:rFonts w:hint="default" w:ascii="Times New Roman" w:hAnsi="Times New Roman" w:cs="Times New Roman" w:eastAsiaTheme="minorEastAsia"/>
                <w:color w:val="auto"/>
                <w:sz w:val="24"/>
                <w:highlight w:val="none"/>
                <w:vertAlign w:val="superscript"/>
                <w:lang w:val="en-US" w:eastAsia="zh-CN"/>
              </w:rPr>
              <w:t>3</w:t>
            </w:r>
            <w:r>
              <w:rPr>
                <w:rFonts w:hint="default" w:ascii="Times New Roman" w:hAnsi="Times New Roman" w:cs="Times New Roman" w:eastAsiaTheme="minorEastAsia"/>
                <w:color w:val="auto"/>
                <w:sz w:val="24"/>
                <w:highlight w:val="none"/>
                <w:lang w:val="en-US" w:eastAsia="zh-CN"/>
              </w:rPr>
              <w:t>，即1179.36t。冷却水循环使用，不外排。</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center"/>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drawing>
                <wp:inline distT="0" distB="0" distL="114300" distR="114300">
                  <wp:extent cx="4124960" cy="2116455"/>
                  <wp:effectExtent l="0" t="0" r="0" b="0"/>
                  <wp:docPr id="1" name="ECB019B1-382A-4266-B25C-5B523AA43C14-2" descr="C:/Users/Administrator/AppData/Local/Temp/wps.BhbIi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C:/Users/Administrator/AppData/Local/Temp/wps.BhbIigwps"/>
                          <pic:cNvPicPr>
                            <a:picLocks noChangeAspect="1"/>
                          </pic:cNvPicPr>
                        </pic:nvPicPr>
                        <pic:blipFill>
                          <a:blip r:embed="rId12"/>
                          <a:stretch>
                            <a:fillRect/>
                          </a:stretch>
                        </pic:blipFill>
                        <pic:spPr>
                          <a:xfrm>
                            <a:off x="0" y="0"/>
                            <a:ext cx="4124960" cy="211645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color w:val="auto"/>
                <w:sz w:val="24"/>
                <w:szCs w:val="24"/>
              </w:rPr>
              <w:t>图</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2</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本项目水平衡</w:t>
            </w:r>
            <w:r>
              <w:rPr>
                <w:rFonts w:hint="default" w:ascii="Times New Roman" w:hAnsi="Times New Roman" w:cs="Times New Roman" w:eastAsiaTheme="minorEastAsia"/>
                <w:b/>
                <w:color w:val="auto"/>
                <w:sz w:val="24"/>
                <w:szCs w:val="24"/>
              </w:rPr>
              <w:t>图</w:t>
            </w:r>
            <w:r>
              <w:rPr>
                <w:rFonts w:hint="default" w:ascii="Times New Roman" w:hAnsi="Times New Roman" w:cs="Times New Roman" w:eastAsiaTheme="minorEastAsia"/>
                <w:b/>
                <w:color w:val="auto"/>
                <w:sz w:val="24"/>
                <w:szCs w:val="24"/>
                <w:lang w:eastAsia="zh-CN"/>
              </w:rPr>
              <w:t>（</w:t>
            </w:r>
            <w:r>
              <w:rPr>
                <w:rFonts w:hint="default" w:ascii="Times New Roman" w:hAnsi="Times New Roman" w:cs="Times New Roman" w:eastAsiaTheme="minorEastAsia"/>
                <w:b/>
                <w:color w:val="auto"/>
                <w:sz w:val="24"/>
                <w:szCs w:val="24"/>
                <w:lang w:val="en-US" w:eastAsia="zh-CN"/>
              </w:rPr>
              <w:t>t/a</w:t>
            </w:r>
            <w:r>
              <w:rPr>
                <w:rFonts w:hint="default" w:ascii="Times New Roman" w:hAnsi="Times New Roman" w:cs="Times New Roman" w:eastAsiaTheme="minorEastAsia"/>
                <w:b/>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noWrap w:val="0"/>
            <w:vAlign w:val="center"/>
          </w:tcPr>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工艺流程和产排污环节</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工艺流程和产排污环节</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p>
            <w:pPr>
              <w:pStyle w:val="22"/>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eastAsiaTheme="minorEastAsia"/>
                <w:color w:val="auto"/>
                <w:sz w:val="21"/>
                <w:szCs w:val="21"/>
              </w:rPr>
            </w:pPr>
          </w:p>
        </w:tc>
        <w:tc>
          <w:tcPr>
            <w:tcW w:w="7891"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1、施工期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192"/>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本项目利用现有</w:t>
            </w:r>
            <w:r>
              <w:rPr>
                <w:rFonts w:hint="eastAsia" w:ascii="Times New Roman" w:hAnsi="Times New Roman" w:cs="Times New Roman" w:eastAsiaTheme="minorEastAsia"/>
                <w:color w:val="auto"/>
                <w:sz w:val="24"/>
                <w:szCs w:val="24"/>
                <w:lang w:val="en-US" w:eastAsia="zh-CN"/>
              </w:rPr>
              <w:t>厂区</w:t>
            </w:r>
            <w:r>
              <w:rPr>
                <w:rFonts w:hint="default" w:ascii="Times New Roman" w:hAnsi="Times New Roman" w:cs="Times New Roman" w:eastAsiaTheme="minorEastAsia"/>
                <w:color w:val="auto"/>
                <w:sz w:val="24"/>
                <w:szCs w:val="24"/>
                <w:lang w:val="en-US" w:eastAsia="zh-CN"/>
              </w:rPr>
              <w:t>，无需进行土建，施工期主要进行相关设备的调试安装，故施工期影响较小，本次环评不做详细分析。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2、运营期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4"/>
                <w:szCs w:val="24"/>
                <w:lang w:val="en-US" w:eastAsia="zh-CN"/>
              </w:rPr>
              <w:t>本项目生产工艺流程及产污节点图见图2-</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drawing>
                <wp:inline distT="0" distB="0" distL="114300" distR="114300">
                  <wp:extent cx="4864100" cy="2259965"/>
                  <wp:effectExtent l="0" t="0" r="12700" b="6985"/>
                  <wp:docPr id="7" name="ECB019B1-382A-4266-B25C-5B523AA43C14-3" descr="C:/Users/Administrator/AppData/Local/Temp/wps.dLjqb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3" descr="C:/Users/Administrator/AppData/Local/Temp/wps.dLjqbhwps"/>
                          <pic:cNvPicPr>
                            <a:picLocks noChangeAspect="1"/>
                          </pic:cNvPicPr>
                        </pic:nvPicPr>
                        <pic:blipFill>
                          <a:blip r:embed="rId13"/>
                          <a:stretch>
                            <a:fillRect/>
                          </a:stretch>
                        </pic:blipFill>
                        <pic:spPr>
                          <a:xfrm>
                            <a:off x="0" y="0"/>
                            <a:ext cx="4864100" cy="225996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firstLine="482"/>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图</w:t>
            </w:r>
            <w:r>
              <w:rPr>
                <w:rFonts w:hint="default" w:ascii="Times New Roman" w:hAnsi="Times New Roman" w:cs="Times New Roman" w:eastAsiaTheme="minorEastAsia"/>
                <w:b/>
                <w:color w:val="auto"/>
                <w:sz w:val="24"/>
                <w:szCs w:val="24"/>
                <w:lang w:val="en-US" w:eastAsia="zh-CN"/>
              </w:rPr>
              <w:t>2-</w:t>
            </w:r>
            <w:r>
              <w:rPr>
                <w:rFonts w:hint="eastAsia" w:ascii="Times New Roman" w:hAnsi="Times New Roman" w:cs="Times New Roman" w:eastAsiaTheme="minorEastAsia"/>
                <w:b/>
                <w:color w:val="auto"/>
                <w:sz w:val="24"/>
                <w:szCs w:val="24"/>
                <w:lang w:val="en-US" w:eastAsia="zh-CN"/>
              </w:rPr>
              <w:t>3</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PC板</w:t>
            </w:r>
            <w:r>
              <w:rPr>
                <w:rFonts w:hint="default" w:ascii="Times New Roman" w:hAnsi="Times New Roman" w:cs="Times New Roman" w:eastAsiaTheme="minorEastAsia"/>
                <w:b/>
                <w:color w:val="auto"/>
                <w:sz w:val="24"/>
                <w:szCs w:val="24"/>
              </w:rPr>
              <w:t>生产工艺流程及产污节点图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生产工艺简述如下：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每台烘干机旁边配备一个盛料桶，将塑料粒子包装袋口拆封后整袋置入料桶内，经进料系统管道直接吸入并输送至烘干机内。主要原料为PC，不使用抗氧化剂、色母等粉料助剂。本项目所用塑料粒子粒径在3mm左右，粒径较大，比重（空气=1）大于1，且无需卸倾倒卸料，进料经由吸料管输送，不考虑粉尘产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（1）烘干</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进料后的塑料粒子在烘干机中进行烘干干燥，烘干其中所含的水分，干燥机采用电加热（烘干温度80℃）。</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聚碳酸酯干燥的重要性：</w:t>
            </w:r>
            <w:r>
              <w:rPr>
                <w:rFonts w:hint="default" w:ascii="Times New Roman" w:hAnsi="Times New Roman" w:cs="Times New Roman" w:eastAsiaTheme="minorEastAsia"/>
                <w:b w:val="0"/>
                <w:bCs w:val="0"/>
                <w:color w:val="auto"/>
                <w:sz w:val="24"/>
                <w:szCs w:val="24"/>
                <w:lang w:val="en-US" w:eastAsia="zh-CN"/>
              </w:rPr>
              <w:t>对于聚碳酸酯这种材料，高温下会导致水解，释放出二氧化碳和乙醛等有害气体，从而影响成品的质量。当加工温度高于材料分解温度时，局部产生气泡或者结晶，造成产品密度不均或者表面质量差。同时，加热会导致聚合物内部的分子链结构发生变化，使聚合物的性能发生改变。因此，在加工之前必须将材料中的水分清除，以避免这些问题的出现。所以烘干后的聚碳酸酯树脂在后续的加工过程中不会水解产生二氧化碳和乙醛等有害气体。</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rPr>
              <w:t>此工序会产生</w:t>
            </w:r>
            <w:r>
              <w:rPr>
                <w:rFonts w:hint="default" w:ascii="Times New Roman" w:hAnsi="Times New Roman" w:cs="Times New Roman" w:eastAsiaTheme="minorEastAsia"/>
                <w:b w:val="0"/>
                <w:bCs w:val="0"/>
                <w:color w:val="auto"/>
                <w:sz w:val="24"/>
                <w:szCs w:val="24"/>
                <w:lang w:val="en-US" w:eastAsia="zh-CN"/>
              </w:rPr>
              <w:t>G1烘干废气</w:t>
            </w:r>
            <w:r>
              <w:rPr>
                <w:rFonts w:hint="default" w:ascii="Times New Roman" w:hAnsi="Times New Roman" w:cs="Times New Roman" w:eastAsiaTheme="minorEastAsia"/>
                <w:b w:val="0"/>
                <w:bCs w:val="0"/>
                <w:color w:val="auto"/>
                <w:sz w:val="24"/>
                <w:szCs w:val="24"/>
              </w:rPr>
              <w:t>及N噪声</w:t>
            </w:r>
            <w:r>
              <w:rPr>
                <w:rFonts w:hint="default" w:ascii="Times New Roman" w:hAnsi="Times New Roman" w:cs="Times New Roman" w:eastAsiaTheme="minorEastAsia"/>
                <w:b w:val="0"/>
                <w:bCs w:val="0"/>
                <w:color w:val="auto"/>
                <w:sz w:val="24"/>
                <w:szCs w:val="24"/>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（2）上料</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lang w:val="en-US" w:eastAsia="zh-CN"/>
              </w:rPr>
              <w:t>将烘干好的PC粒子由吸料机吸入挤出机料仓内，原料为颗粒状，直径为3mm左右，上料过程密闭，不产生粉尘。此工序会产生N噪声</w:t>
            </w:r>
            <w:r>
              <w:rPr>
                <w:rFonts w:hint="default" w:ascii="Times New Roman" w:hAnsi="Times New Roman" w:cs="Times New Roman" w:eastAsiaTheme="minorEastAsia"/>
                <w:b w:val="0"/>
                <w:bCs w:val="0"/>
                <w:color w:val="auto"/>
                <w:sz w:val="24"/>
                <w:szCs w:val="24"/>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（3）挤出</w:t>
            </w:r>
            <w:r>
              <w:rPr>
                <w:rFonts w:hint="eastAsia" w:ascii="Times New Roman" w:hAnsi="Times New Roman" w:cs="Times New Roman" w:eastAsiaTheme="minorEastAsia"/>
                <w:b w:val="0"/>
                <w:bCs w:val="0"/>
                <w:color w:val="auto"/>
                <w:sz w:val="24"/>
                <w:szCs w:val="24"/>
                <w:vertAlign w:val="baseline"/>
                <w:lang w:val="en-US" w:eastAsia="zh-CN"/>
              </w:rPr>
              <w:t>（年工作时间7200h）</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rPr>
              <w:t>PC在旋转螺杆的作用下，通过机筒内壁和螺杆表面的摩擦作用向前输送和压实。在这个过程中，PC从固态开始，在机筒外部加热圈（</w:t>
            </w:r>
            <w:r>
              <w:rPr>
                <w:rFonts w:hint="default" w:ascii="Times New Roman" w:hAnsi="Times New Roman" w:cs="Times New Roman" w:eastAsiaTheme="minorEastAsia"/>
                <w:b w:val="0"/>
                <w:bCs w:val="0"/>
                <w:color w:val="auto"/>
                <w:sz w:val="24"/>
                <w:szCs w:val="24"/>
                <w:lang w:val="en-US" w:eastAsia="zh-CN"/>
              </w:rPr>
              <w:t>电</w:t>
            </w:r>
            <w:r>
              <w:rPr>
                <w:rFonts w:hint="default" w:ascii="Times New Roman" w:hAnsi="Times New Roman" w:cs="Times New Roman" w:eastAsiaTheme="minorEastAsia"/>
                <w:b w:val="0"/>
                <w:bCs w:val="0"/>
                <w:color w:val="auto"/>
                <w:sz w:val="24"/>
                <w:szCs w:val="24"/>
              </w:rPr>
              <w:t>加热至</w:t>
            </w:r>
            <w:r>
              <w:rPr>
                <w:rFonts w:hint="default" w:ascii="Times New Roman" w:hAnsi="Times New Roman" w:cs="Times New Roman" w:eastAsiaTheme="minorEastAsia"/>
                <w:b w:val="0"/>
                <w:bCs w:val="0"/>
                <w:color w:val="auto"/>
                <w:sz w:val="24"/>
                <w:szCs w:val="24"/>
                <w:lang w:val="en-US" w:eastAsia="zh-CN"/>
              </w:rPr>
              <w:t>250-285℃</w:t>
            </w:r>
            <w:r>
              <w:rPr>
                <w:rFonts w:hint="default" w:ascii="Times New Roman" w:hAnsi="Times New Roman" w:cs="Times New Roman" w:eastAsiaTheme="minorEastAsia"/>
                <w:b w:val="0"/>
                <w:bCs w:val="0"/>
                <w:color w:val="auto"/>
                <w:sz w:val="24"/>
                <w:szCs w:val="24"/>
              </w:rPr>
              <w:t>）的帮助下，通过热传导和物料前进运动中生成的摩擦热，使物料温度逐渐升高，从而使得PC从颗粒状的固体转变成熔融的流体状态。熔融的PC被连续不断地输送到螺杆前方，通过过滤网、分流板而进入机头成型，从而使PC熔体具有片状形态</w:t>
            </w:r>
            <w:r>
              <w:rPr>
                <w:rFonts w:hint="default" w:ascii="Times New Roman" w:hAnsi="Times New Roman" w:cs="Times New Roman" w:eastAsiaTheme="minorEastAsia"/>
                <w:b w:val="0"/>
                <w:bCs w:val="0"/>
                <w:color w:val="auto"/>
                <w:sz w:val="24"/>
                <w:szCs w:val="24"/>
                <w:lang w:eastAsia="zh-CN"/>
              </w:rPr>
              <w:t>，出来的PC片</w:t>
            </w:r>
            <w:r>
              <w:rPr>
                <w:rFonts w:hint="default" w:ascii="Times New Roman" w:hAnsi="Times New Roman" w:cs="Times New Roman" w:eastAsiaTheme="minorEastAsia"/>
                <w:b w:val="0"/>
                <w:bCs w:val="0"/>
                <w:color w:val="auto"/>
                <w:sz w:val="24"/>
                <w:szCs w:val="24"/>
                <w:lang w:val="en-US" w:eastAsia="zh-CN"/>
              </w:rPr>
              <w:t>自然冷却。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bCs/>
                <w:color w:val="auto"/>
                <w:sz w:val="24"/>
                <w:szCs w:val="24"/>
                <w:lang w:val="en-US" w:eastAsia="zh-CN"/>
              </w:rPr>
              <w:t>根据聚碳酸酯的理化性质，分解温度在340-350℃之间，本项目加热温度为250-285℃，熔融时间为15min，在此温度下，聚碳酸酯中化学键不会发生断裂，不会出现热分解现象。同时本项目使用的聚碳酸酯粒子采用双酚A与碳酸二苯熔融缩聚，进行酯交换制成，不含光气或二氯甲烷。因此注塑主要污染物以非甲烷总烃、酚类、氯苯类表征，熔体通过挤出机挤出成型，挤出后自然冷却</w:t>
            </w:r>
            <w:r>
              <w:rPr>
                <w:rFonts w:hint="default" w:ascii="Times New Roman" w:hAnsi="Times New Roman" w:cs="Times New Roman" w:eastAsiaTheme="minorEastAsia"/>
                <w:b w:val="0"/>
                <w:bCs w:val="0"/>
                <w:color w:val="auto"/>
                <w:sz w:val="24"/>
                <w:szCs w:val="24"/>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此过程产生G2挤出废气、S1废滤渣及N设备运行噪声。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（4）覆膜</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通过覆膜机将外购的PE膜通过静电原理，使其吸附在PC板上。此工序产生N噪声。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覆膜后的PC板约5%进入淋涂加工线，95%进入机加工（裁切、折弯、雕刻）线</w:t>
            </w:r>
            <w:r>
              <w:rPr>
                <w:rFonts w:hint="eastAsia" w:ascii="Times New Roman" w:hAnsi="Times New Roman" w:cs="Times New Roman" w:eastAsiaTheme="minorEastAsia"/>
                <w:b w:val="0"/>
                <w:bCs w:val="0"/>
                <w:color w:val="auto"/>
                <w:sz w:val="24"/>
                <w:szCs w:val="24"/>
                <w:vertAlign w:val="baseli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（5）淋涂</w:t>
            </w:r>
            <w:r>
              <w:rPr>
                <w:rFonts w:hint="eastAsia" w:ascii="Times New Roman" w:hAnsi="Times New Roman" w:cs="Times New Roman" w:eastAsiaTheme="minorEastAsia"/>
                <w:b/>
                <w:bCs/>
                <w:color w:val="auto"/>
                <w:sz w:val="24"/>
                <w:szCs w:val="24"/>
                <w:vertAlign w:val="baseline"/>
                <w:lang w:val="en-US" w:eastAsia="zh-CN"/>
              </w:rPr>
              <w:t>（年工作时间56h）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覆膜后的板材经人工撕膜后，将板材置入淋涂生产线（48m*1m*2.85m），板材经淋涂处理后（PC板到达淋涂头下方时，开启淋涂机，淋涂药剂从淋涂头均匀地淋洒在PC板表面（淋涂厚度20μm）。PC板离开淋涂头后，在输送带上继续运行一小段距离，让多余的涂料自然滴流，使涂层厚度更加均匀。滴流下来的涂料通过回收槽收集，可再次循环使用。</w:t>
            </w:r>
            <w:r>
              <w:rPr>
                <w:rFonts w:hint="default" w:ascii="Times New Roman" w:hAnsi="Times New Roman" w:cs="Times New Roman" w:eastAsiaTheme="minorEastAsia"/>
                <w:sz w:val="24"/>
                <w:szCs w:val="24"/>
              </w:rPr>
              <w:t>无需加热，采用强制通风的方式加速干燥</w:t>
            </w:r>
            <w:r>
              <w:rPr>
                <w:rFonts w:hint="default" w:ascii="Times New Roman" w:hAnsi="Times New Roman" w:cs="Times New Roman" w:eastAsiaTheme="minorEastAsia"/>
                <w:b w:val="0"/>
                <w:bCs w:val="0"/>
                <w:color w:val="auto"/>
                <w:sz w:val="24"/>
                <w:szCs w:val="24"/>
                <w:vertAlign w:val="baseline"/>
                <w:lang w:val="en-US" w:eastAsia="zh-CN"/>
              </w:rPr>
              <w:t>），表面附着淋涂药剂，使板材具有防静电、防刮花等特性。淋涂加工后的板材即为成品，入库堆放待出库。</w:t>
            </w:r>
            <w:r>
              <w:rPr>
                <w:rFonts w:hint="eastAsia" w:ascii="Times New Roman" w:hAnsi="Times New Roman" w:cs="Times New Roman" w:eastAsiaTheme="minorEastAsia"/>
                <w:b w:val="0"/>
                <w:bCs w:val="0"/>
                <w:color w:val="auto"/>
                <w:sz w:val="24"/>
                <w:szCs w:val="24"/>
                <w:vertAlign w:val="baseline"/>
                <w:lang w:val="en-US" w:eastAsia="zh-CN"/>
              </w:rPr>
              <w:t>此工序产生G3淋涂废气、S4废PE膜及N噪声。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（6）裁切、折弯、雕刻</w:t>
            </w:r>
            <w:r>
              <w:rPr>
                <w:rFonts w:hint="eastAsia" w:ascii="Times New Roman" w:hAnsi="Times New Roman" w:cs="Times New Roman" w:eastAsiaTheme="minorEastAsia"/>
                <w:b w:val="0"/>
                <w:bCs w:val="0"/>
                <w:color w:val="auto"/>
                <w:sz w:val="24"/>
                <w:szCs w:val="24"/>
                <w:vertAlign w:val="baseline"/>
                <w:lang w:val="en-US" w:eastAsia="zh-CN"/>
              </w:rPr>
              <w:t>（年工作时间7200h）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覆膜后的板材根据客户需求，使用折弯机、裁切机、雕刻机对其进行折弯、裁切以及雕刻加工处理后即为成品，入库堆放待出库。裁切采用刀片冲切的原理，实现板材的切断，裁切过程无粉尘。雕刻机通过精密的刀具路径控制，在PC板表面进行精细雕刻。雕刻刀具</w:t>
            </w:r>
            <w:r>
              <w:rPr>
                <w:rFonts w:hint="default" w:ascii="Times New Roman" w:hAnsi="Times New Roman" w:cs="Times New Roman" w:eastAsiaTheme="minorEastAsia"/>
                <w:sz w:val="24"/>
                <w:szCs w:val="24"/>
              </w:rPr>
              <w:t>根据预设程序在</w:t>
            </w:r>
            <w:r>
              <w:rPr>
                <w:rFonts w:hint="default" w:ascii="Times New Roman" w:hAnsi="Times New Roman" w:cs="Times New Roman" w:eastAsiaTheme="minorEastAsia"/>
                <w:sz w:val="24"/>
                <w:szCs w:val="24"/>
                <w:lang w:val="en-US" w:eastAsia="zh-CN"/>
              </w:rPr>
              <w:t>PC</w:t>
            </w:r>
            <w:r>
              <w:rPr>
                <w:rFonts w:hint="default" w:ascii="Times New Roman" w:hAnsi="Times New Roman" w:cs="Times New Roman" w:eastAsiaTheme="minorEastAsia"/>
                <w:sz w:val="24"/>
                <w:szCs w:val="24"/>
              </w:rPr>
              <w:t>板上切削，由于刀具的设计和切削参数的合理设置，切削下来的</w:t>
            </w:r>
            <w:r>
              <w:rPr>
                <w:rFonts w:hint="default" w:ascii="Times New Roman" w:hAnsi="Times New Roman" w:cs="Times New Roman" w:eastAsiaTheme="minorEastAsia"/>
                <w:sz w:val="24"/>
                <w:szCs w:val="24"/>
                <w:lang w:val="en-US" w:eastAsia="zh-CN"/>
              </w:rPr>
              <w:t>PC</w:t>
            </w:r>
            <w:r>
              <w:rPr>
                <w:rFonts w:hint="default" w:ascii="Times New Roman" w:hAnsi="Times New Roman" w:cs="Times New Roman" w:eastAsiaTheme="minorEastAsia"/>
                <w:sz w:val="24"/>
                <w:szCs w:val="24"/>
              </w:rPr>
              <w:t>板材料会形成较大块状的碎屑，而非细小的粉尘颗粒。同时，雕刻机配备有高效的碎屑收集装置，在雕刻过程中实时收集产生的大型碎屑，进一步避免了碎屑因后续处理而破碎产生粉尘的情况</w:t>
            </w:r>
            <w:r>
              <w:rPr>
                <w:rFonts w:hint="default" w:ascii="Times New Roman" w:hAnsi="Times New Roman" w:cs="Times New Roman" w:eastAsiaTheme="minorEastAsia"/>
                <w:b w:val="0"/>
                <w:bCs w:val="0"/>
                <w:color w:val="auto"/>
                <w:sz w:val="24"/>
                <w:szCs w:val="24"/>
                <w:vertAlign w:val="baseline"/>
                <w:lang w:val="en-US" w:eastAsia="zh-CN"/>
              </w:rPr>
              <w:t>产生。此工序产生S2废</w:t>
            </w:r>
            <w:r>
              <w:rPr>
                <w:rFonts w:hint="eastAsia" w:ascii="Times New Roman" w:hAnsi="Times New Roman" w:cs="Times New Roman" w:eastAsiaTheme="minorEastAsia"/>
                <w:b w:val="0"/>
                <w:bCs w:val="0"/>
                <w:color w:val="auto"/>
                <w:sz w:val="24"/>
                <w:szCs w:val="24"/>
                <w:vertAlign w:val="baseline"/>
                <w:lang w:val="en-US" w:eastAsia="zh-CN"/>
              </w:rPr>
              <w:t>边角料</w:t>
            </w:r>
            <w:r>
              <w:rPr>
                <w:rFonts w:hint="default" w:ascii="Times New Roman" w:hAnsi="Times New Roman" w:cs="Times New Roman" w:eastAsiaTheme="minorEastAsia"/>
                <w:b w:val="0"/>
                <w:bCs w:val="0"/>
                <w:color w:val="auto"/>
                <w:sz w:val="24"/>
                <w:szCs w:val="24"/>
                <w:vertAlign w:val="baseline"/>
                <w:lang w:val="en-US" w:eastAsia="zh-CN"/>
              </w:rPr>
              <w:t>、S3</w:t>
            </w:r>
            <w:r>
              <w:rPr>
                <w:rFonts w:hint="eastAsia" w:ascii="Times New Roman" w:hAnsi="Times New Roman" w:cs="Times New Roman" w:eastAsiaTheme="minorEastAsia"/>
                <w:b w:val="0"/>
                <w:bCs w:val="0"/>
                <w:color w:val="auto"/>
                <w:sz w:val="24"/>
                <w:szCs w:val="24"/>
                <w:vertAlign w:val="baseline"/>
                <w:lang w:val="en-US" w:eastAsia="zh-CN"/>
              </w:rPr>
              <w:t>碎屑</w:t>
            </w:r>
            <w:r>
              <w:rPr>
                <w:rFonts w:hint="default" w:ascii="Times New Roman" w:hAnsi="Times New Roman" w:cs="Times New Roman" w:eastAsiaTheme="minorEastAsia"/>
                <w:b w:val="0"/>
                <w:bCs w:val="0"/>
                <w:color w:val="auto"/>
                <w:sz w:val="24"/>
                <w:szCs w:val="24"/>
                <w:vertAlign w:val="baseline"/>
                <w:lang w:val="en-US" w:eastAsia="zh-CN"/>
              </w:rPr>
              <w:t>及N噪声。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对裁切产生的废边角料经PC再生回用于生产。</w:t>
            </w:r>
          </w:p>
          <w:p>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破碎</w:t>
            </w:r>
            <w:r>
              <w:rPr>
                <w:rFonts w:hint="eastAsia" w:ascii="Times New Roman" w:hAnsi="Times New Roman" w:cs="Times New Roman" w:eastAsiaTheme="minorEastAsia"/>
                <w:b w:val="0"/>
                <w:bCs w:val="0"/>
                <w:color w:val="auto"/>
                <w:sz w:val="24"/>
                <w:szCs w:val="24"/>
                <w:vertAlign w:val="baseline"/>
                <w:lang w:val="en-US" w:eastAsia="zh-CN"/>
              </w:rPr>
              <w:t>（年工作时间2400h）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对裁切过程产生的废边角料进行破碎处理，破碎前需将PC板表层的PE膜撕下，以免影响产品的品质要求。此工序产生G4破碎废气</w:t>
            </w:r>
            <w:r>
              <w:rPr>
                <w:rFonts w:hint="eastAsia" w:ascii="Times New Roman" w:hAnsi="Times New Roman" w:cs="Times New Roman" w:eastAsiaTheme="minorEastAsia"/>
                <w:b w:val="0"/>
                <w:bCs w:val="0"/>
                <w:color w:val="auto"/>
                <w:sz w:val="24"/>
                <w:szCs w:val="24"/>
                <w:vertAlign w:val="baseline"/>
                <w:lang w:val="en-US" w:eastAsia="zh-CN"/>
              </w:rPr>
              <w:t>、S5废PE膜</w:t>
            </w:r>
            <w:r>
              <w:rPr>
                <w:rFonts w:hint="default" w:ascii="Times New Roman" w:hAnsi="Times New Roman" w:cs="Times New Roman" w:eastAsiaTheme="minorEastAsia"/>
                <w:b w:val="0"/>
                <w:bCs w:val="0"/>
                <w:color w:val="auto"/>
                <w:sz w:val="24"/>
                <w:szCs w:val="24"/>
                <w:vertAlign w:val="baseline"/>
                <w:lang w:val="en-US" w:eastAsia="zh-CN"/>
              </w:rPr>
              <w:t>及N噪声。</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（8）造粒（熔融-冷却-切粒）</w:t>
            </w:r>
            <w:r>
              <w:rPr>
                <w:rFonts w:hint="eastAsia" w:ascii="Times New Roman" w:hAnsi="Times New Roman" w:cs="Times New Roman" w:eastAsiaTheme="minorEastAsia"/>
                <w:b w:val="0"/>
                <w:bCs w:val="0"/>
                <w:color w:val="auto"/>
                <w:sz w:val="24"/>
                <w:szCs w:val="24"/>
                <w:vertAlign w:val="baseline"/>
                <w:lang w:val="en-US" w:eastAsia="zh-CN"/>
              </w:rPr>
              <w:t>（年工作时间2400h）</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将破碎好的料与废气设施收集的PC粉尘置入造粒机中，通过电加热使其在造粒机熔融桶内熔融，塑料熔体通过喷嘴喷出。在熔融过程中，温度控制在230-270℃，不会达到聚碳酸酯分解温度。本项目采用电加热。</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vertAlign w:val="baseline"/>
                <w:lang w:val="en-US" w:eastAsia="zh-CN"/>
              </w:rPr>
              <w:t>挤出后的胶条由牵引装置牵引至智能水下切造粒系统内进行切粒、冷却。料条在循环水中冷却，防止料条的粘结；切刀在循环水中对料条进行切粒，防止切粒过程产生粉尘。智能水下切造粒系统中的直接冷却水经设备自带的隔渣系统隔渣后循环使用，冷却水因蒸发及产品夹带损耗，定期补充新鲜水，不外排，冷却水槽尺寸为2.5×0.4×0.4m；水槽中的水使用冷却塔中循环水，定期清理槽渣，补充新鲜水，不外排。此工序产生G5熔融废气、S</w:t>
            </w:r>
            <w:r>
              <w:rPr>
                <w:rFonts w:hint="eastAsia" w:ascii="Times New Roman" w:hAnsi="Times New Roman" w:cs="Times New Roman" w:eastAsiaTheme="minorEastAsia"/>
                <w:b w:val="0"/>
                <w:bCs w:val="0"/>
                <w:color w:val="auto"/>
                <w:sz w:val="24"/>
                <w:szCs w:val="24"/>
                <w:vertAlign w:val="baseline"/>
                <w:lang w:val="en-US" w:eastAsia="zh-CN"/>
              </w:rPr>
              <w:t>6</w:t>
            </w:r>
            <w:r>
              <w:rPr>
                <w:rFonts w:hint="default" w:ascii="Times New Roman" w:hAnsi="Times New Roman" w:cs="Times New Roman" w:eastAsiaTheme="minorEastAsia"/>
                <w:b w:val="0"/>
                <w:bCs w:val="0"/>
                <w:color w:val="auto"/>
                <w:sz w:val="24"/>
                <w:szCs w:val="24"/>
                <w:vertAlign w:val="baseline"/>
                <w:lang w:val="en-US" w:eastAsia="zh-CN"/>
              </w:rPr>
              <w:t>废槽渣以及N噪声。</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冷水循环水说明：</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1.冷却水循环原理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冷却循环水通过与物料直接接触，吸收物料的热量，将其带走，从而降低塑料的温度，使其快速固化。因此，冷却循环水的温度和流量对于塑料挤出的质量和效率起着重要的影响。</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2.冷却系统的组成</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①水源系统：</w:t>
            </w:r>
            <w:r>
              <w:rPr>
                <w:rFonts w:hint="default" w:ascii="Times New Roman" w:hAnsi="Times New Roman" w:cs="Times New Roman" w:eastAsiaTheme="minorEastAsia"/>
                <w:b w:val="0"/>
                <w:bCs w:val="0"/>
                <w:color w:val="auto"/>
                <w:sz w:val="24"/>
                <w:szCs w:val="24"/>
                <w:lang w:val="en-US" w:eastAsia="zh-CN"/>
              </w:rPr>
              <w:t>冷却循环水的来源是水源系统，一般通过自来水供应或者水泵从水库、水井等地方取水。</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②冷却塔：</w:t>
            </w:r>
            <w:r>
              <w:rPr>
                <w:rFonts w:hint="default" w:ascii="Times New Roman" w:hAnsi="Times New Roman" w:cs="Times New Roman" w:eastAsiaTheme="minorEastAsia"/>
                <w:b w:val="0"/>
                <w:bCs w:val="0"/>
                <w:color w:val="auto"/>
                <w:sz w:val="24"/>
                <w:szCs w:val="24"/>
                <w:lang w:val="en-US" w:eastAsia="zh-CN"/>
              </w:rPr>
              <w:t>冷却塔是冷却系统中的关键组成部分，其主要功能是通过水与空气的接触，使水中的热量散发到空气中，从而降低水的温度。冷却塔分为湿式冷却塔和干式冷却塔两种形式，具体选择取决于实际需求。</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③冷却泵：</w:t>
            </w:r>
            <w:r>
              <w:rPr>
                <w:rFonts w:hint="default" w:ascii="Times New Roman" w:hAnsi="Times New Roman" w:cs="Times New Roman" w:eastAsiaTheme="minorEastAsia"/>
                <w:b w:val="0"/>
                <w:bCs w:val="0"/>
                <w:color w:val="auto"/>
                <w:sz w:val="24"/>
                <w:szCs w:val="24"/>
                <w:lang w:val="en-US" w:eastAsia="zh-CN"/>
              </w:rPr>
              <w:t>冷却泵负责将冷却循环水从冷却塔中抽取出来，通过管道输送到挤出机头进行冷却。</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④冷却器：</w:t>
            </w:r>
            <w:r>
              <w:rPr>
                <w:rFonts w:hint="default" w:ascii="Times New Roman" w:hAnsi="Times New Roman" w:cs="Times New Roman" w:eastAsiaTheme="minorEastAsia"/>
                <w:b w:val="0"/>
                <w:bCs w:val="0"/>
                <w:color w:val="auto"/>
                <w:sz w:val="24"/>
                <w:szCs w:val="24"/>
                <w:lang w:val="en-US" w:eastAsia="zh-CN"/>
              </w:rPr>
              <w:t>冷却器是将冷却循环水与塑料接触的设备，一般采用换热器的形式，通过水与塑料之间的热交换，实现塑料的快速冷却。</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⑤控制系统：</w:t>
            </w:r>
            <w:r>
              <w:rPr>
                <w:rFonts w:hint="default" w:ascii="Times New Roman" w:hAnsi="Times New Roman" w:cs="Times New Roman" w:eastAsiaTheme="minorEastAsia"/>
                <w:b w:val="0"/>
                <w:bCs w:val="0"/>
                <w:color w:val="auto"/>
                <w:sz w:val="24"/>
                <w:szCs w:val="24"/>
                <w:lang w:val="en-US" w:eastAsia="zh-CN"/>
              </w:rPr>
              <w:t>冷却系统还需要一个控制系统来监测和调节冷却循环水的温度、流量等参数，以确保塑料挤出过程的稳定性和高效性。</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3.冷却水处理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冷却循环水在使用过程中会受到各种污染物的影响，如悬浮物、颗粒物、微生物等。这些污染物会堵塞冷却系统的管道，影响冷却效果。因此，冷却水的处理是非常重要的。</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常见的冷却水处理方法包括：</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过滤：</w:t>
            </w:r>
            <w:r>
              <w:rPr>
                <w:rFonts w:hint="default" w:ascii="Times New Roman" w:hAnsi="Times New Roman" w:cs="Times New Roman" w:eastAsiaTheme="minorEastAsia"/>
                <w:b w:val="0"/>
                <w:bCs w:val="0"/>
                <w:color w:val="auto"/>
                <w:sz w:val="24"/>
                <w:szCs w:val="24"/>
                <w:lang w:val="en-US" w:eastAsia="zh-CN"/>
              </w:rPr>
              <w:t>通过安装过滤器，将冷却水中的悬浮物、颗粒物等杂质过滤掉，保证冷却水的清洁度。</w:t>
            </w:r>
          </w:p>
          <w:p>
            <w:pPr>
              <w:keepNext w:val="0"/>
              <w:keepLines w:val="0"/>
              <w:numPr>
                <w:ilvl w:val="0"/>
                <w:numId w:val="0"/>
              </w:numPr>
              <w:suppressLineNumbers w:val="0"/>
              <w:adjustRightInd w:val="0"/>
              <w:snapToGrid w:val="0"/>
              <w:spacing w:before="0" w:beforeAutospacing="0" w:after="0" w:afterAutospacing="0" w:line="360" w:lineRule="auto"/>
              <w:ind w:left="420" w:leftChars="200" w:right="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（9）风干</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通过风机对塑料粒子表面进行风干处理，去除表面大部分水滴。此工序产生N噪声。</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注：本项目挤出过程使用的模具均为外购，模具需要定期更换，破损的模具委外修理，废模具由供货方回收利用。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3、主要污染工序汇总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b/>
                <w:bCs/>
                <w:color w:val="auto"/>
                <w:sz w:val="24"/>
                <w:szCs w:val="24"/>
                <w:lang w:val="en-US" w:eastAsia="zh-CN"/>
              </w:rPr>
              <w:t>表2-1</w:t>
            </w:r>
            <w:r>
              <w:rPr>
                <w:rFonts w:hint="eastAsia"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lang w:val="en-US" w:eastAsia="zh-CN"/>
              </w:rPr>
              <w:t xml:space="preserve">  本项目运营期主要污染工序汇总表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28"/>
              <w:gridCol w:w="1699"/>
              <w:gridCol w:w="2108"/>
              <w:gridCol w:w="1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污染因素</w:t>
                  </w: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编号</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名称</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产污环节</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废水</w:t>
                  </w: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废气</w:t>
                  </w: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subscript"/>
                      <w:lang w:val="en-US" w:eastAsia="zh-CN"/>
                    </w:rPr>
                  </w:pPr>
                  <w:r>
                    <w:rPr>
                      <w:rFonts w:hint="default" w:ascii="Times New Roman" w:hAnsi="Times New Roman" w:cs="Times New Roman" w:eastAsiaTheme="minorEastAsia"/>
                      <w:b w:val="0"/>
                      <w:bCs/>
                      <w:color w:val="auto"/>
                      <w:sz w:val="21"/>
                      <w:szCs w:val="21"/>
                      <w:vertAlign w:val="baseline"/>
                      <w:lang w:val="en-US" w:eastAsia="zh-CN"/>
                    </w:rPr>
                    <w:t>G1</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烘干废气</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烘干</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水蒸气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vertAlign w:val="subscript"/>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G2</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挤出废气</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挤出</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非甲烷总烃、酚类、氯苯类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vertAlign w:val="baseline"/>
                      <w:lang w:val="en-US" w:eastAsia="zh-CN"/>
                    </w:rPr>
                    <w:t>G3</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淋涂</w:t>
                  </w:r>
                  <w:r>
                    <w:rPr>
                      <w:rFonts w:hint="default" w:ascii="Times New Roman" w:hAnsi="Times New Roman" w:cs="Times New Roman" w:eastAsiaTheme="minorEastAsia"/>
                      <w:b w:val="0"/>
                      <w:bCs/>
                      <w:color w:val="auto"/>
                      <w:sz w:val="21"/>
                      <w:szCs w:val="21"/>
                      <w:lang w:val="en-US" w:eastAsia="zh-CN"/>
                    </w:rPr>
                    <w:t>废气</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淋涂</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G4</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破碎废气</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破碎</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G5</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熔融废气</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造粒</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非甲烷总烃、酚类、氯苯类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restar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固废</w:t>
                  </w: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S1</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废滤渣</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挤出</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滤渣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lang w:val="en-US" w:eastAsia="zh-CN"/>
                    </w:rPr>
                    <w:t>S2</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废边角料</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裁切</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PC板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lang w:val="en-US" w:eastAsia="zh-CN"/>
                    </w:rPr>
                    <w:t>S3</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碎屑</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雕刻</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碎屑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S4</w:t>
                  </w:r>
                  <w:r>
                    <w:rPr>
                      <w:rFonts w:hint="eastAsia" w:ascii="Times New Roman" w:hAnsi="Times New Roman" w:cs="Times New Roman" w:eastAsiaTheme="minorEastAsia"/>
                      <w:b w:val="0"/>
                      <w:bCs/>
                      <w:color w:val="auto"/>
                      <w:sz w:val="21"/>
                      <w:szCs w:val="21"/>
                      <w:vertAlign w:val="baseline"/>
                      <w:lang w:val="en-US" w:eastAsia="zh-CN"/>
                    </w:rPr>
                    <w:t>、S5</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废PE膜</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淋涂、破碎</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PE膜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S6</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废槽渣</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冷却</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槽渣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eastAsia" w:ascii="Times New Roman" w:hAnsi="Times New Roman" w:cs="Times New Roman" w:eastAsiaTheme="minorEastAsia"/>
                      <w:b w:val="0"/>
                      <w:bCs/>
                      <w:color w:val="auto"/>
                      <w:kern w:val="2"/>
                      <w:sz w:val="21"/>
                      <w:szCs w:val="21"/>
                      <w:vertAlign w:val="baseline"/>
                      <w:lang w:val="en-US" w:eastAsia="zh-CN" w:bidi="ar-SA"/>
                    </w:rPr>
                    <w:t>S7</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集尘灰</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废气处理</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S8</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废活性炭</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废气处理</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有机物、活性炭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S9</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废布袋</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废气处理</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粉尘、颗粒物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eastAsia" w:ascii="Times New Roman" w:hAnsi="Times New Roman" w:cs="Times New Roman" w:eastAsiaTheme="minorEastAsia"/>
                      <w:b w:val="0"/>
                      <w:bCs/>
                      <w:color w:val="auto"/>
                      <w:kern w:val="2"/>
                      <w:sz w:val="21"/>
                      <w:szCs w:val="21"/>
                      <w:vertAlign w:val="baseline"/>
                      <w:lang w:val="en-US" w:eastAsia="zh-CN" w:bidi="ar-SA"/>
                    </w:rPr>
                    <w:t>S10</w:t>
                  </w:r>
                </w:p>
              </w:tc>
              <w:tc>
                <w:tcPr>
                  <w:tcW w:w="1111"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废滤网</w:t>
                  </w:r>
                </w:p>
              </w:tc>
              <w:tc>
                <w:tcPr>
                  <w:tcW w:w="1379"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设备维护</w:t>
                  </w:r>
                </w:p>
              </w:tc>
              <w:tc>
                <w:tcPr>
                  <w:tcW w:w="1296"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滤网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eastAsia" w:ascii="Times New Roman" w:hAnsi="Times New Roman" w:cs="Times New Roman" w:eastAsiaTheme="minorEastAsia"/>
                      <w:b w:val="0"/>
                      <w:bCs/>
                      <w:color w:val="auto"/>
                      <w:kern w:val="2"/>
                      <w:sz w:val="21"/>
                      <w:szCs w:val="21"/>
                      <w:vertAlign w:val="baseline"/>
                      <w:lang w:val="en-US" w:eastAsia="zh-CN" w:bidi="ar-SA"/>
                    </w:rPr>
                    <w:t>S11</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废包装桶</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拆包</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有机物、包装桶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eastAsia" w:ascii="Times New Roman" w:hAnsi="Times New Roman" w:cs="Times New Roman" w:eastAsiaTheme="minorEastAsia"/>
                      <w:b w:val="0"/>
                      <w:bCs/>
                      <w:color w:val="auto"/>
                      <w:kern w:val="2"/>
                      <w:sz w:val="21"/>
                      <w:szCs w:val="21"/>
                      <w:vertAlign w:val="baseline"/>
                      <w:lang w:val="en-US" w:eastAsia="zh-CN" w:bidi="ar-SA"/>
                    </w:rPr>
                    <w:t>S12</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废润滑油</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设备维护</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shd w:val="clear" w:color="auto" w:fill="auto"/>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S13</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废润滑油桶</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设备维护</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sz w:val="21"/>
                      <w:szCs w:val="21"/>
                      <w:vertAlign w:val="baseline"/>
                      <w:lang w:val="en-US" w:eastAsia="zh-CN"/>
                    </w:rPr>
                    <w:t>S1</w:t>
                  </w:r>
                  <w:r>
                    <w:rPr>
                      <w:rFonts w:hint="eastAsia" w:ascii="Times New Roman" w:hAnsi="Times New Roman" w:cs="Times New Roman" w:eastAsiaTheme="minorEastAsia"/>
                      <w:b w:val="0"/>
                      <w:bCs/>
                      <w:color w:val="auto"/>
                      <w:sz w:val="21"/>
                      <w:szCs w:val="21"/>
                      <w:vertAlign w:val="baseline"/>
                      <w:lang w:val="en-US" w:eastAsia="zh-CN"/>
                    </w:rPr>
                    <w:t>4</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空压机含油废水</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辅助生产</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矿物油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S1</w:t>
                  </w:r>
                  <w:r>
                    <w:rPr>
                      <w:rFonts w:hint="eastAsia" w:ascii="Times New Roman" w:hAnsi="Times New Roman" w:cs="Times New Roman" w:eastAsiaTheme="minorEastAsia"/>
                      <w:b w:val="0"/>
                      <w:bCs/>
                      <w:color w:val="auto"/>
                      <w:sz w:val="21"/>
                      <w:szCs w:val="21"/>
                      <w:vertAlign w:val="baseline"/>
                      <w:lang w:val="en-US" w:eastAsia="zh-CN"/>
                    </w:rPr>
                    <w:t>5</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废模具</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生产</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模具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vMerge w:val="continue"/>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S1</w:t>
                  </w:r>
                  <w:r>
                    <w:rPr>
                      <w:rFonts w:hint="eastAsia" w:ascii="Times New Roman" w:hAnsi="Times New Roman" w:cs="Times New Roman" w:eastAsiaTheme="minorEastAsia"/>
                      <w:b w:val="0"/>
                      <w:bCs/>
                      <w:color w:val="auto"/>
                      <w:sz w:val="21"/>
                      <w:szCs w:val="21"/>
                      <w:vertAlign w:val="baseline"/>
                      <w:lang w:val="en-US" w:eastAsia="zh-CN"/>
                    </w:rPr>
                    <w:t>6</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生活垃圾</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职工生活</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瓜皮纸屑等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5"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噪声</w:t>
                  </w:r>
                </w:p>
              </w:tc>
              <w:tc>
                <w:tcPr>
                  <w:tcW w:w="607"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N</w:t>
                  </w:r>
                </w:p>
              </w:tc>
              <w:tc>
                <w:tcPr>
                  <w:tcW w:w="1111"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设备运行噪声</w:t>
                  </w:r>
                </w:p>
              </w:tc>
              <w:tc>
                <w:tcPr>
                  <w:tcW w:w="1379"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设备运行</w:t>
                  </w:r>
                </w:p>
              </w:tc>
              <w:tc>
                <w:tcPr>
                  <w:tcW w:w="1296" w:type="pct"/>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L</w:t>
                  </w:r>
                  <w:r>
                    <w:rPr>
                      <w:rFonts w:hint="default" w:ascii="Times New Roman" w:hAnsi="Times New Roman" w:cs="Times New Roman" w:eastAsiaTheme="minorEastAsia"/>
                      <w:color w:val="auto"/>
                      <w:sz w:val="21"/>
                      <w:szCs w:val="21"/>
                      <w:vertAlign w:val="subscript"/>
                      <w:lang w:val="en-US" w:eastAsia="zh-CN"/>
                    </w:rPr>
                    <w:t>eq</w:t>
                  </w:r>
                  <w:r>
                    <w:rPr>
                      <w:rFonts w:hint="default" w:ascii="Times New Roman" w:hAnsi="Times New Roman" w:cs="Times New Roman" w:eastAsiaTheme="minorEastAsia"/>
                      <w:color w:val="auto"/>
                      <w:sz w:val="21"/>
                      <w:szCs w:val="21"/>
                      <w:lang w:val="en-US" w:eastAsia="zh-CN"/>
                    </w:rPr>
                    <w:t>（A）</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textAlignment w:val="auto"/>
              <w:rPr>
                <w:rFonts w:hint="default" w:ascii="Times New Roman" w:hAnsi="Times New Roman" w:cs="Times New Roman" w:eastAsiaTheme="minor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822" w:type="dxa"/>
            <w:noWrap w:val="0"/>
            <w:vAlign w:val="center"/>
          </w:tcPr>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val="0"/>
                <w:color w:val="auto"/>
                <w:kern w:val="2"/>
                <w:sz w:val="21"/>
                <w:szCs w:val="21"/>
              </w:rPr>
              <w:t>项目有关的原有环境污染问题</w:t>
            </w:r>
          </w:p>
        </w:tc>
        <w:tc>
          <w:tcPr>
            <w:tcW w:w="7891"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本项目为新建项目，位于江苏省南通市磨头镇丁磨路111号，租用南通奕诚精密电子科技有限公司</w:t>
            </w:r>
            <w:r>
              <w:rPr>
                <w:rFonts w:hint="eastAsia" w:ascii="Times New Roman" w:hAnsi="Times New Roman" w:cs="Times New Roman" w:eastAsiaTheme="minorEastAsia"/>
                <w:b w:val="0"/>
                <w:bCs w:val="0"/>
                <w:color w:val="auto"/>
                <w:sz w:val="24"/>
                <w:szCs w:val="24"/>
                <w:lang w:val="en-US" w:eastAsia="zh-CN"/>
              </w:rPr>
              <w:t>整厂区</w:t>
            </w:r>
            <w:r>
              <w:rPr>
                <w:rFonts w:hint="default" w:ascii="Times New Roman" w:hAnsi="Times New Roman" w:cs="Times New Roman" w:eastAsiaTheme="minorEastAsia"/>
                <w:b w:val="0"/>
                <w:bCs w:val="0"/>
                <w:color w:val="auto"/>
                <w:sz w:val="24"/>
                <w:szCs w:val="24"/>
                <w:lang w:val="en-US" w:eastAsia="zh-CN"/>
              </w:rPr>
              <w:t>进行生产</w:t>
            </w:r>
            <w:r>
              <w:rPr>
                <w:rFonts w:hint="eastAsia" w:ascii="Times New Roman" w:hAnsi="Times New Roman" w:cs="Times New Roman" w:eastAsiaTheme="minorEastAsia"/>
                <w:b w:val="0"/>
                <w:bCs w:val="0"/>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color w:val="auto"/>
                <w:sz w:val="24"/>
                <w:szCs w:val="24"/>
                <w:lang w:val="en-US" w:eastAsia="zh-CN"/>
              </w:rPr>
              <w:t>南通奕诚精密电子科技有限公司</w:t>
            </w:r>
            <w:r>
              <w:rPr>
                <w:rFonts w:hint="eastAsia" w:ascii="Times New Roman" w:hAnsi="Times New Roman" w:cs="Times New Roman" w:eastAsiaTheme="minorEastAsia"/>
                <w:color w:val="auto"/>
                <w:sz w:val="24"/>
                <w:szCs w:val="24"/>
                <w:lang w:val="en-US" w:eastAsia="zh-CN"/>
              </w:rPr>
              <w:t>于2019年投资500万在如皋市磨头镇丁磨路111号新建厂房建设模具加工项目。该项目于同年取得如皋市行政审批局的批复。根据调查，该项目自厂房建成一直未投产，该地块厂房一直处于闲置状态</w:t>
            </w:r>
            <w:r>
              <w:rPr>
                <w:rFonts w:hint="default" w:ascii="Times New Roman" w:hAnsi="Times New Roman" w:cs="Times New Roman" w:eastAsiaTheme="minorEastAsia"/>
                <w:b w:val="0"/>
                <w:bCs w:val="0"/>
                <w:color w:val="auto"/>
                <w:sz w:val="24"/>
                <w:szCs w:val="24"/>
                <w:lang w:val="en-US" w:eastAsia="zh-CN"/>
              </w:rPr>
              <w:t>，不存在与建设项目有关的原有污染情况及环境问题。项目排水、供电等公用设施均</w:t>
            </w:r>
            <w:r>
              <w:rPr>
                <w:rFonts w:hint="eastAsia" w:ascii="Times New Roman" w:hAnsi="Times New Roman" w:cs="Times New Roman" w:eastAsiaTheme="minorEastAsia"/>
                <w:b w:val="0"/>
                <w:bCs w:val="0"/>
                <w:color w:val="auto"/>
                <w:sz w:val="24"/>
                <w:szCs w:val="24"/>
                <w:lang w:val="en-US" w:eastAsia="zh-CN"/>
              </w:rPr>
              <w:t>已</w:t>
            </w:r>
            <w:r>
              <w:rPr>
                <w:rFonts w:hint="default" w:ascii="Times New Roman" w:hAnsi="Times New Roman" w:cs="Times New Roman" w:eastAsiaTheme="minorEastAsia"/>
                <w:b w:val="0"/>
                <w:bCs w:val="0"/>
                <w:color w:val="auto"/>
                <w:sz w:val="24"/>
                <w:szCs w:val="24"/>
                <w:lang w:val="en-US" w:eastAsia="zh-CN"/>
              </w:rPr>
              <w:t>建</w:t>
            </w:r>
            <w:r>
              <w:rPr>
                <w:rFonts w:hint="eastAsia" w:ascii="Times New Roman" w:hAnsi="Times New Roman" w:cs="Times New Roman" w:eastAsiaTheme="minorEastAsia"/>
                <w:b w:val="0"/>
                <w:bCs w:val="0"/>
                <w:color w:val="auto"/>
                <w:sz w:val="24"/>
                <w:szCs w:val="24"/>
                <w:lang w:val="en-US" w:eastAsia="zh-CN"/>
              </w:rPr>
              <w:t>成</w:t>
            </w:r>
            <w:r>
              <w:rPr>
                <w:rFonts w:hint="default" w:ascii="Times New Roman" w:hAnsi="Times New Roman" w:cs="Times New Roman" w:eastAsiaTheme="minorEastAsia"/>
                <w:b w:val="0"/>
                <w:bCs w:val="0"/>
                <w:color w:val="auto"/>
                <w:sz w:val="24"/>
                <w:szCs w:val="24"/>
                <w:lang w:val="en-US" w:eastAsia="zh-CN"/>
              </w:rPr>
              <w:t>，其他涉及安全、消防、环保和厂区卫生等相应的环境保护均由江苏卓宏新材料有限公司自行负责。</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本项目雨污分流管网及雨水排口依托出租方（</w:t>
            </w:r>
            <w:r>
              <w:rPr>
                <w:rFonts w:hint="default" w:ascii="Times New Roman" w:hAnsi="Times New Roman" w:cs="Times New Roman" w:eastAsiaTheme="minorEastAsia"/>
                <w:color w:val="auto"/>
                <w:sz w:val="24"/>
                <w:szCs w:val="24"/>
                <w:lang w:val="en-US" w:eastAsia="zh-CN"/>
              </w:rPr>
              <w:t>南通奕诚精密电子科技有限公司</w:t>
            </w:r>
            <w:r>
              <w:rPr>
                <w:rFonts w:hint="default" w:ascii="Times New Roman" w:hAnsi="Times New Roman" w:cs="Times New Roman" w:eastAsiaTheme="minorEastAsia"/>
                <w:b w:val="0"/>
                <w:bCs w:val="0"/>
                <w:color w:val="auto"/>
                <w:sz w:val="24"/>
                <w:szCs w:val="24"/>
                <w:lang w:val="en-US" w:eastAsia="zh-CN"/>
              </w:rPr>
              <w:t>），雨污分流管网、雨水排口及化粪池的环保责任由承租方（江苏卓宏新材料有限公司）承担；本项目废气装置、废气排放口及应急池设置在租赁</w:t>
            </w:r>
            <w:r>
              <w:rPr>
                <w:rFonts w:hint="eastAsia" w:ascii="Times New Roman" w:hAnsi="Times New Roman" w:cs="Times New Roman" w:eastAsiaTheme="minorEastAsia"/>
                <w:b w:val="0"/>
                <w:bCs w:val="0"/>
                <w:color w:val="auto"/>
                <w:sz w:val="24"/>
                <w:szCs w:val="24"/>
                <w:lang w:val="en-US" w:eastAsia="zh-CN"/>
              </w:rPr>
              <w:t>厂区内</w:t>
            </w:r>
            <w:r>
              <w:rPr>
                <w:rFonts w:hint="default" w:ascii="Times New Roman" w:hAnsi="Times New Roman" w:cs="Times New Roman" w:eastAsiaTheme="minorEastAsia"/>
                <w:b w:val="0"/>
                <w:bCs w:val="0"/>
                <w:color w:val="auto"/>
                <w:sz w:val="24"/>
                <w:szCs w:val="24"/>
                <w:lang w:val="en-US" w:eastAsia="zh-CN"/>
              </w:rPr>
              <w:t>，为出租方同意，废气排放口、危废仓库、应急池等环保责任及安全、消防和厂房卫生等相应的环境保护问题由承租方（江苏卓宏新材料有限公司）负责。</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left"/>
              <w:textAlignment w:val="auto"/>
              <w:rPr>
                <w:rFonts w:hint="default" w:ascii="Times New Roman" w:hAnsi="Times New Roman" w:cs="Times New Roman" w:eastAsiaTheme="minorEastAsia"/>
                <w:b w:val="0"/>
                <w:bCs w:val="0"/>
                <w:color w:val="auto"/>
                <w:lang w:val="en-US" w:eastAsia="zh-CN"/>
              </w:rPr>
            </w:pPr>
          </w:p>
        </w:tc>
      </w:tr>
    </w:tbl>
    <w:p>
      <w:p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三、区域环境质量现状、环境保护目标及评价标准</w:t>
      </w:r>
    </w:p>
    <w:tbl>
      <w:tblPr>
        <w:tblStyle w:val="26"/>
        <w:tblW w:w="87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1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r>
              <w:rPr>
                <w:rFonts w:hint="default" w:ascii="Times New Roman" w:hAnsi="Times New Roman" w:cs="Times New Roman" w:eastAsiaTheme="minorEastAsia"/>
                <w:b/>
                <w:bCs/>
                <w:color w:val="000000"/>
                <w:kern w:val="0"/>
                <w:szCs w:val="21"/>
              </w:rPr>
              <w:t>现状</w:t>
            </w:r>
          </w:p>
        </w:tc>
        <w:tc>
          <w:tcPr>
            <w:tcW w:w="8178" w:type="dxa"/>
            <w:tcBorders>
              <w:bottom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lang w:val="en-US" w:eastAsia="zh-CN"/>
              </w:rPr>
              <w:t>1、</w:t>
            </w:r>
            <w:r>
              <w:rPr>
                <w:rFonts w:hint="default" w:ascii="Times New Roman" w:hAnsi="Times New Roman" w:cs="Times New Roman" w:eastAsiaTheme="minorEastAsia"/>
                <w:b/>
                <w:bCs/>
                <w:color w:val="000000"/>
                <w:sz w:val="24"/>
                <w:szCs w:val="24"/>
              </w:rPr>
              <w:t>环境空气质量现状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（1）常规污染物质量现状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w:t>
            </w:r>
            <w:r>
              <w:rPr>
                <w:rFonts w:hint="default" w:ascii="Times New Roman" w:hAnsi="Times New Roman" w:cs="Times New Roman" w:eastAsiaTheme="minorEastAsia"/>
                <w:color w:val="auto"/>
                <w:sz w:val="24"/>
                <w:szCs w:val="24"/>
                <w:highlight w:val="none"/>
                <w:lang w:eastAsia="zh-CN"/>
              </w:rPr>
              <w:t>南通</w:t>
            </w:r>
            <w:r>
              <w:rPr>
                <w:rFonts w:hint="default" w:ascii="Times New Roman" w:hAnsi="Times New Roman" w:cs="Times New Roman" w:eastAsiaTheme="minorEastAsia"/>
                <w:color w:val="auto"/>
                <w:sz w:val="24"/>
                <w:szCs w:val="24"/>
                <w:highlight w:val="none"/>
              </w:rPr>
              <w:t>市生态环境状况公报（</w:t>
            </w:r>
            <w:r>
              <w:rPr>
                <w:rFonts w:hint="default" w:ascii="Times New Roman" w:hAnsi="Times New Roman" w:cs="Times New Roman" w:eastAsiaTheme="minorEastAsia"/>
                <w:color w:val="auto"/>
                <w:sz w:val="24"/>
                <w:szCs w:val="24"/>
                <w:highlight w:val="none"/>
                <w:lang w:val="en-US" w:eastAsia="zh-CN"/>
              </w:rPr>
              <w:t>2024</w:t>
            </w:r>
            <w:r>
              <w:rPr>
                <w:rFonts w:hint="default" w:ascii="Times New Roman" w:hAnsi="Times New Roman" w:cs="Times New Roman" w:eastAsiaTheme="minorEastAsia"/>
                <w:color w:val="auto"/>
                <w:sz w:val="24"/>
                <w:szCs w:val="24"/>
                <w:highlight w:val="none"/>
              </w:rPr>
              <w:t>）》中的数据，20</w:t>
            </w:r>
            <w:r>
              <w:rPr>
                <w:rFonts w:hint="default"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如皋</w:t>
            </w:r>
            <w:r>
              <w:rPr>
                <w:rFonts w:hint="default" w:ascii="Times New Roman" w:hAnsi="Times New Roman" w:cs="Times New Roman" w:eastAsiaTheme="minorEastAsia"/>
                <w:color w:val="auto"/>
                <w:sz w:val="24"/>
                <w:szCs w:val="24"/>
                <w:highlight w:val="none"/>
              </w:rPr>
              <w:t>市主要空气污染物指标监测结果见表3-1。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表3-1 202</w:t>
            </w: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年</w:t>
            </w:r>
            <w:r>
              <w:rPr>
                <w:rFonts w:hint="default" w:ascii="Times New Roman" w:hAnsi="Times New Roman" w:cs="Times New Roman" w:eastAsiaTheme="minorEastAsia"/>
                <w:b/>
                <w:bCs/>
                <w:color w:val="auto"/>
                <w:sz w:val="24"/>
                <w:szCs w:val="24"/>
                <w:lang w:val="en-US" w:eastAsia="zh-CN"/>
              </w:rPr>
              <w:t>如皋</w:t>
            </w:r>
            <w:r>
              <w:rPr>
                <w:rFonts w:hint="default" w:ascii="Times New Roman" w:hAnsi="Times New Roman" w:cs="Times New Roman" w:eastAsiaTheme="minorEastAsia"/>
                <w:b/>
                <w:bCs/>
                <w:color w:val="auto"/>
                <w:sz w:val="24"/>
                <w:szCs w:val="24"/>
              </w:rPr>
              <w:t>市环境空气主要污染指标</w:t>
            </w:r>
            <w:r>
              <w:rPr>
                <w:rFonts w:hint="default" w:ascii="Times New Roman" w:hAnsi="Times New Roman" w:cs="Times New Roman" w:eastAsiaTheme="minorEastAsia"/>
                <w:b/>
                <w:bCs/>
                <w:color w:val="auto"/>
                <w:sz w:val="24"/>
                <w:szCs w:val="24"/>
                <w:lang w:eastAsia="zh-CN"/>
              </w:rPr>
              <w:t>监测</w:t>
            </w:r>
            <w:r>
              <w:rPr>
                <w:rFonts w:hint="default" w:ascii="Times New Roman" w:hAnsi="Times New Roman" w:cs="Times New Roman" w:eastAsiaTheme="minorEastAsia"/>
                <w:b/>
                <w:bCs/>
                <w:color w:val="auto"/>
                <w:sz w:val="24"/>
                <w:szCs w:val="24"/>
              </w:rPr>
              <w:t>结果</w:t>
            </w:r>
          </w:p>
          <w:p>
            <w:pPr>
              <w:pStyle w:val="35"/>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righ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bCs w:val="0"/>
                <w:snapToGrid w:val="0"/>
                <w:color w:val="auto"/>
                <w:kern w:val="0"/>
                <w:sz w:val="24"/>
                <w:szCs w:val="24"/>
                <w:highlight w:val="none"/>
                <w:lang w:bidi="en-US"/>
              </w:rPr>
              <w:t>单位：μg/m</w:t>
            </w:r>
            <w:r>
              <w:rPr>
                <w:rFonts w:hint="default" w:ascii="Times New Roman" w:hAnsi="Times New Roman" w:cs="Times New Roman" w:eastAsiaTheme="minorEastAsia"/>
                <w:b/>
                <w:bCs w:val="0"/>
                <w:snapToGrid w:val="0"/>
                <w:color w:val="auto"/>
                <w:kern w:val="0"/>
                <w:sz w:val="24"/>
                <w:szCs w:val="24"/>
                <w:highlight w:val="none"/>
                <w:vertAlign w:val="superscript"/>
                <w:lang w:bidi="en-US"/>
              </w:rPr>
              <w:t>3</w:t>
            </w:r>
            <w:r>
              <w:rPr>
                <w:rFonts w:hint="default" w:ascii="Times New Roman" w:hAnsi="Times New Roman" w:cs="Times New Roman" w:eastAsiaTheme="minorEastAsia"/>
                <w:b/>
                <w:bCs w:val="0"/>
                <w:snapToGrid w:val="0"/>
                <w:color w:val="auto"/>
                <w:kern w:val="0"/>
                <w:sz w:val="24"/>
                <w:szCs w:val="24"/>
                <w:highlight w:val="none"/>
                <w:lang w:eastAsia="zh-CN" w:bidi="en-US"/>
              </w:rPr>
              <w:t>（</w:t>
            </w:r>
            <w:r>
              <w:rPr>
                <w:rFonts w:hint="default" w:ascii="Times New Roman" w:hAnsi="Times New Roman" w:cs="Times New Roman" w:eastAsiaTheme="minorEastAsia"/>
                <w:b/>
                <w:bCs w:val="0"/>
                <w:snapToGrid w:val="0"/>
                <w:color w:val="auto"/>
                <w:kern w:val="0"/>
                <w:sz w:val="24"/>
                <w:szCs w:val="24"/>
                <w:highlight w:val="none"/>
                <w:lang w:bidi="en-US"/>
              </w:rPr>
              <w:t>CO为mg/m</w:t>
            </w:r>
            <w:r>
              <w:rPr>
                <w:rFonts w:hint="default" w:ascii="Times New Roman" w:hAnsi="Times New Roman" w:cs="Times New Roman" w:eastAsiaTheme="minorEastAsia"/>
                <w:b/>
                <w:bCs w:val="0"/>
                <w:snapToGrid w:val="0"/>
                <w:color w:val="auto"/>
                <w:kern w:val="0"/>
                <w:sz w:val="24"/>
                <w:szCs w:val="24"/>
                <w:highlight w:val="none"/>
                <w:vertAlign w:val="superscript"/>
                <w:lang w:bidi="en-US"/>
              </w:rPr>
              <w:t>3</w:t>
            </w:r>
            <w:r>
              <w:rPr>
                <w:rFonts w:hint="default" w:ascii="Times New Roman" w:hAnsi="Times New Roman" w:cs="Times New Roman" w:eastAsiaTheme="minorEastAsia"/>
                <w:b/>
                <w:bCs w:val="0"/>
                <w:snapToGrid w:val="0"/>
                <w:color w:val="auto"/>
                <w:kern w:val="0"/>
                <w:sz w:val="24"/>
                <w:szCs w:val="24"/>
                <w:highlight w:val="none"/>
                <w:lang w:eastAsia="zh-CN" w:bidi="en-US"/>
              </w:rPr>
              <w:t>）</w:t>
            </w:r>
          </w:p>
          <w:tbl>
            <w:tblPr>
              <w:tblStyle w:val="26"/>
              <w:tblpPr w:leftFromText="180" w:rightFromText="180" w:vertAnchor="text" w:horzAnchor="margin" w:tblpXSpec="center" w:tblpY="10"/>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579"/>
              <w:gridCol w:w="1155"/>
              <w:gridCol w:w="1076"/>
              <w:gridCol w:w="1154"/>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污染物</w:t>
                  </w:r>
                </w:p>
              </w:tc>
              <w:tc>
                <w:tcPr>
                  <w:tcW w:w="16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年评价指标</w:t>
                  </w:r>
                </w:p>
              </w:tc>
              <w:tc>
                <w:tcPr>
                  <w:tcW w:w="7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现状浓度</w:t>
                  </w:r>
                </w:p>
              </w:tc>
              <w:tc>
                <w:tcPr>
                  <w:tcW w:w="67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标准值</w:t>
                  </w:r>
                </w:p>
              </w:tc>
              <w:tc>
                <w:tcPr>
                  <w:tcW w:w="727"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占标率/%</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年平均质量浓度</w:t>
                  </w:r>
                </w:p>
              </w:tc>
              <w:tc>
                <w:tcPr>
                  <w:tcW w:w="1186"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000000"/>
                      <w:szCs w:val="21"/>
                    </w:rPr>
                    <w:t>9</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cs="Times New Roman"/>
                      <w:szCs w:val="21"/>
                      <w:lang w:val="en-US" w:eastAsia="zh-CN"/>
                    </w:rPr>
                    <w:t>60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szCs w:val="21"/>
                    </w:rPr>
                    <w:t>15</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2</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年平均质量浓度</w:t>
                  </w:r>
                </w:p>
              </w:tc>
              <w:tc>
                <w:tcPr>
                  <w:tcW w:w="11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000000"/>
                      <w:szCs w:val="21"/>
                    </w:rPr>
                    <w:t>18</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cs="Times New Roman"/>
                      <w:szCs w:val="21"/>
                      <w:lang w:val="en-US" w:eastAsia="zh-CN"/>
                    </w:rPr>
                    <w:t>40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szCs w:val="21"/>
                    </w:rPr>
                    <w:t>45</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年平均质量浓度</w:t>
                  </w:r>
                </w:p>
              </w:tc>
              <w:tc>
                <w:tcPr>
                  <w:tcW w:w="11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000000"/>
                      <w:szCs w:val="21"/>
                    </w:rPr>
                    <w:t>49</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cs="Times New Roman"/>
                      <w:szCs w:val="21"/>
                      <w:lang w:val="en-US" w:eastAsia="zh-CN"/>
                    </w:rPr>
                    <w:t>60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szCs w:val="21"/>
                      <w:lang w:val="en-US" w:eastAsia="zh-CN"/>
                    </w:rPr>
                    <w:t>81.7</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vertAlign w:val="subscript"/>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szCs w:val="21"/>
                    </w:rPr>
                    <w:t>年平均质量浓度</w:t>
                  </w:r>
                </w:p>
              </w:tc>
              <w:tc>
                <w:tcPr>
                  <w:tcW w:w="11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color w:val="000000"/>
                      <w:szCs w:val="21"/>
                    </w:rPr>
                    <w:t>31</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cs="Times New Roman"/>
                      <w:szCs w:val="21"/>
                      <w:lang w:val="en-US" w:eastAsia="zh-CN"/>
                    </w:rPr>
                    <w:t>30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szCs w:val="21"/>
                      <w:lang w:val="en-US" w:eastAsia="zh-CN"/>
                    </w:rPr>
                    <w:t>103.3</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rPr>
                  </w:pPr>
                  <w:r>
                    <w:rPr>
                      <w:rFonts w:hint="eastAsia" w:cs="Times New Roman"/>
                      <w:szCs w:val="21"/>
                      <w:lang w:val="en-US" w:eastAsia="zh-CN"/>
                    </w:rPr>
                    <w:t>不</w:t>
                  </w: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CO</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日均值第95分位质量浓度</w:t>
                  </w:r>
                </w:p>
              </w:tc>
              <w:tc>
                <w:tcPr>
                  <w:tcW w:w="11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000000"/>
                      <w:szCs w:val="21"/>
                      <w:lang w:val="en-US" w:eastAsia="zh-CN"/>
                    </w:rPr>
                    <w:t>1200</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szCs w:val="21"/>
                      <w:lang w:val="en-US" w:eastAsia="zh-CN"/>
                    </w:rPr>
                    <w:t>4000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30</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3</w:t>
                  </w:r>
                </w:p>
              </w:tc>
              <w:tc>
                <w:tcPr>
                  <w:tcW w:w="257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8h平均第90分位质量浓度</w:t>
                  </w:r>
                </w:p>
              </w:tc>
              <w:tc>
                <w:tcPr>
                  <w:tcW w:w="11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000000"/>
                      <w:szCs w:val="21"/>
                    </w:rPr>
                    <w:t>152</w:t>
                  </w:r>
                </w:p>
              </w:tc>
              <w:tc>
                <w:tcPr>
                  <w:tcW w:w="11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szCs w:val="21"/>
                      <w:lang w:val="en-US" w:eastAsia="zh-CN"/>
                    </w:rPr>
                    <w:t>160</w:t>
                  </w:r>
                </w:p>
              </w:tc>
              <w:tc>
                <w:tcPr>
                  <w:tcW w:w="118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95</w:t>
                  </w:r>
                </w:p>
              </w:tc>
              <w:tc>
                <w:tcPr>
                  <w:tcW w:w="112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szCs w:val="21"/>
                    </w:rPr>
                    <w:t>达标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eastAsia="宋体" w:cs="Times New Roman"/>
                <w:sz w:val="24"/>
              </w:rPr>
              <w:t>根据《环境影响评价技术导则 大气环境》（HJ2.2-2018），基本项目污染物包括：SO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、CO、O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，当6项污染物全部达标即为城市环境空气质量达标。2024年如皋SO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、CO、O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均能满足《环境空气质量标准》（GB3095-2026）表1中过渡阶段浓度限值二级标准，PM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不能满足《环境空气质量标准》（GB3095-2026）表1中过渡阶段浓度限值二级标准，因此本项目所在区域属于不达标区</w:t>
            </w:r>
            <w:r>
              <w:rPr>
                <w:rFonts w:hint="default" w:ascii="Times New Roman" w:hAnsi="Times New Roman" w:cs="Times New Roman" w:eastAsiaTheme="minorEastAsia"/>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2</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整改措施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highlight w:val="none"/>
                <w:lang w:eastAsia="zh-CN"/>
              </w:rPr>
            </w:pPr>
            <w:r>
              <w:rPr>
                <w:rFonts w:hint="eastAsia"/>
                <w:sz w:val="24"/>
              </w:rPr>
              <w:t>根据《市政府关于印发南通市空气质量持续改善行动计划实施方案的通知》（通政发〔2024〕24号），坚决遏制“两高一低”项目盲目上马，对“两高一低”项目实行清单管理、分类处置、动态监控；加快退出重点行业落后产能；依法依规关停退出淘汰类落后生产工艺装备，推进全市每小时2蒸吨及以下生物质锅炉尽快淘汰；推进园区、产业集群绿色低碳化改造与综合整治；优化含VOCs原辅材料和产品结构。严格控制生产和使用高VOCs含量涂料、油墨、胶粘剂、清洗剂等项目。推进燃煤锅炉关停整合和工业炉窑清洁能源替代。全面开展锅炉和工业炉窑简易低效污染治理设施排查，到2025年，淘汰每小时35蒸吨及以下的燃煤锅炉，基本淘汰茶水炉、经营性炉灶、储粮烘干设备、农产品加工等燃煤设施。原则上不再新建除集中供暖外的燃煤锅炉，不再新增燃料类煤气发生炉。优化交通结构，大力发展绿色运输体系；强化面源污染治理，提升精细化管理水平；强化多污染物减排，切实降低排放强度；加强机制建设，完善大气环境管理体系；加强能力建设，严格执法监督；健全标准规范体系，完善环境经济政策。通过上述措施，我市大气环境质量状况可以得到进一步改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000000"/>
                <w:sz w:val="24"/>
                <w:szCs w:val="24"/>
                <w:lang w:val="en-US" w:eastAsia="zh-CN"/>
              </w:rPr>
              <w:t>特征污染物环境质量现状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vertAlign w:val="baseline"/>
                <w:lang w:val="en-US" w:eastAsia="zh-CN"/>
              </w:rPr>
            </w:pPr>
            <w:r>
              <w:rPr>
                <w:rFonts w:hint="default" w:ascii="Times New Roman" w:hAnsi="Times New Roman" w:cs="Times New Roman" w:eastAsiaTheme="minorEastAsia"/>
                <w:color w:val="auto"/>
                <w:sz w:val="24"/>
                <w:szCs w:val="24"/>
              </w:rPr>
              <w:t>本项目评价因子为非甲烷总烃</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酚类、氯苯类</w:t>
            </w:r>
            <w:r>
              <w:rPr>
                <w:rFonts w:hint="default" w:ascii="Times New Roman" w:hAnsi="Times New Roman" w:cs="Times New Roman" w:eastAsiaTheme="minorEastAsia"/>
                <w:color w:val="auto"/>
                <w:sz w:val="24"/>
                <w:szCs w:val="24"/>
              </w:rPr>
              <w:t>、颗粒物。非甲烷总烃、酚类、氯苯类无国家和地方环境空气质量标准，无需补充监测</w:t>
            </w:r>
            <w:r>
              <w:rPr>
                <w:rFonts w:hint="default" w:ascii="Times New Roman" w:hAnsi="Times New Roman" w:cs="Times New Roman" w:eastAsiaTheme="minorEastAsia"/>
                <w:color w:val="000000"/>
                <w:sz w:val="24"/>
                <w:szCs w:val="24"/>
                <w:vertAlign w:val="baseline"/>
                <w:lang w:val="en-US" w:eastAsia="zh-CN"/>
              </w:rPr>
              <w:t>。TSP相关数据引用《如皋宏阳宇模具制造有限公司年产汽车内饰模具700吨生产项目》中2024.12.2~2024.12.9监测数据，监测点位为董堡村，位于本项目西侧约为</w:t>
            </w:r>
            <w:r>
              <w:rPr>
                <w:rFonts w:hint="eastAsia" w:ascii="Times New Roman" w:hAnsi="Times New Roman" w:cs="Times New Roman" w:eastAsiaTheme="minorEastAsia"/>
                <w:color w:val="000000"/>
                <w:sz w:val="24"/>
                <w:szCs w:val="24"/>
                <w:vertAlign w:val="baseline"/>
                <w:lang w:val="en-US" w:eastAsia="zh-CN"/>
              </w:rPr>
              <w:t>569</w:t>
            </w:r>
            <w:r>
              <w:rPr>
                <w:rFonts w:hint="default" w:ascii="Times New Roman" w:hAnsi="Times New Roman" w:cs="Times New Roman" w:eastAsiaTheme="minorEastAsia"/>
                <w:color w:val="000000"/>
                <w:sz w:val="24"/>
                <w:szCs w:val="24"/>
                <w:vertAlign w:val="baseline"/>
                <w:lang w:val="en-US" w:eastAsia="zh-CN"/>
              </w:rPr>
              <w:t>m，因此引用数据有效。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rPr>
              <w:t>表3-</w:t>
            </w: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 xml:space="preserve"> </w:t>
            </w:r>
            <w:r>
              <w:rPr>
                <w:rFonts w:hint="default" w:ascii="Times New Roman" w:hAnsi="Times New Roman" w:cs="Times New Roman" w:eastAsiaTheme="minorEastAsia"/>
                <w:b/>
                <w:bCs/>
                <w:color w:val="auto"/>
                <w:sz w:val="24"/>
                <w:szCs w:val="24"/>
                <w:lang w:val="en-US" w:eastAsia="zh-CN"/>
              </w:rPr>
              <w:t>大气特征污染物现状数据表</w:t>
            </w:r>
          </w:p>
          <w:tbl>
            <w:tblPr>
              <w:tblStyle w:val="26"/>
              <w:tblpPr w:leftFromText="180" w:rightFromText="180" w:vertAnchor="text" w:horzAnchor="margin" w:tblpXSpec="center" w:tblpY="10"/>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863"/>
              <w:gridCol w:w="1290"/>
              <w:gridCol w:w="1155"/>
              <w:gridCol w:w="1076"/>
              <w:gridCol w:w="1154"/>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监测点位</w:t>
                  </w:r>
                </w:p>
              </w:tc>
              <w:tc>
                <w:tcPr>
                  <w:tcW w:w="54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污染物</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浓度范围（mg/m</w:t>
                  </w:r>
                  <w:r>
                    <w:rPr>
                      <w:rFonts w:hint="default" w:ascii="Times New Roman" w:hAnsi="Times New Roman" w:cs="Times New Roman" w:eastAsiaTheme="minorEastAsia"/>
                      <w:b/>
                      <w:color w:val="auto"/>
                      <w:sz w:val="21"/>
                      <w:szCs w:val="21"/>
                      <w:highlight w:val="none"/>
                      <w:vertAlign w:val="superscript"/>
                      <w:lang w:val="en-US" w:eastAsia="zh-CN"/>
                    </w:rPr>
                    <w:t>3</w:t>
                  </w:r>
                  <w:r>
                    <w:rPr>
                      <w:rFonts w:hint="default" w:ascii="Times New Roman" w:hAnsi="Times New Roman" w:cs="Times New Roman" w:eastAsiaTheme="minorEastAsia"/>
                      <w:b/>
                      <w:color w:val="auto"/>
                      <w:sz w:val="21"/>
                      <w:szCs w:val="21"/>
                      <w:highlight w:val="none"/>
                      <w:lang w:val="en-US" w:eastAsia="zh-CN"/>
                    </w:rPr>
                    <w:t>）</w:t>
                  </w:r>
                </w:p>
              </w:tc>
              <w:tc>
                <w:tcPr>
                  <w:tcW w:w="7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评价标准（mg/m</w:t>
                  </w:r>
                  <w:r>
                    <w:rPr>
                      <w:rFonts w:hint="default" w:ascii="Times New Roman" w:hAnsi="Times New Roman" w:cs="Times New Roman" w:eastAsiaTheme="minorEastAsia"/>
                      <w:b/>
                      <w:color w:val="auto"/>
                      <w:sz w:val="21"/>
                      <w:szCs w:val="21"/>
                      <w:highlight w:val="none"/>
                      <w:vertAlign w:val="superscript"/>
                      <w:lang w:val="en-US" w:eastAsia="zh-CN"/>
                    </w:rPr>
                    <w:t>3</w:t>
                  </w:r>
                  <w:r>
                    <w:rPr>
                      <w:rFonts w:hint="default" w:ascii="Times New Roman" w:hAnsi="Times New Roman" w:cs="Times New Roman" w:eastAsiaTheme="minorEastAsia"/>
                      <w:b/>
                      <w:color w:val="auto"/>
                      <w:sz w:val="21"/>
                      <w:szCs w:val="21"/>
                      <w:highlight w:val="none"/>
                      <w:lang w:val="en-US" w:eastAsia="zh-CN"/>
                    </w:rPr>
                    <w:t>）</w:t>
                  </w:r>
                </w:p>
              </w:tc>
              <w:tc>
                <w:tcPr>
                  <w:tcW w:w="67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最大占标率（%）</w:t>
                  </w:r>
                </w:p>
              </w:tc>
              <w:tc>
                <w:tcPr>
                  <w:tcW w:w="727"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超标率（%）</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Cs w:val="21"/>
                      <w:highlight w:val="none"/>
                      <w:lang w:val="en-US" w:eastAsia="zh-CN"/>
                    </w:rPr>
                    <w:t>董堡村</w:t>
                  </w:r>
                </w:p>
              </w:tc>
              <w:tc>
                <w:tcPr>
                  <w:tcW w:w="54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TSP</w:t>
                  </w:r>
                </w:p>
              </w:tc>
              <w:tc>
                <w:tcPr>
                  <w:tcW w:w="81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0.161~0.195</w:t>
                  </w:r>
                </w:p>
              </w:tc>
              <w:tc>
                <w:tcPr>
                  <w:tcW w:w="728" w:type="pct"/>
                  <w:tcBorders>
                    <w:tl2br w:val="nil"/>
                    <w:tr2bl w:val="nil"/>
                  </w:tcBorders>
                  <w:noWrap w:val="0"/>
                  <w:vAlign w:val="center"/>
                </w:tcPr>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0.3</w:t>
                  </w:r>
                </w:p>
              </w:tc>
              <w:tc>
                <w:tcPr>
                  <w:tcW w:w="678" w:type="pct"/>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65</w:t>
                  </w:r>
                </w:p>
              </w:tc>
              <w:tc>
                <w:tcPr>
                  <w:tcW w:w="727" w:type="pct"/>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c>
                <w:tcPr>
                  <w:tcW w:w="70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000000"/>
                <w:sz w:val="24"/>
                <w:szCs w:val="24"/>
              </w:rPr>
            </w:pPr>
            <w:r>
              <w:rPr>
                <w:rFonts w:hint="default" w:ascii="Times New Roman" w:hAnsi="Times New Roman" w:cs="Times New Roman" w:eastAsiaTheme="minorEastAsia"/>
                <w:b w:val="0"/>
                <w:bCs w:val="0"/>
                <w:color w:val="000000"/>
                <w:sz w:val="24"/>
                <w:szCs w:val="24"/>
              </w:rPr>
              <w:t>监测结果表明，项目所在地大气环境质量较好，TSP满足《环境空气质量标准》GB3095-2012)及其修改单中二级标准。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eastAsiaTheme="minorEastAsia"/>
                <w:b w:val="0"/>
                <w:bCs w:val="0"/>
                <w:color w:val="000000"/>
                <w:sz w:val="24"/>
                <w:szCs w:val="24"/>
                <w:lang w:val="en-US" w:eastAsia="zh-CN"/>
              </w:rPr>
            </w:pPr>
            <w:r>
              <w:rPr>
                <w:rFonts w:hint="default"/>
              </w:rPr>
              <w:drawing>
                <wp:inline distT="0" distB="0" distL="114300" distR="114300">
                  <wp:extent cx="5055235" cy="2856230"/>
                  <wp:effectExtent l="0" t="0" r="12065"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055235" cy="285623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2</w:t>
            </w:r>
            <w:r>
              <w:rPr>
                <w:rFonts w:hint="default"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auto"/>
                <w:sz w:val="24"/>
                <w:szCs w:val="24"/>
              </w:rPr>
              <w:t>根据《202</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年度南通市生态环境状况公报》，南通市共有16个国家考核断面，均达到或优于《地表水环境质量标准》（GB3838-2002）Ⅲ类标准。55个省考以上断面中，</w:t>
            </w:r>
            <w:r>
              <w:rPr>
                <w:rFonts w:hint="default" w:ascii="Times New Roman" w:hAnsi="Times New Roman" w:cs="Times New Roman" w:eastAsiaTheme="minorEastAsia"/>
                <w:color w:val="auto"/>
                <w:sz w:val="24"/>
              </w:rPr>
              <w:t>九圩港桥</w:t>
            </w:r>
            <w:r>
              <w:rPr>
                <w:rFonts w:hint="default" w:ascii="Times New Roman" w:hAnsi="Times New Roman" w:cs="Times New Roman" w:eastAsiaTheme="minorEastAsia"/>
                <w:color w:val="auto"/>
                <w:sz w:val="24"/>
                <w:szCs w:val="24"/>
              </w:rPr>
              <w:t>、聚南大桥、营船港闸、通吕二号桥等1</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个断面水质符合Ⅱ类标准，孙窑大桥、</w:t>
            </w:r>
            <w:r>
              <w:rPr>
                <w:rFonts w:hint="default" w:ascii="Times New Roman" w:hAnsi="Times New Roman" w:cs="Times New Roman" w:eastAsiaTheme="minorEastAsia"/>
                <w:color w:val="auto"/>
                <w:sz w:val="24"/>
              </w:rPr>
              <w:t>碾砣港闸、勇敢大桥、东方大道桥、城港路桥</w:t>
            </w:r>
            <w:r>
              <w:rPr>
                <w:rFonts w:hint="default" w:ascii="Times New Roman" w:hAnsi="Times New Roman" w:cs="Times New Roman" w:eastAsiaTheme="minorEastAsia"/>
                <w:color w:val="auto"/>
                <w:sz w:val="24"/>
                <w:szCs w:val="24"/>
              </w:rPr>
              <w:t>等3</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个断面水质符合Ⅲ类标准，优Ⅲ类比例100%，无Ⅴ类和劣Ⅴ类断面</w:t>
            </w:r>
            <w:r>
              <w:rPr>
                <w:rFonts w:hint="default" w:ascii="Times New Roman" w:hAnsi="Times New Roman" w:cs="Times New Roman" w:eastAsiaTheme="minorEastAsia"/>
                <w:color w:val="000000"/>
                <w:sz w:val="24"/>
                <w:szCs w:val="24"/>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3</w:t>
            </w:r>
            <w:r>
              <w:rPr>
                <w:rFonts w:hint="default"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声环境质量现状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本项目厂界外周边50m范围内无环境敏感点，不开展声环境质量现状调查。</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4、生态环境</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本项目利用现有厂房，无新增用地，不开展</w:t>
            </w:r>
            <w:r>
              <w:rPr>
                <w:rFonts w:hint="default" w:ascii="Times New Roman" w:hAnsi="Times New Roman" w:cs="Times New Roman" w:eastAsiaTheme="minorEastAsia"/>
                <w:color w:val="000000"/>
                <w:sz w:val="24"/>
                <w:szCs w:val="24"/>
              </w:rPr>
              <w:t>生态环境</w:t>
            </w:r>
            <w:r>
              <w:rPr>
                <w:rFonts w:hint="default" w:ascii="Times New Roman" w:hAnsi="Times New Roman" w:cs="Times New Roman" w:eastAsiaTheme="minorEastAsia"/>
                <w:color w:val="000000"/>
                <w:sz w:val="24"/>
                <w:szCs w:val="24"/>
                <w:lang w:eastAsia="zh-CN"/>
              </w:rPr>
              <w:t>现状</w:t>
            </w:r>
            <w:r>
              <w:rPr>
                <w:rFonts w:hint="default" w:ascii="Times New Roman" w:hAnsi="Times New Roman" w:cs="Times New Roman" w:eastAsiaTheme="minorEastAsia"/>
                <w:color w:val="000000"/>
                <w:sz w:val="24"/>
                <w:szCs w:val="24"/>
              </w:rPr>
              <w:t>调查</w:t>
            </w:r>
            <w:r>
              <w:rPr>
                <w:rFonts w:hint="default" w:ascii="Times New Roman" w:hAnsi="Times New Roman" w:cs="Times New Roman" w:eastAsiaTheme="minorEastAsia"/>
                <w:color w:val="000000"/>
                <w:sz w:val="24"/>
                <w:szCs w:val="24"/>
                <w:lang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5、电磁辐射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本项目不涉及电磁辐射内容。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6、地下水、土壤环境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sz w:val="24"/>
                <w:szCs w:val="24"/>
                <w:lang w:val="en-US" w:eastAsia="zh-CN"/>
              </w:rPr>
              <w:t>土壤环境执行《土壤环境质量 建设用地土壤污染风险管控标准（试行）》（GB36600-2018），地下水环境执行《地下水质量标准》（GB/T14848-2017）。企业危废仓库、事故应急池均为重点防渗区，地面均防腐、防渗，本项目不存在土壤、地下水环境污染途径，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r>
              <w:rPr>
                <w:rFonts w:hint="default" w:ascii="Times New Roman" w:hAnsi="Times New Roman" w:cs="Times New Roman" w:eastAsiaTheme="minorEastAsia"/>
                <w:b/>
                <w:bCs/>
                <w:color w:val="000000"/>
                <w:kern w:val="0"/>
                <w:szCs w:val="21"/>
              </w:rPr>
              <w:t>目标</w:t>
            </w:r>
          </w:p>
        </w:tc>
        <w:tc>
          <w:tcPr>
            <w:tcW w:w="8178" w:type="dxa"/>
            <w:tcBorders>
              <w:top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1、大气环境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lang w:val="en-US" w:eastAsia="zh-CN"/>
              </w:rPr>
              <w:t>本项目所在地环境空气属于二类功能区，应按照《环境空气质量标准》（GB3095-2012）及其修改单中的二级标准来保护项目所在区域的环境空气质量，项目厂界外500m范围内的大气环境保护目标见表3-3。</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表3-</w:t>
            </w:r>
            <w:r>
              <w:rPr>
                <w:rFonts w:hint="default" w:ascii="Times New Roman" w:hAnsi="Times New Roman" w:cs="Times New Roman" w:eastAsiaTheme="minorEastAsia"/>
                <w:b/>
                <w:bCs/>
                <w:color w:val="000000"/>
                <w:sz w:val="24"/>
                <w:szCs w:val="24"/>
                <w:lang w:val="en-US" w:eastAsia="zh-CN"/>
              </w:rPr>
              <w:t>3</w:t>
            </w:r>
            <w:r>
              <w:rPr>
                <w:rFonts w:hint="default" w:ascii="Times New Roman" w:hAnsi="Times New Roman" w:cs="Times New Roman" w:eastAsiaTheme="minorEastAsia"/>
                <w:b/>
                <w:bCs/>
                <w:color w:val="000000"/>
                <w:sz w:val="24"/>
                <w:szCs w:val="24"/>
              </w:rPr>
              <w:t xml:space="preserve">  </w:t>
            </w:r>
            <w:r>
              <w:rPr>
                <w:rFonts w:hint="default" w:ascii="Times New Roman" w:hAnsi="Times New Roman" w:cs="Times New Roman" w:eastAsiaTheme="minorEastAsia"/>
                <w:b/>
                <w:bCs/>
                <w:color w:val="000000"/>
                <w:sz w:val="24"/>
                <w:szCs w:val="24"/>
                <w:lang w:eastAsia="zh-CN"/>
              </w:rPr>
              <w:t>本</w:t>
            </w:r>
            <w:r>
              <w:rPr>
                <w:rFonts w:hint="default" w:ascii="Times New Roman" w:hAnsi="Times New Roman" w:cs="Times New Roman" w:eastAsiaTheme="minorEastAsia"/>
                <w:b/>
                <w:bCs/>
                <w:color w:val="000000"/>
                <w:sz w:val="24"/>
                <w:szCs w:val="24"/>
              </w:rPr>
              <w:t>项目主要环境保护目标</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003"/>
              <w:gridCol w:w="984"/>
              <w:gridCol w:w="716"/>
              <w:gridCol w:w="1070"/>
              <w:gridCol w:w="778"/>
              <w:gridCol w:w="843"/>
              <w:gridCol w:w="1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名称</w:t>
                  </w:r>
                </w:p>
              </w:tc>
              <w:tc>
                <w:tcPr>
                  <w:tcW w:w="1252" w:type="pct"/>
                  <w:gridSpan w:val="2"/>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名称</w:t>
                  </w:r>
                </w:p>
              </w:tc>
              <w:tc>
                <w:tcPr>
                  <w:tcW w:w="451"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保护对象</w:t>
                  </w:r>
                </w:p>
              </w:tc>
              <w:tc>
                <w:tcPr>
                  <w:tcW w:w="674"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保护内容</w:t>
                  </w:r>
                </w:p>
              </w:tc>
              <w:tc>
                <w:tcPr>
                  <w:tcW w:w="490"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环境功能区</w:t>
                  </w:r>
                </w:p>
              </w:tc>
              <w:tc>
                <w:tcPr>
                  <w:tcW w:w="531"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相对厂址方向</w:t>
                  </w:r>
                </w:p>
              </w:tc>
              <w:tc>
                <w:tcPr>
                  <w:tcW w:w="786" w:type="pct"/>
                  <w:vMerge w:val="restar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632"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X</w:t>
                  </w:r>
                </w:p>
              </w:tc>
              <w:tc>
                <w:tcPr>
                  <w:tcW w:w="619"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Y</w:t>
                  </w:r>
                </w:p>
              </w:tc>
              <w:tc>
                <w:tcPr>
                  <w:tcW w:w="451"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674"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490"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531"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786" w:type="pct"/>
                  <w:vMerge w:val="continue"/>
                  <w:tcBorders>
                    <w:tl2br w:val="nil"/>
                    <w:tr2bl w:val="nil"/>
                  </w:tcBorders>
                  <w:noWrap w:val="0"/>
                  <w:vAlign w:val="center"/>
                </w:tcPr>
                <w:p>
                  <w:pPr>
                    <w:keepNext w:val="0"/>
                    <w:keepLines w:val="0"/>
                    <w:pageBreakBefore w:val="0"/>
                    <w:widowControl/>
                    <w:suppressLineNumbers w:val="0"/>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bCs/>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宗家庄</w:t>
                  </w:r>
                </w:p>
              </w:tc>
              <w:tc>
                <w:tcPr>
                  <w:tcW w:w="63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120°32′0.334″</w:t>
                  </w:r>
                </w:p>
              </w:tc>
              <w:tc>
                <w:tcPr>
                  <w:tcW w:w="61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32°17′8.101″</w:t>
                  </w:r>
                </w:p>
              </w:tc>
              <w:tc>
                <w:tcPr>
                  <w:tcW w:w="451" w:type="pct"/>
                  <w:vMerge w:val="restar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村庄</w:t>
                  </w:r>
                </w:p>
              </w:tc>
              <w:tc>
                <w:tcPr>
                  <w:tcW w:w="674"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居民</w:t>
                  </w:r>
                </w:p>
              </w:tc>
              <w:tc>
                <w:tcPr>
                  <w:tcW w:w="490" w:type="pct"/>
                  <w:vMerge w:val="restar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val="en-US" w:eastAsia="zh-CN"/>
                    </w:rPr>
                    <w:t>2</w:t>
                  </w:r>
                  <w:r>
                    <w:rPr>
                      <w:rFonts w:hint="default" w:ascii="Times New Roman" w:hAnsi="Times New Roman" w:cs="Times New Roman" w:eastAsiaTheme="minorEastAsia"/>
                      <w:color w:val="000000"/>
                      <w:sz w:val="21"/>
                      <w:szCs w:val="21"/>
                      <w:lang w:eastAsia="zh-CN"/>
                    </w:rPr>
                    <w:t>类区</w:t>
                  </w:r>
                </w:p>
              </w:tc>
              <w:tc>
                <w:tcPr>
                  <w:tcW w:w="531"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北</w:t>
                  </w:r>
                </w:p>
              </w:tc>
              <w:tc>
                <w:tcPr>
                  <w:tcW w:w="786"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70</w:t>
                  </w:r>
                  <w:r>
                    <w:rPr>
                      <w:rFonts w:hint="default" w:ascii="Times New Roman" w:hAnsi="Times New Roman" w:cs="Times New Roman" w:eastAsiaTheme="minorEastAsia"/>
                      <w:color w:val="000000"/>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漕田村</w:t>
                  </w:r>
                </w:p>
              </w:tc>
              <w:tc>
                <w:tcPr>
                  <w:tcW w:w="63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120°32′10.530″</w:t>
                  </w:r>
                </w:p>
              </w:tc>
              <w:tc>
                <w:tcPr>
                  <w:tcW w:w="61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32°17′13.045″</w:t>
                  </w:r>
                </w:p>
              </w:tc>
              <w:tc>
                <w:tcPr>
                  <w:tcW w:w="451"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eastAsia="zh-CN"/>
                    </w:rPr>
                  </w:pPr>
                </w:p>
              </w:tc>
              <w:tc>
                <w:tcPr>
                  <w:tcW w:w="674"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居民</w:t>
                  </w:r>
                </w:p>
              </w:tc>
              <w:tc>
                <w:tcPr>
                  <w:tcW w:w="490"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p>
              </w:tc>
              <w:tc>
                <w:tcPr>
                  <w:tcW w:w="531"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东北</w:t>
                  </w:r>
                </w:p>
              </w:tc>
              <w:tc>
                <w:tcPr>
                  <w:tcW w:w="786"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284</w:t>
                  </w:r>
                  <w:r>
                    <w:rPr>
                      <w:rFonts w:hint="default" w:ascii="Times New Roman" w:hAnsi="Times New Roman" w:cs="Times New Roman" w:eastAsiaTheme="minorEastAsia"/>
                      <w:color w:val="000000"/>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董堡村①</w:t>
                  </w:r>
                </w:p>
              </w:tc>
              <w:tc>
                <w:tcPr>
                  <w:tcW w:w="63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120°31′45.734″</w:t>
                  </w:r>
                </w:p>
              </w:tc>
              <w:tc>
                <w:tcPr>
                  <w:tcW w:w="61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32°17′4.316″</w:t>
                  </w:r>
                </w:p>
              </w:tc>
              <w:tc>
                <w:tcPr>
                  <w:tcW w:w="451"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eastAsia="zh-CN"/>
                    </w:rPr>
                  </w:pPr>
                </w:p>
              </w:tc>
              <w:tc>
                <w:tcPr>
                  <w:tcW w:w="674"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居民</w:t>
                  </w:r>
                </w:p>
              </w:tc>
              <w:tc>
                <w:tcPr>
                  <w:tcW w:w="490"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p>
              </w:tc>
              <w:tc>
                <w:tcPr>
                  <w:tcW w:w="531"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西</w:t>
                  </w:r>
                </w:p>
              </w:tc>
              <w:tc>
                <w:tcPr>
                  <w:tcW w:w="786"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366</w:t>
                  </w:r>
                  <w:r>
                    <w:rPr>
                      <w:rFonts w:hint="default" w:ascii="Times New Roman" w:hAnsi="Times New Roman" w:cs="Times New Roman" w:eastAsiaTheme="minorEastAsia"/>
                      <w:color w:val="000000"/>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董堡村②</w:t>
                  </w:r>
                </w:p>
              </w:tc>
              <w:tc>
                <w:tcPr>
                  <w:tcW w:w="63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120°32′5.934″</w:t>
                  </w:r>
                </w:p>
              </w:tc>
              <w:tc>
                <w:tcPr>
                  <w:tcW w:w="61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32°16′54.853″</w:t>
                  </w:r>
                </w:p>
              </w:tc>
              <w:tc>
                <w:tcPr>
                  <w:tcW w:w="451"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674"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居民</w:t>
                  </w:r>
                </w:p>
              </w:tc>
              <w:tc>
                <w:tcPr>
                  <w:tcW w:w="490"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531"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南</w:t>
                  </w:r>
                </w:p>
              </w:tc>
              <w:tc>
                <w:tcPr>
                  <w:tcW w:w="786"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181</w:t>
                  </w:r>
                  <w:r>
                    <w:rPr>
                      <w:rFonts w:hint="default" w:ascii="Times New Roman" w:hAnsi="Times New Roman" w:cs="Times New Roman" w:eastAsiaTheme="minorEastAsia"/>
                      <w:color w:val="000000"/>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邓家庄</w:t>
                  </w:r>
                </w:p>
              </w:tc>
              <w:tc>
                <w:tcPr>
                  <w:tcW w:w="632" w:type="pc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120°32′16.710″</w:t>
                  </w:r>
                </w:p>
              </w:tc>
              <w:tc>
                <w:tcPr>
                  <w:tcW w:w="619" w:type="pct"/>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32°16′59.681″</w:t>
                  </w:r>
                </w:p>
              </w:tc>
              <w:tc>
                <w:tcPr>
                  <w:tcW w:w="451"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674" w:type="pct"/>
                  <w:tcBorders>
                    <w:tl2br w:val="nil"/>
                    <w:tr2bl w:val="nil"/>
                  </w:tcBorders>
                  <w:noWrap w:val="0"/>
                  <w:vAlign w:val="center"/>
                </w:tcPr>
                <w:p>
                  <w:pPr>
                    <w:keepNext w:val="0"/>
                    <w:keepLines w:val="0"/>
                    <w:pageBreakBefore w:val="0"/>
                    <w:suppressLineNumbers w:val="0"/>
                    <w:tabs>
                      <w:tab w:val="left" w:pos="1021"/>
                    </w:tabs>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居民</w:t>
                  </w:r>
                </w:p>
              </w:tc>
              <w:tc>
                <w:tcPr>
                  <w:tcW w:w="490" w:type="pct"/>
                  <w:vMerge w:val="continue"/>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531"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东南</w:t>
                  </w:r>
                </w:p>
              </w:tc>
              <w:tc>
                <w:tcPr>
                  <w:tcW w:w="786" w:type="pct"/>
                  <w:tcBorders>
                    <w:tl2br w:val="nil"/>
                    <w:tr2bl w:val="nil"/>
                  </w:tcBorders>
                  <w:noWrap w:val="0"/>
                  <w:vAlign w:val="center"/>
                </w:tcPr>
                <w:p>
                  <w:pPr>
                    <w:keepNext w:val="0"/>
                    <w:keepLines w:val="0"/>
                    <w:pageBreakBefore w:val="0"/>
                    <w:suppressLineNumbers w:val="0"/>
                    <w:topLinePunct w:val="0"/>
                    <w:autoSpaceDE/>
                    <w:autoSpaceDN/>
                    <w:bidi w:val="0"/>
                    <w:adjustRightInd w:val="0"/>
                    <w:snapToGrid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310</w:t>
                  </w:r>
                  <w:r>
                    <w:rPr>
                      <w:rFonts w:hint="default" w:ascii="Times New Roman" w:hAnsi="Times New Roman" w:cs="Times New Roman" w:eastAsiaTheme="minorEastAsia"/>
                      <w:color w:val="000000"/>
                      <w:kern w:val="2"/>
                      <w:sz w:val="21"/>
                      <w:szCs w:val="21"/>
                      <w:lang w:val="en-US" w:eastAsia="zh-CN" w:bidi="ar-SA"/>
                    </w:rPr>
                    <w:t>m</w:t>
                  </w: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地表水</w:t>
            </w:r>
            <w:r>
              <w:rPr>
                <w:rFonts w:hint="default" w:ascii="Times New Roman" w:hAnsi="Times New Roman" w:cs="Times New Roman" w:eastAsiaTheme="minorEastAsia"/>
                <w:b/>
                <w:bCs/>
                <w:color w:val="auto"/>
                <w:sz w:val="24"/>
                <w:szCs w:val="24"/>
              </w:rPr>
              <w:t>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项目周边500m</w:t>
            </w:r>
            <w:r>
              <w:rPr>
                <w:rFonts w:hint="default" w:ascii="Times New Roman" w:hAnsi="Times New Roman" w:cs="Times New Roman" w:eastAsiaTheme="minorEastAsia"/>
                <w:color w:val="auto"/>
                <w:sz w:val="24"/>
                <w:szCs w:val="24"/>
                <w:lang w:val="en-US" w:eastAsia="zh-CN"/>
              </w:rPr>
              <w:t>地表水</w:t>
            </w:r>
            <w:r>
              <w:rPr>
                <w:rFonts w:hint="default" w:ascii="Times New Roman" w:hAnsi="Times New Roman" w:cs="Times New Roman" w:eastAsiaTheme="minorEastAsia"/>
                <w:color w:val="auto"/>
                <w:sz w:val="24"/>
                <w:szCs w:val="24"/>
              </w:rPr>
              <w:t>环境敏感目标见表3-</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sz w:val="24"/>
                <w:szCs w:val="24"/>
              </w:rPr>
              <w:t>表3-</w:t>
            </w:r>
            <w:r>
              <w:rPr>
                <w:rFonts w:hint="default" w:ascii="Times New Roman" w:hAnsi="Times New Roman" w:cs="Times New Roman" w:eastAsiaTheme="minorEastAsia"/>
                <w:b/>
                <w:color w:val="auto"/>
                <w:sz w:val="24"/>
                <w:szCs w:val="24"/>
                <w:lang w:val="en-US" w:eastAsia="zh-CN"/>
              </w:rPr>
              <w:t>4 地表水</w:t>
            </w:r>
            <w:r>
              <w:rPr>
                <w:rFonts w:hint="default" w:ascii="Times New Roman" w:hAnsi="Times New Roman" w:cs="Times New Roman" w:eastAsiaTheme="minorEastAsia"/>
                <w:b/>
                <w:color w:val="auto"/>
                <w:sz w:val="24"/>
                <w:szCs w:val="24"/>
              </w:rPr>
              <w:t>环境保护目标一览表</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46"/>
              <w:gridCol w:w="1573"/>
              <w:gridCol w:w="2581"/>
              <w:gridCol w:w="713"/>
              <w:gridCol w:w="7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2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名称</w:t>
                  </w:r>
                </w:p>
              </w:tc>
              <w:tc>
                <w:tcPr>
                  <w:tcW w:w="53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规模</w:t>
                  </w:r>
                </w:p>
              </w:tc>
              <w:tc>
                <w:tcPr>
                  <w:tcW w:w="99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保护内容</w:t>
                  </w:r>
                </w:p>
              </w:tc>
              <w:tc>
                <w:tcPr>
                  <w:tcW w:w="162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环境功能区</w:t>
                  </w:r>
                </w:p>
              </w:tc>
              <w:tc>
                <w:tcPr>
                  <w:tcW w:w="44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相对厂址方向</w:t>
                  </w:r>
                </w:p>
              </w:tc>
              <w:tc>
                <w:tcPr>
                  <w:tcW w:w="47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val="en-US" w:eastAsia="zh-CN"/>
                    </w:rPr>
                    <w:t>红星</w:t>
                  </w:r>
                  <w:r>
                    <w:rPr>
                      <w:rFonts w:hint="default" w:ascii="Times New Roman" w:hAnsi="Times New Roman" w:cs="Times New Roman" w:eastAsiaTheme="minorEastAsia"/>
                      <w:color w:val="auto"/>
                      <w:szCs w:val="21"/>
                      <w:lang w:val="en-US" w:eastAsia="zh-CN"/>
                    </w:rPr>
                    <w:t>河（雨水接纳水体）</w:t>
                  </w:r>
                </w:p>
              </w:tc>
              <w:tc>
                <w:tcPr>
                  <w:tcW w:w="53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小河</w:t>
                  </w:r>
                </w:p>
              </w:tc>
              <w:tc>
                <w:tcPr>
                  <w:tcW w:w="991" w:type="pct"/>
                  <w:tcBorders>
                    <w:tl2br w:val="nil"/>
                    <w:tr2bl w:val="nil"/>
                  </w:tcBorders>
                  <w:noWrap w:val="0"/>
                  <w:vAlign w:val="center"/>
                </w:tcPr>
                <w:p>
                  <w:pPr>
                    <w:keepNext w:val="0"/>
                    <w:keepLines w:val="0"/>
                    <w:suppressLineNumbers w:val="0"/>
                    <w:tabs>
                      <w:tab w:val="left" w:pos="1021"/>
                    </w:tabs>
                    <w:spacing w:before="100" w:beforeAutospacing="1" w:after="100" w:afterAutospacing="1"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地表水环境</w:t>
                  </w:r>
                </w:p>
              </w:tc>
              <w:tc>
                <w:tcPr>
                  <w:tcW w:w="162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Cs w:val="21"/>
                    </w:rPr>
                    <w:t>《地表水环境质量标准》（GB3838-2002）</w:t>
                  </w:r>
                  <w:r>
                    <w:rPr>
                      <w:rFonts w:hint="default" w:ascii="Times New Roman" w:hAnsi="Times New Roman" w:cs="Times New Roman" w:eastAsiaTheme="minorEastAsia"/>
                      <w:bCs/>
                      <w:color w:val="auto"/>
                      <w:szCs w:val="21"/>
                      <w:lang w:val="en-US" w:eastAsia="zh-CN"/>
                    </w:rPr>
                    <w:t>Ⅲ</w:t>
                  </w:r>
                  <w:r>
                    <w:rPr>
                      <w:rFonts w:hint="default" w:ascii="Times New Roman" w:hAnsi="Times New Roman" w:cs="Times New Roman" w:eastAsiaTheme="minorEastAsia"/>
                      <w:bCs/>
                      <w:color w:val="auto"/>
                      <w:szCs w:val="21"/>
                    </w:rPr>
                    <w:t>类标</w:t>
                  </w:r>
                  <w:r>
                    <w:rPr>
                      <w:rFonts w:hint="default" w:ascii="Times New Roman" w:hAnsi="Times New Roman" w:cs="Times New Roman" w:eastAsiaTheme="minorEastAsia"/>
                      <w:bCs/>
                      <w:color w:val="auto"/>
                      <w:szCs w:val="21"/>
                      <w:lang w:val="en-US" w:eastAsia="zh-CN"/>
                    </w:rPr>
                    <w:t>准</w:t>
                  </w:r>
                </w:p>
              </w:tc>
              <w:tc>
                <w:tcPr>
                  <w:tcW w:w="44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lang w:val="en-US" w:eastAsia="zh-CN"/>
                    </w:rPr>
                    <w:t>南</w:t>
                  </w:r>
                </w:p>
              </w:tc>
              <w:tc>
                <w:tcPr>
                  <w:tcW w:w="47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228</w:t>
                  </w:r>
                  <w:r>
                    <w:rPr>
                      <w:rFonts w:hint="default" w:ascii="Times New Roman" w:hAnsi="Times New Roman" w:cs="Times New Roman" w:eastAsiaTheme="minorEastAsia"/>
                      <w:color w:val="auto"/>
                      <w:szCs w:val="21"/>
                      <w:lang w:val="en-US" w:eastAsia="zh-CN"/>
                    </w:rPr>
                    <w:t>m</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2、声环境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kern w:val="0"/>
                <w:sz w:val="24"/>
                <w:szCs w:val="24"/>
                <w:lang w:val="en-US" w:eastAsia="zh-CN"/>
              </w:rPr>
            </w:pPr>
            <w:r>
              <w:rPr>
                <w:rFonts w:hint="default" w:ascii="Times New Roman" w:hAnsi="Times New Roman" w:cs="Times New Roman" w:eastAsiaTheme="minorEastAsia"/>
                <w:color w:val="000000"/>
                <w:kern w:val="0"/>
                <w:sz w:val="24"/>
                <w:szCs w:val="24"/>
                <w:lang w:val="en-US" w:eastAsia="zh-CN"/>
              </w:rPr>
              <w:t>本项目厂界周边50m范围内无环境敏感目标。</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eastAsiaTheme="minorEastAsia"/>
                <w:b/>
                <w:bCs/>
                <w:color w:val="000000"/>
                <w:kern w:val="0"/>
                <w:sz w:val="24"/>
                <w:szCs w:val="24"/>
                <w:lang w:val="en-US" w:eastAsia="zh-CN"/>
              </w:rPr>
            </w:pPr>
            <w:r>
              <w:rPr>
                <w:rFonts w:hint="default" w:ascii="Times New Roman" w:hAnsi="Times New Roman" w:cs="Times New Roman" w:eastAsiaTheme="minorEastAsia"/>
                <w:b/>
                <w:bCs/>
                <w:color w:val="000000"/>
                <w:kern w:val="0"/>
                <w:sz w:val="24"/>
                <w:szCs w:val="24"/>
                <w:lang w:val="en-US" w:eastAsia="zh-CN"/>
              </w:rPr>
              <w:t>3、地下水环境</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cs="Times New Roman" w:eastAsiaTheme="minorEastAsia"/>
                <w:color w:val="000000"/>
                <w:kern w:val="0"/>
                <w:sz w:val="24"/>
                <w:szCs w:val="24"/>
                <w:lang w:val="en-US" w:eastAsia="zh-CN"/>
              </w:rPr>
            </w:pPr>
            <w:r>
              <w:rPr>
                <w:rFonts w:hint="default" w:ascii="Times New Roman" w:hAnsi="Times New Roman" w:cs="Times New Roman" w:eastAsiaTheme="minorEastAsia"/>
                <w:color w:val="000000"/>
                <w:kern w:val="0"/>
                <w:sz w:val="24"/>
                <w:szCs w:val="24"/>
                <w:lang w:val="en-US" w:eastAsia="zh-CN"/>
              </w:rPr>
              <w:t>本项目厂界外500米范围内无地下水集中式饮用水水源和热水、矿泉水、温泉等特殊地下水资源。</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eastAsiaTheme="minorEastAsia"/>
                <w:b/>
                <w:bCs/>
                <w:color w:val="000000"/>
                <w:kern w:val="0"/>
                <w:sz w:val="24"/>
                <w:szCs w:val="24"/>
                <w:lang w:val="en-US" w:eastAsia="zh-CN"/>
              </w:rPr>
            </w:pPr>
            <w:r>
              <w:rPr>
                <w:rFonts w:hint="default" w:ascii="Times New Roman" w:hAnsi="Times New Roman" w:cs="Times New Roman" w:eastAsiaTheme="minorEastAsia"/>
                <w:b/>
                <w:bCs/>
                <w:color w:val="000000"/>
                <w:kern w:val="0"/>
                <w:sz w:val="24"/>
                <w:szCs w:val="24"/>
                <w:lang w:val="en-US" w:eastAsia="zh-CN"/>
              </w:rPr>
              <w:t>4、生态环境</w:t>
            </w:r>
          </w:p>
          <w:p>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sz w:val="24"/>
                <w:szCs w:val="24"/>
              </w:rPr>
              <w:t>本项目最近的生态空间管控区域为项目</w:t>
            </w:r>
            <w:r>
              <w:rPr>
                <w:rFonts w:hint="default" w:ascii="Times New Roman" w:hAnsi="Times New Roman" w:cs="Times New Roman" w:eastAsiaTheme="minorEastAsia"/>
                <w:color w:val="000000"/>
                <w:sz w:val="24"/>
                <w:szCs w:val="24"/>
                <w:lang w:val="en-US" w:eastAsia="zh-CN"/>
              </w:rPr>
              <w:t>东</w:t>
            </w:r>
            <w:r>
              <w:rPr>
                <w:rFonts w:hint="default" w:ascii="Times New Roman" w:hAnsi="Times New Roman" w:cs="Times New Roman" w:eastAsiaTheme="minorEastAsia"/>
                <w:color w:val="000000"/>
                <w:sz w:val="24"/>
                <w:szCs w:val="24"/>
              </w:rPr>
              <w:t>侧的</w:t>
            </w:r>
            <w:r>
              <w:rPr>
                <w:rFonts w:hint="default" w:ascii="Times New Roman" w:hAnsi="Times New Roman" w:cs="Times New Roman" w:eastAsiaTheme="minorEastAsia"/>
                <w:color w:val="000000"/>
                <w:sz w:val="24"/>
                <w:szCs w:val="24"/>
                <w:lang w:val="en-US" w:eastAsia="zh-CN"/>
              </w:rPr>
              <w:t>如海运河（如皋市）清水通道维护区</w:t>
            </w:r>
            <w:r>
              <w:rPr>
                <w:rFonts w:hint="default" w:ascii="Times New Roman" w:hAnsi="Times New Roman" w:cs="Times New Roman" w:eastAsiaTheme="minorEastAsia"/>
                <w:color w:val="000000"/>
                <w:sz w:val="24"/>
                <w:szCs w:val="24"/>
              </w:rPr>
              <w:t>，本项目距</w:t>
            </w:r>
            <w:r>
              <w:rPr>
                <w:rFonts w:hint="default" w:ascii="Times New Roman" w:hAnsi="Times New Roman" w:cs="Times New Roman" w:eastAsiaTheme="minorEastAsia"/>
                <w:color w:val="000000"/>
                <w:sz w:val="24"/>
                <w:szCs w:val="24"/>
                <w:lang w:val="en-US" w:eastAsia="zh-CN"/>
              </w:rPr>
              <w:t>如海运河（如皋市）清水通道维护区</w:t>
            </w:r>
            <w:r>
              <w:rPr>
                <w:rFonts w:hint="default" w:ascii="Times New Roman" w:hAnsi="Times New Roman" w:cs="Times New Roman" w:eastAsiaTheme="minorEastAsia"/>
                <w:color w:val="000000"/>
                <w:sz w:val="24"/>
                <w:szCs w:val="24"/>
              </w:rPr>
              <w:t>约</w:t>
            </w:r>
            <w:r>
              <w:rPr>
                <w:rFonts w:hint="default" w:ascii="Times New Roman" w:hAnsi="Times New Roman" w:cs="Times New Roman" w:eastAsiaTheme="minorEastAsia"/>
                <w:color w:val="000000"/>
                <w:sz w:val="24"/>
                <w:szCs w:val="24"/>
                <w:lang w:val="en-US" w:eastAsia="zh-CN"/>
              </w:rPr>
              <w:t>693m</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val="en-US" w:eastAsia="zh-CN"/>
              </w:rPr>
              <w:t>因此本项目</w:t>
            </w:r>
            <w:r>
              <w:rPr>
                <w:rFonts w:hint="default" w:ascii="Times New Roman" w:hAnsi="Times New Roman" w:cs="Times New Roman" w:eastAsiaTheme="minorEastAsia"/>
                <w:color w:val="000000"/>
                <w:kern w:val="0"/>
                <w:sz w:val="24"/>
                <w:szCs w:val="24"/>
                <w:lang w:val="en-US" w:eastAsia="zh-CN"/>
              </w:rPr>
              <w:t>所在地</w:t>
            </w:r>
            <w:r>
              <w:rPr>
                <w:rFonts w:hint="default" w:ascii="Times New Roman" w:hAnsi="Times New Roman" w:cs="Times New Roman" w:eastAsiaTheme="minorEastAsia"/>
                <w:color w:val="000000"/>
                <w:sz w:val="24"/>
                <w:szCs w:val="24"/>
                <w:lang w:val="en-US" w:eastAsia="zh-CN"/>
              </w:rPr>
              <w:t>无受保护的生境和生物区系及水产资源。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67"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放</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r>
              <w:rPr>
                <w:rFonts w:hint="default" w:ascii="Times New Roman" w:hAnsi="Times New Roman" w:cs="Times New Roman" w:eastAsiaTheme="minorEastAsia"/>
                <w:b/>
                <w:bCs/>
                <w:color w:val="000000"/>
                <w:kern w:val="0"/>
                <w:szCs w:val="21"/>
              </w:rPr>
              <w:t>准</w:t>
            </w:r>
          </w:p>
        </w:tc>
        <w:tc>
          <w:tcPr>
            <w:tcW w:w="817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1</w:t>
            </w:r>
            <w:r>
              <w:rPr>
                <w:rFonts w:hint="default"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大气污染物排放标准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Times New Roman" w:hAnsi="Times New Roman" w:cs="Times New Roman" w:eastAsiaTheme="minorEastAsia"/>
                <w:color w:val="000000"/>
                <w:sz w:val="24"/>
                <w:szCs w:val="24"/>
                <w:vertAlign w:val="baseline"/>
                <w:lang w:val="en-US" w:eastAsia="zh-CN"/>
              </w:rPr>
            </w:pPr>
            <w:bookmarkStart w:id="4" w:name="_Ref396828303"/>
            <w:bookmarkStart w:id="5" w:name="_Ref379546700"/>
            <w:r>
              <w:rPr>
                <w:rFonts w:hint="default" w:ascii="Times New Roman" w:hAnsi="Times New Roman" w:cs="Times New Roman" w:eastAsiaTheme="minorEastAsia"/>
                <w:color w:val="000000"/>
                <w:sz w:val="24"/>
                <w:szCs w:val="24"/>
                <w:lang w:val="en-US" w:eastAsia="zh-CN"/>
              </w:rPr>
              <w:t>本项目非甲烷总烃、氯苯类、酚类、颗粒物有组织排放标准执行《合成树脂工业污染物排放标准》（GB31572-2015，含2024年修改单）表5标准，颗粒物、非甲烷总烃无组织排放限值执行《合成树脂工业污染物排放标准》（GB31572-2015，含2024年修改单）表9标准；氯苯类、酚类无组织排放限值执行《大气污染物综合排放标准》（DB32/4041-2021）表3标准；厂区内非甲烷总烃无组织排放执行《大气污染物综合排放标准》（DB32/4041-2021）表2标准，臭气浓度执行《恶臭污染物排放标准》（GB14554-93）表1标准。见下表</w:t>
            </w:r>
            <w:r>
              <w:rPr>
                <w:rFonts w:hint="default" w:ascii="Times New Roman" w:hAnsi="Times New Roman" w:cs="Times New Roman" w:eastAsiaTheme="minorEastAsia"/>
                <w:color w:val="000000"/>
                <w:sz w:val="24"/>
                <w:szCs w:val="24"/>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表</w:t>
            </w:r>
            <w:bookmarkEnd w:id="4"/>
            <w:bookmarkEnd w:id="5"/>
            <w:r>
              <w:rPr>
                <w:rFonts w:hint="default" w:ascii="Times New Roman" w:hAnsi="Times New Roman" w:cs="Times New Roman" w:eastAsiaTheme="minorEastAsia"/>
                <w:b/>
                <w:bCs/>
                <w:color w:val="000000"/>
                <w:sz w:val="24"/>
                <w:szCs w:val="24"/>
                <w:lang w:val="en-US" w:eastAsia="zh-CN"/>
              </w:rPr>
              <w:t>3-5</w:t>
            </w:r>
            <w:r>
              <w:rPr>
                <w:rFonts w:hint="default" w:ascii="Times New Roman" w:hAnsi="Times New Roman" w:cs="Times New Roman" w:eastAsiaTheme="minorEastAsia"/>
                <w:b/>
                <w:bCs/>
                <w:color w:val="000000"/>
                <w:sz w:val="24"/>
                <w:szCs w:val="24"/>
              </w:rPr>
              <w:t xml:space="preserve">  大气污染物排放标准限值</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1281"/>
              <w:gridCol w:w="1122"/>
              <w:gridCol w:w="383"/>
              <w:gridCol w:w="739"/>
              <w:gridCol w:w="1122"/>
              <w:gridCol w:w="2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189"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eastAsiaTheme="minorEastAsia"/>
                      <w:b/>
                      <w:color w:val="auto"/>
                      <w:lang w:val="en-US" w:eastAsia="zh-CN"/>
                    </w:rPr>
                  </w:pPr>
                  <w:r>
                    <w:rPr>
                      <w:rFonts w:hint="default" w:ascii="Times New Roman" w:hAnsi="Times New Roman" w:cs="Times New Roman" w:eastAsiaTheme="minorEastAsia"/>
                      <w:b/>
                      <w:bCs/>
                      <w:color w:val="auto"/>
                      <w:lang w:val="en-US" w:eastAsia="zh-CN"/>
                    </w:rPr>
                    <w:t>类别</w:t>
                  </w:r>
                </w:p>
              </w:tc>
              <w:tc>
                <w:tcPr>
                  <w:tcW w:w="1281"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color w:val="auto"/>
                      <w:lang w:val="en-US" w:eastAsia="zh-CN"/>
                    </w:rPr>
                  </w:pPr>
                  <w:r>
                    <w:rPr>
                      <w:rFonts w:hint="default" w:ascii="Times New Roman" w:hAnsi="Times New Roman" w:cs="Times New Roman" w:eastAsiaTheme="minorEastAsia"/>
                      <w:b/>
                      <w:bCs/>
                      <w:color w:val="auto"/>
                      <w:szCs w:val="21"/>
                      <w:lang w:val="en-US" w:eastAsia="zh-CN"/>
                    </w:rPr>
                    <w:t>污染物名称</w:t>
                  </w:r>
                </w:p>
              </w:tc>
              <w:tc>
                <w:tcPr>
                  <w:tcW w:w="3366" w:type="dxa"/>
                  <w:gridSpan w:val="4"/>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spacing w:val="4"/>
                      <w:position w:val="-2"/>
                    </w:rPr>
                    <w:t>标准限值</w:t>
                  </w:r>
                </w:p>
              </w:tc>
              <w:tc>
                <w:tcPr>
                  <w:tcW w:w="2096"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p>
              </w:tc>
              <w:tc>
                <w:tcPr>
                  <w:tcW w:w="1281"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p>
              </w:tc>
              <w:tc>
                <w:tcPr>
                  <w:tcW w:w="1505" w:type="dxa"/>
                  <w:gridSpan w:val="2"/>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最高允许排放浓度(mg/m</w:t>
                  </w:r>
                  <w:r>
                    <w:rPr>
                      <w:rFonts w:hint="default" w:ascii="Times New Roman" w:hAnsi="Times New Roman" w:cs="Times New Roman" w:eastAsiaTheme="minorEastAsia"/>
                      <w:b/>
                      <w:color w:val="auto"/>
                      <w:vertAlign w:val="superscript"/>
                    </w:rPr>
                    <w:t>3</w:t>
                  </w:r>
                  <w:r>
                    <w:rPr>
                      <w:rFonts w:hint="default" w:ascii="Times New Roman" w:hAnsi="Times New Roman" w:cs="Times New Roman" w:eastAsiaTheme="minorEastAsia"/>
                      <w:b/>
                      <w:color w:val="auto"/>
                    </w:rPr>
                    <w:t>)</w:t>
                  </w:r>
                </w:p>
              </w:tc>
              <w:tc>
                <w:tcPr>
                  <w:tcW w:w="1861" w:type="dxa"/>
                  <w:gridSpan w:val="2"/>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color w:val="auto"/>
                    </w:rPr>
                  </w:pPr>
                  <w:r>
                    <w:rPr>
                      <w:rFonts w:hint="default" w:ascii="Times New Roman" w:hAnsi="Times New Roman" w:cs="Times New Roman" w:eastAsiaTheme="minorEastAsia"/>
                      <w:b/>
                      <w:color w:val="auto"/>
                    </w:rPr>
                    <w:t>最高允许排放速率（kg/h）</w:t>
                  </w: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有组织</w:t>
                  </w:r>
                  <w:r>
                    <w:rPr>
                      <w:rFonts w:hint="eastAsia" w:ascii="Times New Roman" w:hAnsi="Times New Roman" w:cs="Times New Roman" w:eastAsiaTheme="minorEastAsia"/>
                      <w:color w:val="auto"/>
                      <w:kern w:val="2"/>
                      <w:sz w:val="21"/>
                      <w:szCs w:val="21"/>
                      <w:lang w:val="en-US" w:eastAsia="zh-CN" w:bidi="ar-SA"/>
                    </w:rPr>
                    <w:t>（DA001）</w:t>
                  </w:r>
                </w:p>
              </w:tc>
              <w:tc>
                <w:tcPr>
                  <w:tcW w:w="1281" w:type="dxa"/>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非甲烷总烃</w:t>
                  </w:r>
                </w:p>
              </w:tc>
              <w:tc>
                <w:tcPr>
                  <w:tcW w:w="1505"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20</w:t>
                  </w:r>
                </w:p>
              </w:tc>
              <w:tc>
                <w:tcPr>
                  <w:tcW w:w="1861"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w:t>
                  </w:r>
                </w:p>
              </w:tc>
              <w:tc>
                <w:tcPr>
                  <w:tcW w:w="2096"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sz w:val="21"/>
                      <w:szCs w:val="21"/>
                      <w:lang w:val="en-US" w:eastAsia="zh-CN"/>
                    </w:rPr>
                    <w:t>《合成树脂工业污染物排放标准》（GB31572-2015，含2024年修改单）表5标准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p>
              </w:tc>
              <w:tc>
                <w:tcPr>
                  <w:tcW w:w="1281" w:type="dxa"/>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颗粒物</w:t>
                  </w:r>
                </w:p>
              </w:tc>
              <w:tc>
                <w:tcPr>
                  <w:tcW w:w="1505"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60</w:t>
                  </w:r>
                </w:p>
              </w:tc>
              <w:tc>
                <w:tcPr>
                  <w:tcW w:w="1861"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w:t>
                  </w: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p>
              </w:tc>
              <w:tc>
                <w:tcPr>
                  <w:tcW w:w="1281" w:type="dxa"/>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酚类</w:t>
                  </w:r>
                </w:p>
              </w:tc>
              <w:tc>
                <w:tcPr>
                  <w:tcW w:w="1505"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15</w:t>
                  </w:r>
                </w:p>
              </w:tc>
              <w:tc>
                <w:tcPr>
                  <w:tcW w:w="1861"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w:t>
                  </w: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p>
              </w:tc>
              <w:tc>
                <w:tcPr>
                  <w:tcW w:w="1281" w:type="dxa"/>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氯苯类</w:t>
                  </w:r>
                </w:p>
              </w:tc>
              <w:tc>
                <w:tcPr>
                  <w:tcW w:w="1505"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20</w:t>
                  </w:r>
                </w:p>
              </w:tc>
              <w:tc>
                <w:tcPr>
                  <w:tcW w:w="1861" w:type="dxa"/>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w:t>
                  </w: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类别</w:t>
                  </w:r>
                </w:p>
              </w:tc>
              <w:tc>
                <w:tcPr>
                  <w:tcW w:w="1281"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污染物名称</w:t>
                  </w:r>
                </w:p>
              </w:tc>
              <w:tc>
                <w:tcPr>
                  <w:tcW w:w="3366" w:type="dxa"/>
                  <w:gridSpan w:val="4"/>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无组织排放监控浓度限值</w:t>
                  </w:r>
                </w:p>
              </w:tc>
              <w:tc>
                <w:tcPr>
                  <w:tcW w:w="2096"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r>
                    <w:rPr>
                      <w:rFonts w:hint="default" w:ascii="Times New Roman" w:hAnsi="Times New Roman" w:cs="Times New Roman" w:eastAsiaTheme="minorEastAsia"/>
                      <w:b/>
                      <w:color w:val="auto"/>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p>
              </w:tc>
              <w:tc>
                <w:tcPr>
                  <w:tcW w:w="12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1122" w:type="dxa"/>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b/>
                      <w:bCs/>
                      <w:color w:val="auto"/>
                      <w:sz w:val="21"/>
                      <w:szCs w:val="21"/>
                    </w:rPr>
                    <w:t>监控点限值mg/m</w:t>
                  </w:r>
                  <w:r>
                    <w:rPr>
                      <w:rFonts w:hint="default" w:ascii="Times New Roman" w:hAnsi="Times New Roman" w:cs="Times New Roman" w:eastAsiaTheme="minorEastAsia"/>
                      <w:b/>
                      <w:bCs/>
                      <w:color w:val="auto"/>
                      <w:sz w:val="21"/>
                      <w:szCs w:val="21"/>
                      <w:vertAlign w:val="superscript"/>
                    </w:rPr>
                    <w:t>3</w:t>
                  </w:r>
                </w:p>
              </w:tc>
              <w:tc>
                <w:tcPr>
                  <w:tcW w:w="1122" w:type="dxa"/>
                  <w:gridSpan w:val="2"/>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b/>
                      <w:bCs/>
                      <w:color w:val="auto"/>
                      <w:sz w:val="21"/>
                      <w:szCs w:val="21"/>
                    </w:rPr>
                    <w:t>限值含义</w:t>
                  </w:r>
                </w:p>
              </w:tc>
              <w:tc>
                <w:tcPr>
                  <w:tcW w:w="1122" w:type="dxa"/>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b/>
                      <w:bCs/>
                      <w:color w:val="auto"/>
                      <w:sz w:val="21"/>
                      <w:szCs w:val="21"/>
                    </w:rPr>
                    <w:t>监控位置</w:t>
                  </w: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无组织</w:t>
                  </w:r>
                </w:p>
              </w:tc>
              <w:tc>
                <w:tcPr>
                  <w:tcW w:w="12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颗粒物</w:t>
                  </w:r>
                </w:p>
              </w:tc>
              <w:tc>
                <w:tcPr>
                  <w:tcW w:w="112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w:t>
                  </w:r>
                </w:p>
              </w:tc>
              <w:tc>
                <w:tcPr>
                  <w:tcW w:w="1122" w:type="dxa"/>
                  <w:gridSpan w:val="2"/>
                  <w:vMerge w:val="restart"/>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rPr>
                    <w:t>监控点处1h平均浓度值</w:t>
                  </w:r>
                </w:p>
              </w:tc>
              <w:tc>
                <w:tcPr>
                  <w:tcW w:w="1122" w:type="dxa"/>
                  <w:vMerge w:val="restart"/>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rPr>
                    <w:t>边界外浓度最高点</w:t>
                  </w:r>
                </w:p>
              </w:tc>
              <w:tc>
                <w:tcPr>
                  <w:tcW w:w="2096"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sz w:val="21"/>
                      <w:szCs w:val="21"/>
                      <w:lang w:val="en-US" w:eastAsia="zh-CN"/>
                    </w:rPr>
                    <w:t>《合成树脂工业污染物排放标准》（GB31572-2015，含2024年修改单）表9标准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p>
              </w:tc>
              <w:tc>
                <w:tcPr>
                  <w:tcW w:w="12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非甲烷总烃</w:t>
                  </w:r>
                </w:p>
              </w:tc>
              <w:tc>
                <w:tcPr>
                  <w:tcW w:w="112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w:t>
                  </w:r>
                </w:p>
              </w:tc>
              <w:tc>
                <w:tcPr>
                  <w:tcW w:w="1122" w:type="dxa"/>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112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p>
              </w:tc>
              <w:tc>
                <w:tcPr>
                  <w:tcW w:w="12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酚类</w:t>
                  </w:r>
                </w:p>
              </w:tc>
              <w:tc>
                <w:tcPr>
                  <w:tcW w:w="112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0.02</w:t>
                  </w:r>
                </w:p>
              </w:tc>
              <w:tc>
                <w:tcPr>
                  <w:tcW w:w="1122" w:type="dxa"/>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112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2096" w:type="dxa"/>
                  <w:vMerge w:val="restart"/>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sz w:val="21"/>
                      <w:szCs w:val="21"/>
                      <w:lang w:val="en-US" w:eastAsia="zh-CN"/>
                    </w:rPr>
                    <w:t>《大气污染物综合排放标准》（DB32/4041-2021）表3标准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p>
              </w:tc>
              <w:tc>
                <w:tcPr>
                  <w:tcW w:w="12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氯苯类</w:t>
                  </w:r>
                </w:p>
              </w:tc>
              <w:tc>
                <w:tcPr>
                  <w:tcW w:w="112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0.1</w:t>
                  </w:r>
                </w:p>
              </w:tc>
              <w:tc>
                <w:tcPr>
                  <w:tcW w:w="1122" w:type="dxa"/>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1122"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2096"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189" w:type="dxa"/>
                  <w:vMerge w:val="continue"/>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p>
              </w:tc>
              <w:tc>
                <w:tcPr>
                  <w:tcW w:w="12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臭气浓度</w:t>
                  </w:r>
                </w:p>
              </w:tc>
              <w:tc>
                <w:tcPr>
                  <w:tcW w:w="112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rPr>
                    <w:t>20（无量纲）</w:t>
                  </w:r>
                </w:p>
              </w:tc>
              <w:tc>
                <w:tcPr>
                  <w:tcW w:w="1122" w:type="dxa"/>
                  <w:gridSpan w:val="2"/>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rPr>
                    <w:t>监控点处一次最大浓度值</w:t>
                  </w:r>
                </w:p>
              </w:tc>
              <w:tc>
                <w:tcPr>
                  <w:tcW w:w="1122" w:type="dxa"/>
                  <w:tcBorders>
                    <w:tl2br w:val="nil"/>
                    <w:tr2bl w:val="nil"/>
                  </w:tcBorders>
                  <w:noWrap w:val="0"/>
                  <w:vAlign w:val="center"/>
                </w:tcPr>
                <w:p>
                  <w:pPr>
                    <w:pStyle w:val="48"/>
                    <w:keepNext w:val="0"/>
                    <w:keepLines w:val="0"/>
                    <w:suppressLineNumbers w:val="0"/>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rPr>
                    <w:t>边界外浓度最高点</w:t>
                  </w:r>
                </w:p>
              </w:tc>
              <w:tc>
                <w:tcPr>
                  <w:tcW w:w="2096" w:type="dxa"/>
                  <w:tcBorders>
                    <w:tl2br w:val="nil"/>
                    <w:tr2bl w:val="nil"/>
                  </w:tcBorders>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《恶臭污染物排放标准》（GB14554-93）表1</w:t>
                  </w:r>
                  <w:r>
                    <w:rPr>
                      <w:rFonts w:hint="default" w:ascii="Times New Roman" w:hAnsi="Times New Roman" w:cs="Times New Roman" w:eastAsiaTheme="minorEastAsia"/>
                      <w:color w:val="auto"/>
                      <w:lang w:val="en-US" w:eastAsia="zh-CN"/>
                    </w:rPr>
                    <w:t>标准</w:t>
                  </w:r>
                </w:p>
              </w:tc>
            </w:tr>
          </w:tbl>
          <w:p>
            <w:pPr>
              <w:pStyle w:val="58"/>
              <w:keepNext w:val="0"/>
              <w:keepLines w:val="0"/>
              <w:suppressLineNumbers w:val="0"/>
              <w:spacing w:before="0" w:beforeAutospacing="0" w:after="0" w:afterAutospacing="0" w:line="240" w:lineRule="auto"/>
              <w:ind w:left="0" w:right="0" w:firstLine="482"/>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表</w:t>
            </w:r>
            <w:r>
              <w:rPr>
                <w:rFonts w:hint="default" w:ascii="Times New Roman" w:hAnsi="Times New Roman" w:cs="Times New Roman" w:eastAsiaTheme="minorEastAsia"/>
                <w:color w:val="000000"/>
                <w:sz w:val="24"/>
                <w:szCs w:val="24"/>
                <w:lang w:val="en-US" w:eastAsia="zh-CN"/>
              </w:rPr>
              <w:t>3-6</w:t>
            </w:r>
            <w:r>
              <w:rPr>
                <w:rFonts w:hint="default" w:ascii="Times New Roman" w:hAnsi="Times New Roman" w:cs="Times New Roman" w:eastAsiaTheme="minorEastAsia"/>
                <w:color w:val="000000"/>
                <w:sz w:val="24"/>
                <w:szCs w:val="24"/>
              </w:rPr>
              <w:t xml:space="preserve">  厂区内无组织排放限值</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230"/>
              <w:gridCol w:w="1553"/>
              <w:gridCol w:w="1309"/>
              <w:gridCol w:w="28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592"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rPr>
                    <w:t>污染物</w:t>
                  </w:r>
                </w:p>
              </w:tc>
              <w:tc>
                <w:tcPr>
                  <w:tcW w:w="775"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spacing w:val="4"/>
                      <w:position w:val="-2"/>
                      <w:lang w:val="en-US" w:eastAsia="zh-CN"/>
                    </w:rPr>
                    <w:t>监控点限值</w:t>
                  </w:r>
                  <w:r>
                    <w:rPr>
                      <w:rFonts w:hint="default" w:ascii="Times New Roman" w:hAnsi="Times New Roman" w:cs="Times New Roman" w:eastAsiaTheme="minorEastAsia"/>
                      <w:b/>
                      <w:color w:val="000000"/>
                      <w:spacing w:val="4"/>
                      <w:position w:val="-2"/>
                    </w:rPr>
                    <w:t>（</w:t>
                  </w:r>
                  <w:r>
                    <w:rPr>
                      <w:rFonts w:hint="default" w:ascii="Times New Roman" w:hAnsi="Times New Roman" w:cs="Times New Roman" w:eastAsiaTheme="minorEastAsia"/>
                      <w:b/>
                      <w:color w:val="000000"/>
                    </w:rPr>
                    <w:t>mg/m</w:t>
                  </w:r>
                  <w:r>
                    <w:rPr>
                      <w:rFonts w:hint="default" w:ascii="Times New Roman" w:hAnsi="Times New Roman" w:cs="Times New Roman" w:eastAsiaTheme="minorEastAsia"/>
                      <w:b/>
                      <w:color w:val="000000"/>
                      <w:vertAlign w:val="superscript"/>
                    </w:rPr>
                    <w:t>3</w:t>
                  </w:r>
                  <w:r>
                    <w:rPr>
                      <w:rFonts w:hint="default" w:ascii="Times New Roman" w:hAnsi="Times New Roman" w:cs="Times New Roman" w:eastAsiaTheme="minorEastAsia"/>
                      <w:b/>
                      <w:color w:val="000000"/>
                      <w:spacing w:val="4"/>
                      <w:position w:val="-2"/>
                    </w:rPr>
                    <w:t>）</w:t>
                  </w:r>
                </w:p>
              </w:tc>
              <w:tc>
                <w:tcPr>
                  <w:tcW w:w="979"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rPr>
                    <w:t>限值含义</w:t>
                  </w:r>
                </w:p>
              </w:tc>
              <w:tc>
                <w:tcPr>
                  <w:tcW w:w="825"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rPr>
                    <w:t>无组织排放监控位置</w:t>
                  </w:r>
                </w:p>
              </w:tc>
              <w:tc>
                <w:tcPr>
                  <w:tcW w:w="1827"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color w:val="000000"/>
                    </w:rPr>
                  </w:pPr>
                  <w:r>
                    <w:rPr>
                      <w:rFonts w:hint="default" w:ascii="Times New Roman" w:hAnsi="Times New Roman" w:cs="Times New Roman" w:eastAsiaTheme="minorEastAsia"/>
                      <w:b/>
                      <w:color w:val="000000"/>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592" w:type="pct"/>
                  <w:vMerge w:val="restar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lang w:val="en-US" w:eastAsia="zh-CN"/>
                    </w:rPr>
                    <w:t>NMHC</w:t>
                  </w:r>
                </w:p>
              </w:tc>
              <w:tc>
                <w:tcPr>
                  <w:tcW w:w="7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6</w:t>
                  </w:r>
                </w:p>
              </w:tc>
              <w:tc>
                <w:tcPr>
                  <w:tcW w:w="979"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color w:val="000000"/>
                    </w:rPr>
                  </w:pPr>
                  <w:r>
                    <w:rPr>
                      <w:rFonts w:hint="default" w:ascii="Times New Roman" w:hAnsi="Times New Roman" w:cs="Times New Roman" w:eastAsiaTheme="minorEastAsia"/>
                      <w:color w:val="000000"/>
                    </w:rPr>
                    <w:t>监控点处1h</w:t>
                  </w:r>
                </w:p>
                <w:p>
                  <w:pPr>
                    <w:pStyle w:val="6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rPr>
                    <w:t>平均浓度值</w:t>
                  </w:r>
                </w:p>
              </w:tc>
              <w:tc>
                <w:tcPr>
                  <w:tcW w:w="825" w:type="pct"/>
                  <w:vMerge w:val="restar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rPr>
                    <w:t>在厂房外设置监控点</w:t>
                  </w:r>
                </w:p>
              </w:tc>
              <w:tc>
                <w:tcPr>
                  <w:tcW w:w="1827" w:type="pct"/>
                  <w:vMerge w:val="restar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rPr>
                    <w:t>《大气污染物综合排放标准》（DB32/4041-2021）</w:t>
                  </w:r>
                  <w:r>
                    <w:rPr>
                      <w:rFonts w:hint="default" w:ascii="Times New Roman" w:hAnsi="Times New Roman" w:cs="Times New Roman" w:eastAsiaTheme="minorEastAsia"/>
                      <w:color w:val="000000"/>
                      <w:lang w:val="en-US" w:eastAsia="zh-CN"/>
                    </w:rPr>
                    <w:t>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592" w:type="pct"/>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aseline"/>
                    <w:rPr>
                      <w:rFonts w:hint="default" w:ascii="Times New Roman" w:hAnsi="Times New Roman" w:cs="Times New Roman" w:eastAsiaTheme="minorEastAsia"/>
                      <w:color w:val="000000"/>
                      <w:lang w:val="en-US" w:eastAsia="zh-CN"/>
                    </w:rPr>
                  </w:pPr>
                </w:p>
              </w:tc>
              <w:tc>
                <w:tcPr>
                  <w:tcW w:w="77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20</w:t>
                  </w:r>
                </w:p>
              </w:tc>
              <w:tc>
                <w:tcPr>
                  <w:tcW w:w="979"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rPr>
                    <w:t>监控点处任意一次浓度值</w:t>
                  </w:r>
                </w:p>
              </w:tc>
              <w:tc>
                <w:tcPr>
                  <w:tcW w:w="825" w:type="pct"/>
                  <w:vMerge w:val="continue"/>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color w:val="000000"/>
                    </w:rPr>
                  </w:pPr>
                </w:p>
              </w:tc>
              <w:tc>
                <w:tcPr>
                  <w:tcW w:w="1827" w:type="pct"/>
                  <w:vMerge w:val="continue"/>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inorEastAsia"/>
                      <w:b w:val="0"/>
                      <w:bCs/>
                      <w:color w:val="000000"/>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2</w:t>
            </w:r>
            <w:r>
              <w:rPr>
                <w:rFonts w:hint="default" w:ascii="Times New Roman" w:hAnsi="Times New Roman" w:cs="Times New Roman" w:eastAsiaTheme="minorEastAsia"/>
                <w:b/>
                <w:color w:val="000000"/>
                <w:sz w:val="24"/>
                <w:szCs w:val="24"/>
                <w:lang w:eastAsia="zh-CN"/>
              </w:rPr>
              <w:t>、</w:t>
            </w:r>
            <w:r>
              <w:rPr>
                <w:rFonts w:hint="default" w:ascii="Times New Roman" w:hAnsi="Times New Roman" w:cs="Times New Roman" w:eastAsiaTheme="minorEastAsia"/>
                <w:b/>
                <w:color w:val="000000"/>
                <w:sz w:val="24"/>
                <w:szCs w:val="24"/>
              </w:rPr>
              <w:t>废水污染物排放标准</w:t>
            </w:r>
          </w:p>
          <w:p>
            <w:pPr>
              <w:keepNext w:val="0"/>
              <w:keepLines w:val="0"/>
              <w:suppressLineNumbers w:val="0"/>
              <w:tabs>
                <w:tab w:val="left" w:pos="5142"/>
              </w:tabs>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营运期实行“雨污分流”制，雨水经收集后排入雨水管网，最终汇入国庆河；本项目无生产废水，生活污水经化粪池处理后接管至如皋市碧水污水处理设施运行管理有限公司处理，尾水排入如海运河。COD、SS执行《污水综合排放标准》（GB8978-1996）表4中三级标准，NH</w:t>
            </w:r>
            <w:r>
              <w:rPr>
                <w:rFonts w:hint="default" w:ascii="Times New Roman" w:hAnsi="Times New Roman" w:cs="Times New Roman" w:eastAsiaTheme="minorEastAsia"/>
                <w:color w:val="000000"/>
                <w:sz w:val="24"/>
                <w:szCs w:val="24"/>
                <w:vertAlign w:val="subscript"/>
                <w:lang w:val="en-US" w:eastAsia="zh-CN"/>
              </w:rPr>
              <w:t>3</w:t>
            </w:r>
            <w:r>
              <w:rPr>
                <w:rFonts w:hint="default" w:ascii="Times New Roman" w:hAnsi="Times New Roman" w:cs="Times New Roman" w:eastAsiaTheme="minorEastAsia"/>
                <w:color w:val="000000"/>
                <w:sz w:val="24"/>
                <w:szCs w:val="24"/>
                <w:lang w:val="en-US" w:eastAsia="zh-CN"/>
              </w:rPr>
              <w:t>-N、TP，TN，执行《污水排入城镇下水道水质标准》（GB/T31962-2015）标准表1B标准，接入如皋市碧水污水处理设施运行管理有限公司经处理后达到《城镇污水处理厂污染物排放标准》（DB32/4440-2022）中C标准。</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7 污水排放标准限值表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250"/>
              <w:gridCol w:w="1633"/>
              <w:gridCol w:w="1583"/>
              <w:gridCol w:w="1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eastAsia="zh-CN"/>
                    </w:rPr>
                  </w:pPr>
                  <w:r>
                    <w:rPr>
                      <w:rFonts w:hint="default" w:ascii="Times New Roman" w:hAnsi="Times New Roman" w:cs="Times New Roman" w:eastAsiaTheme="minorEastAsia"/>
                      <w:b/>
                      <w:bCs/>
                      <w:color w:val="auto"/>
                      <w:kern w:val="2"/>
                      <w:sz w:val="21"/>
                      <w:szCs w:val="21"/>
                      <w:lang w:val="en-US" w:eastAsia="zh-CN"/>
                    </w:rPr>
                    <w:t>执行标准</w:t>
                  </w:r>
                </w:p>
              </w:tc>
              <w:tc>
                <w:tcPr>
                  <w:tcW w:w="788"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cs="Times New Roman" w:eastAsiaTheme="minorEastAsia"/>
                      <w:b/>
                      <w:bCs/>
                      <w:color w:val="auto"/>
                      <w:kern w:val="2"/>
                      <w:sz w:val="21"/>
                      <w:szCs w:val="21"/>
                      <w:lang w:val="en-US" w:eastAsia="zh-CN"/>
                    </w:rPr>
                    <w:t>取值表号及级别</w:t>
                  </w: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cs="Times New Roman" w:eastAsiaTheme="minorEastAsia"/>
                      <w:b/>
                      <w:bCs/>
                      <w:color w:val="auto"/>
                      <w:kern w:val="2"/>
                      <w:sz w:val="21"/>
                      <w:szCs w:val="21"/>
                      <w:lang w:val="en-US" w:eastAsia="zh-CN"/>
                    </w:rPr>
                    <w:t>污染物指标</w:t>
                  </w:r>
                </w:p>
              </w:tc>
              <w:tc>
                <w:tcPr>
                  <w:tcW w:w="998"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cs="Times New Roman" w:eastAsiaTheme="minorEastAsia"/>
                      <w:b/>
                      <w:bCs/>
                      <w:color w:val="auto"/>
                      <w:kern w:val="2"/>
                      <w:sz w:val="21"/>
                      <w:szCs w:val="21"/>
                      <w:lang w:val="en-US" w:eastAsia="zh-CN"/>
                    </w:rPr>
                    <w:t>单位</w:t>
                  </w: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cs="Times New Roman" w:eastAsiaTheme="minorEastAsia"/>
                      <w:b/>
                      <w:bCs/>
                      <w:color w:val="auto"/>
                      <w:kern w:val="2"/>
                      <w:sz w:val="21"/>
                      <w:szCs w:val="21"/>
                      <w:lang w:val="en-US" w:eastAsia="zh-CN"/>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《污水综合排放标准》（GB8978</w:t>
                  </w:r>
                  <w:r>
                    <w:rPr>
                      <w:rFonts w:hint="default" w:ascii="Times New Roman" w:hAnsi="Times New Roman"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rPr>
                    <w:t>1996）</w:t>
                  </w:r>
                </w:p>
              </w:tc>
              <w:tc>
                <w:tcPr>
                  <w:tcW w:w="78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表4三级标准</w:t>
                  </w: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pH</w:t>
                  </w:r>
                </w:p>
              </w:tc>
              <w:tc>
                <w:tcPr>
                  <w:tcW w:w="998"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w:t>
                  </w: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COD</w:t>
                  </w:r>
                </w:p>
              </w:tc>
              <w:tc>
                <w:tcPr>
                  <w:tcW w:w="99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mg/L</w:t>
                  </w: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SS</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《污水排入城镇下水道水质标准</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（GB/T31962-2015）</w:t>
                  </w:r>
                </w:p>
              </w:tc>
              <w:tc>
                <w:tcPr>
                  <w:tcW w:w="78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表1B标准</w:t>
                  </w: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氨氮</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shd w:val="clear" w:color="auto" w:fill="auto"/>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TP</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shd w:val="clear" w:color="auto" w:fill="auto"/>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TN</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shd w:val="clear" w:color="auto" w:fill="auto"/>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《城镇污水处理厂污染物排放标准》（DB32/4440-2022）</w:t>
                  </w:r>
                </w:p>
              </w:tc>
              <w:tc>
                <w:tcPr>
                  <w:tcW w:w="78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表1C标准</w:t>
                  </w: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pH</w:t>
                  </w:r>
                </w:p>
              </w:tc>
              <w:tc>
                <w:tcPr>
                  <w:tcW w:w="998"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w:t>
                  </w: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COD</w:t>
                  </w:r>
                </w:p>
              </w:tc>
              <w:tc>
                <w:tcPr>
                  <w:tcW w:w="99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mg/L</w:t>
                  </w: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SS</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氨氮</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TP</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8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10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TN</w:t>
                  </w:r>
                </w:p>
              </w:tc>
              <w:tc>
                <w:tcPr>
                  <w:tcW w:w="99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875"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12（15）</w:t>
                  </w:r>
                </w:p>
              </w:tc>
            </w:tr>
          </w:tbl>
          <w:p>
            <w:pPr>
              <w:keepNext w:val="0"/>
              <w:keepLines w:val="0"/>
              <w:suppressLineNumbers w:val="0"/>
              <w:spacing w:before="0" w:beforeAutospacing="0" w:after="0" w:afterAutospacing="0"/>
              <w:ind w:left="0" w:right="0"/>
              <w:jc w:val="both"/>
              <w:rPr>
                <w:rFonts w:hint="default" w:ascii="Times New Roman" w:hAnsi="Times New Roman" w:eastAsia="宋体" w:cs="Times New Roman"/>
                <w:b/>
                <w:bCs/>
                <w:color w:val="auto"/>
                <w:sz w:val="24"/>
                <w:u w:val="none"/>
              </w:rPr>
            </w:pPr>
            <w:r>
              <w:rPr>
                <w:rFonts w:hint="default" w:ascii="Times New Roman" w:hAnsi="Times New Roman" w:cs="Times New Roman"/>
                <w:b w:val="0"/>
                <w:bCs w:val="0"/>
                <w:color w:val="auto"/>
                <w:sz w:val="21"/>
                <w:szCs w:val="21"/>
                <w:u w:val="none"/>
                <w:lang w:val="en-US" w:eastAsia="zh-CN"/>
              </w:rPr>
              <w:t>注：</w:t>
            </w:r>
            <w:r>
              <w:rPr>
                <w:rFonts w:hint="eastAsia" w:ascii="Times New Roman" w:hAnsi="Times New Roman" w:cs="Times New Roman"/>
                <w:b w:val="0"/>
                <w:bCs w:val="0"/>
                <w:color w:val="auto"/>
                <w:sz w:val="21"/>
                <w:szCs w:val="21"/>
                <w:u w:val="none"/>
                <w:lang w:val="en-US" w:eastAsia="zh-CN"/>
              </w:rPr>
              <w:t>每年11月1日至次年3月31日执行括号内排放限值。</w:t>
            </w:r>
          </w:p>
          <w:p>
            <w:pPr>
              <w:keepNext w:val="0"/>
              <w:keepLines w:val="0"/>
              <w:suppressLineNumbers w:val="0"/>
              <w:tabs>
                <w:tab w:val="left" w:pos="5142"/>
              </w:tabs>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val="en-US" w:eastAsia="zh-CN"/>
              </w:rPr>
              <w:t>本项目雨水接纳河</w:t>
            </w:r>
            <w:r>
              <w:rPr>
                <w:rFonts w:hint="eastAsia" w:ascii="Times New Roman" w:hAnsi="Times New Roman" w:cs="Times New Roman" w:eastAsiaTheme="minorEastAsia"/>
                <w:color w:val="000000"/>
                <w:sz w:val="24"/>
                <w:szCs w:val="24"/>
                <w:lang w:val="en-US" w:eastAsia="zh-CN"/>
              </w:rPr>
              <w:t>红星</w:t>
            </w:r>
            <w:r>
              <w:rPr>
                <w:rFonts w:hint="default" w:ascii="Times New Roman" w:hAnsi="Times New Roman" w:cs="Times New Roman" w:eastAsiaTheme="minorEastAsia"/>
                <w:color w:val="000000"/>
                <w:sz w:val="24"/>
                <w:szCs w:val="24"/>
                <w:lang w:val="en-US" w:eastAsia="zh-CN"/>
              </w:rPr>
              <w:t>河水质执行《地表水环境质量标准》（GB3838-2002）中Ⅲ类标准。根据《江苏省重点行业工业企业雨水排放环境管理办法（试行）》，项目雨水排放要求参照受纳水体水功能目标管控要求，即地表水Ⅲ类标准要求。具体见表3-8。</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 xml:space="preserve">8 雨水排放标准限值  </w:t>
            </w:r>
            <w:r>
              <w:rPr>
                <w:rFonts w:hint="default" w:ascii="Times New Roman" w:hAnsi="Times New Roman" w:cs="Times New Roman" w:eastAsiaTheme="minorEastAsia"/>
                <w:b/>
                <w:bCs/>
                <w:color w:val="auto"/>
                <w:sz w:val="24"/>
                <w:szCs w:val="24"/>
              </w:rPr>
              <w:t xml:space="preserve"> 单位：mg/L</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22"/>
              <w:gridCol w:w="1223"/>
              <w:gridCol w:w="1824"/>
              <w:gridCol w:w="2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序号</w:t>
                  </w:r>
                </w:p>
              </w:tc>
              <w:tc>
                <w:tcPr>
                  <w:tcW w:w="1541" w:type="pct"/>
                  <w:gridSpan w:val="2"/>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污染物项目</w:t>
                  </w:r>
                </w:p>
              </w:tc>
              <w:tc>
                <w:tcPr>
                  <w:tcW w:w="1150"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eastAsia="zh-CN"/>
                    </w:rPr>
                  </w:pPr>
                  <w:r>
                    <w:rPr>
                      <w:rFonts w:hint="default" w:ascii="Times New Roman" w:hAnsi="Times New Roman" w:cs="Times New Roman" w:eastAsiaTheme="minorEastAsia"/>
                      <w:b/>
                      <w:bCs/>
                      <w:color w:val="auto"/>
                      <w:kern w:val="2"/>
                      <w:sz w:val="21"/>
                      <w:szCs w:val="21"/>
                      <w:lang w:val="en-US" w:eastAsia="zh-CN"/>
                    </w:rPr>
                    <w:t>标准限值</w:t>
                  </w:r>
                </w:p>
              </w:tc>
              <w:tc>
                <w:tcPr>
                  <w:tcW w:w="1478"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bCs/>
                      <w:color w:val="auto"/>
                      <w:kern w:val="2"/>
                      <w:sz w:val="21"/>
                      <w:szCs w:val="21"/>
                      <w:lang w:val="en-US" w:eastAsia="zh-CN"/>
                    </w:rPr>
                  </w:pPr>
                  <w:r>
                    <w:rPr>
                      <w:rFonts w:hint="default" w:ascii="Times New Roman" w:hAnsi="Times New Roman" w:cs="Times New Roman" w:eastAsiaTheme="minorEastAsia"/>
                      <w:b/>
                      <w:bCs/>
                      <w:color w:val="auto"/>
                      <w:kern w:val="2"/>
                      <w:sz w:val="21"/>
                      <w:szCs w:val="21"/>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1</w:t>
                  </w:r>
                </w:p>
              </w:tc>
              <w:tc>
                <w:tcPr>
                  <w:tcW w:w="770"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雨水</w:t>
                  </w:r>
                </w:p>
              </w:tc>
              <w:tc>
                <w:tcPr>
                  <w:tcW w:w="771"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pH</w:t>
                  </w:r>
                </w:p>
              </w:tc>
              <w:tc>
                <w:tcPr>
                  <w:tcW w:w="1150"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000000"/>
                      <w:sz w:val="21"/>
                      <w:szCs w:val="21"/>
                    </w:rPr>
                    <w:t>6~9</w:t>
                  </w:r>
                </w:p>
              </w:tc>
              <w:tc>
                <w:tcPr>
                  <w:tcW w:w="1478" w:type="pct"/>
                  <w:vMerge w:val="restar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2</w:t>
                  </w:r>
                </w:p>
              </w:tc>
              <w:tc>
                <w:tcPr>
                  <w:tcW w:w="770"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c>
                <w:tcPr>
                  <w:tcW w:w="771"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COD</w:t>
                  </w:r>
                </w:p>
              </w:tc>
              <w:tc>
                <w:tcPr>
                  <w:tcW w:w="1150"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20</w:t>
                  </w:r>
                </w:p>
              </w:tc>
              <w:tc>
                <w:tcPr>
                  <w:tcW w:w="147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3</w:t>
                  </w:r>
                </w:p>
              </w:tc>
              <w:tc>
                <w:tcPr>
                  <w:tcW w:w="770"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p>
              </w:tc>
              <w:tc>
                <w:tcPr>
                  <w:tcW w:w="771"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石油类</w:t>
                  </w:r>
                </w:p>
              </w:tc>
              <w:tc>
                <w:tcPr>
                  <w:tcW w:w="1150" w:type="pct"/>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0.05</w:t>
                  </w:r>
                </w:p>
              </w:tc>
              <w:tc>
                <w:tcPr>
                  <w:tcW w:w="1478" w:type="pct"/>
                  <w:vMerge w:val="continue"/>
                  <w:tcBorders>
                    <w:tl2br w:val="nil"/>
                    <w:tr2bl w:val="nil"/>
                  </w:tcBorders>
                  <w:noWrap w:val="0"/>
                  <w:vAlign w:val="center"/>
                </w:tcPr>
                <w:p>
                  <w:pPr>
                    <w:pStyle w:val="7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eastAsiaTheme="minorEastAsia"/>
                      <w:color w:val="auto"/>
                      <w:kern w:val="2"/>
                      <w:sz w:val="21"/>
                      <w:szCs w:val="21"/>
                    </w:rPr>
                  </w:pPr>
                </w:p>
              </w:tc>
            </w:tr>
          </w:tbl>
          <w:p>
            <w:pPr>
              <w:keepNext w:val="0"/>
              <w:keepLines w:val="0"/>
              <w:pageBreakBefore w:val="0"/>
              <w:widowControl w:val="0"/>
              <w:suppressLineNumbers w:val="0"/>
              <w:tabs>
                <w:tab w:val="left" w:pos="5142"/>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3</w:t>
            </w:r>
            <w:r>
              <w:rPr>
                <w:rFonts w:hint="default" w:ascii="Times New Roman" w:hAnsi="Times New Roman" w:cs="Times New Roman" w:eastAsiaTheme="minorEastAsia"/>
                <w:b/>
                <w:color w:val="000000"/>
                <w:sz w:val="24"/>
                <w:szCs w:val="24"/>
                <w:lang w:eastAsia="zh-CN"/>
              </w:rPr>
              <w:t>、</w:t>
            </w:r>
            <w:r>
              <w:rPr>
                <w:rFonts w:hint="default" w:ascii="Times New Roman" w:hAnsi="Times New Roman" w:cs="Times New Roman" w:eastAsiaTheme="minorEastAsia"/>
                <w:b/>
                <w:color w:val="000000"/>
                <w:sz w:val="24"/>
                <w:szCs w:val="24"/>
              </w:rPr>
              <w:t>噪声排放标准</w:t>
            </w:r>
          </w:p>
          <w:p>
            <w:pPr>
              <w:keepNext w:val="0"/>
              <w:keepLines w:val="0"/>
              <w:pageBreakBefore w:val="0"/>
              <w:widowControl w:val="0"/>
              <w:suppressLineNumbers w:val="0"/>
              <w:tabs>
                <w:tab w:val="left" w:pos="5142"/>
              </w:tabs>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rPr>
              <w:t>本项目建设地点</w:t>
            </w:r>
            <w:r>
              <w:rPr>
                <w:rFonts w:hint="default" w:ascii="Times New Roman" w:hAnsi="Times New Roman" w:cs="Times New Roman" w:eastAsiaTheme="minorEastAsia"/>
                <w:color w:val="000000"/>
                <w:sz w:val="24"/>
                <w:lang w:val="en-US" w:eastAsia="zh-CN"/>
              </w:rPr>
              <w:t>位于</w:t>
            </w:r>
            <w:r>
              <w:rPr>
                <w:rFonts w:hint="default" w:ascii="Times New Roman" w:hAnsi="Times New Roman" w:cs="Times New Roman" w:eastAsiaTheme="minorEastAsia"/>
                <w:color w:val="000000"/>
                <w:sz w:val="24"/>
              </w:rPr>
              <w:t>江苏省南通市</w:t>
            </w:r>
            <w:r>
              <w:rPr>
                <w:rFonts w:hint="default" w:ascii="Times New Roman" w:hAnsi="Times New Roman" w:cs="Times New Roman" w:eastAsiaTheme="minorEastAsia"/>
                <w:color w:val="000000"/>
                <w:sz w:val="24"/>
                <w:lang w:eastAsia="zh-CN"/>
              </w:rPr>
              <w:t>磨头镇丁磨路111号</w:t>
            </w:r>
            <w:r>
              <w:rPr>
                <w:rFonts w:hint="default" w:ascii="Times New Roman" w:hAnsi="Times New Roman" w:cs="Times New Roman" w:eastAsiaTheme="minorEastAsia"/>
                <w:color w:val="000000"/>
                <w:sz w:val="24"/>
              </w:rPr>
              <w:t>，根据《市政府关于印发＜如皋市声环境功能区和噪声敏感建筑物集中区划分方案＞的通知》（皋政发〔20</w:t>
            </w:r>
            <w:r>
              <w:rPr>
                <w:rFonts w:hint="default" w:ascii="Times New Roman" w:hAnsi="Times New Roman" w:cs="Times New Roman" w:eastAsiaTheme="minorEastAsia"/>
                <w:color w:val="000000"/>
                <w:sz w:val="24"/>
                <w:lang w:val="en-US" w:eastAsia="zh-CN"/>
              </w:rPr>
              <w:t>25</w:t>
            </w:r>
            <w:r>
              <w:rPr>
                <w:rFonts w:hint="default" w:ascii="Times New Roman" w:hAnsi="Times New Roman" w:cs="Times New Roman" w:eastAsiaTheme="minorEastAsia"/>
                <w:color w:val="000000"/>
                <w:sz w:val="24"/>
              </w:rPr>
              <w:t>〕</w:t>
            </w:r>
            <w:r>
              <w:rPr>
                <w:rFonts w:hint="default" w:ascii="Times New Roman" w:hAnsi="Times New Roman" w:cs="Times New Roman" w:eastAsiaTheme="minorEastAsia"/>
                <w:color w:val="000000"/>
                <w:sz w:val="24"/>
                <w:lang w:val="en-US" w:eastAsia="zh-CN"/>
              </w:rPr>
              <w:t>20</w:t>
            </w:r>
            <w:r>
              <w:rPr>
                <w:rFonts w:hint="default" w:ascii="Times New Roman" w:hAnsi="Times New Roman" w:cs="Times New Roman" w:eastAsiaTheme="minorEastAsia"/>
                <w:color w:val="000000"/>
                <w:sz w:val="24"/>
              </w:rPr>
              <w:t>号），本项目属于3类声环境功能区。根据《声环境功能区划分技术规范》（GB/T15190-2014），本项目所在区声环境功能区划为3类区，相邻区域为3类声环境功能区时，交通干线边界线外20m±5m区域内执行4类标准，项目</w:t>
            </w:r>
            <w:r>
              <w:rPr>
                <w:rFonts w:hint="eastAsia" w:ascii="Times New Roman" w:hAnsi="Times New Roman" w:cs="Times New Roman" w:eastAsiaTheme="minorEastAsia"/>
                <w:color w:val="000000"/>
                <w:sz w:val="24"/>
                <w:lang w:val="en-US" w:eastAsia="zh-CN"/>
              </w:rPr>
              <w:t>北</w:t>
            </w:r>
            <w:r>
              <w:rPr>
                <w:rFonts w:hint="default" w:ascii="Times New Roman" w:hAnsi="Times New Roman" w:cs="Times New Roman" w:eastAsiaTheme="minorEastAsia"/>
                <w:color w:val="000000"/>
                <w:sz w:val="24"/>
              </w:rPr>
              <w:t>厂界</w:t>
            </w:r>
            <w:r>
              <w:rPr>
                <w:rFonts w:hint="eastAsia" w:ascii="Times New Roman" w:hAnsi="Times New Roman" w:cs="Times New Roman" w:eastAsiaTheme="minorEastAsia"/>
                <w:color w:val="000000"/>
                <w:sz w:val="24"/>
                <w:lang w:val="en-US" w:eastAsia="zh-CN"/>
              </w:rPr>
              <w:t>紧邻丁磨公路</w:t>
            </w:r>
            <w:r>
              <w:rPr>
                <w:rFonts w:hint="default" w:ascii="Times New Roman" w:hAnsi="Times New Roman" w:cs="Times New Roman" w:eastAsiaTheme="minorEastAsia"/>
                <w:color w:val="000000"/>
                <w:sz w:val="24"/>
              </w:rPr>
              <w:t>。故本项目厂界执行《工业企业厂界环境噪声排放标准》（GB12348-2008）中3</w:t>
            </w:r>
            <w:r>
              <w:rPr>
                <w:rFonts w:hint="eastAsia" w:ascii="Times New Roman" w:hAnsi="Times New Roman" w:cs="Times New Roman" w:eastAsiaTheme="minorEastAsia"/>
                <w:color w:val="000000"/>
                <w:sz w:val="24"/>
                <w:lang w:eastAsia="zh-CN"/>
              </w:rPr>
              <w:t>、</w:t>
            </w:r>
            <w:r>
              <w:rPr>
                <w:rFonts w:hint="eastAsia" w:ascii="Times New Roman" w:hAnsi="Times New Roman" w:cs="Times New Roman" w:eastAsiaTheme="minorEastAsia"/>
                <w:color w:val="000000"/>
                <w:sz w:val="24"/>
                <w:lang w:val="en-US" w:eastAsia="zh-CN"/>
              </w:rPr>
              <w:t>4（北厂界）</w:t>
            </w:r>
            <w:r>
              <w:rPr>
                <w:rFonts w:hint="default" w:ascii="Times New Roman" w:hAnsi="Times New Roman" w:cs="Times New Roman" w:eastAsiaTheme="minorEastAsia"/>
                <w:color w:val="000000"/>
                <w:sz w:val="24"/>
              </w:rPr>
              <w:t>类标准。</w:t>
            </w:r>
            <w:r>
              <w:rPr>
                <w:rFonts w:hint="default" w:ascii="Times New Roman" w:hAnsi="Times New Roman" w:cs="Times New Roman" w:eastAsiaTheme="minorEastAsia"/>
                <w:color w:val="000000"/>
                <w:sz w:val="24"/>
                <w:szCs w:val="24"/>
              </w:rPr>
              <w:t>具体标准见表</w:t>
            </w:r>
            <w:r>
              <w:rPr>
                <w:rFonts w:hint="default" w:ascii="Times New Roman" w:hAnsi="Times New Roman" w:cs="Times New Roman" w:eastAsiaTheme="minorEastAsia"/>
                <w:color w:val="000000"/>
                <w:sz w:val="24"/>
                <w:szCs w:val="24"/>
                <w:lang w:val="en-US" w:eastAsia="zh-CN"/>
              </w:rPr>
              <w:t>3</w:t>
            </w:r>
            <w:r>
              <w:rPr>
                <w:rFonts w:hint="default" w:ascii="Times New Roman" w:hAnsi="Times New Roman" w:cs="Times New Roman" w:eastAsiaTheme="minorEastAsia"/>
                <w:color w:val="000000"/>
                <w:sz w:val="24"/>
                <w:szCs w:val="24"/>
              </w:rPr>
              <w:t>-</w:t>
            </w:r>
            <w:r>
              <w:rPr>
                <w:rFonts w:hint="default" w:ascii="Times New Roman" w:hAnsi="Times New Roman" w:cs="Times New Roman" w:eastAsiaTheme="minorEastAsia"/>
                <w:color w:val="000000"/>
                <w:sz w:val="24"/>
                <w:szCs w:val="24"/>
                <w:lang w:val="en-US" w:eastAsia="zh-CN"/>
              </w:rPr>
              <w:t>9</w:t>
            </w:r>
            <w:r>
              <w:rPr>
                <w:rFonts w:hint="default" w:ascii="Times New Roman" w:hAnsi="Times New Roman" w:cs="Times New Roman" w:eastAsiaTheme="minorEastAsia"/>
                <w:color w:val="000000"/>
                <w:sz w:val="24"/>
                <w:szCs w:val="24"/>
              </w:rPr>
              <w:t>。</w:t>
            </w:r>
          </w:p>
          <w:p>
            <w:pPr>
              <w:pStyle w:val="4"/>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b/>
                <w:color w:val="000000"/>
                <w:sz w:val="24"/>
                <w:szCs w:val="24"/>
              </w:rPr>
              <w:t>表</w:t>
            </w:r>
            <w:r>
              <w:rPr>
                <w:rFonts w:hint="default" w:ascii="Times New Roman" w:hAnsi="Times New Roman" w:cs="Times New Roman" w:eastAsiaTheme="minorEastAsia"/>
                <w:b/>
                <w:color w:val="000000"/>
                <w:sz w:val="24"/>
                <w:szCs w:val="24"/>
                <w:lang w:val="en-US" w:eastAsia="zh-CN"/>
              </w:rPr>
              <w:t>3</w:t>
            </w:r>
            <w:r>
              <w:rPr>
                <w:rFonts w:hint="default" w:ascii="Times New Roman" w:hAnsi="Times New Roman" w:cs="Times New Roman" w:eastAsiaTheme="minorEastAsia"/>
                <w:b/>
                <w:color w:val="000000"/>
                <w:sz w:val="24"/>
                <w:szCs w:val="24"/>
              </w:rPr>
              <w:t>-</w:t>
            </w:r>
            <w:r>
              <w:rPr>
                <w:rFonts w:hint="default" w:ascii="Times New Roman" w:hAnsi="Times New Roman" w:cs="Times New Roman" w:eastAsiaTheme="minorEastAsia"/>
                <w:b/>
                <w:color w:val="000000"/>
                <w:sz w:val="24"/>
                <w:szCs w:val="24"/>
                <w:lang w:val="en-US" w:eastAsia="zh-CN"/>
              </w:rPr>
              <w:t>9</w:t>
            </w:r>
            <w:r>
              <w:rPr>
                <w:rFonts w:hint="default" w:ascii="Times New Roman" w:hAnsi="Times New Roman" w:cs="Times New Roman" w:eastAsiaTheme="minorEastAsia"/>
                <w:b/>
                <w:color w:val="000000"/>
                <w:sz w:val="24"/>
                <w:szCs w:val="24"/>
              </w:rPr>
              <w:t xml:space="preserve">  工业企业厂界环境噪声排放标准</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45"/>
              <w:gridCol w:w="1558"/>
              <w:gridCol w:w="1295"/>
              <w:gridCol w:w="1320"/>
              <w:gridCol w:w="26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restar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适用区域</w:t>
                  </w:r>
                </w:p>
              </w:tc>
              <w:tc>
                <w:tcPr>
                  <w:tcW w:w="982" w:type="pct"/>
                  <w:vMerge w:val="restar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功能区类别</w:t>
                  </w:r>
                </w:p>
              </w:tc>
              <w:tc>
                <w:tcPr>
                  <w:tcW w:w="1649" w:type="pct"/>
                  <w:gridSpan w:val="2"/>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标准限值（dB</w:t>
                  </w:r>
                  <w:r>
                    <w:rPr>
                      <w:rFonts w:hint="default" w:ascii="Times New Roman" w:hAnsi="Times New Roman" w:cs="Times New Roman" w:eastAsiaTheme="minorEastAsia"/>
                      <w:b/>
                      <w:color w:val="000000"/>
                      <w:sz w:val="21"/>
                      <w:szCs w:val="21"/>
                      <w:lang w:eastAsia="zh-CN"/>
                    </w:rPr>
                    <w:t>（</w:t>
                  </w:r>
                  <w:r>
                    <w:rPr>
                      <w:rFonts w:hint="default" w:ascii="Times New Roman" w:hAnsi="Times New Roman" w:cs="Times New Roman" w:eastAsiaTheme="minorEastAsia"/>
                      <w:b/>
                      <w:color w:val="000000"/>
                      <w:sz w:val="21"/>
                      <w:szCs w:val="21"/>
                    </w:rPr>
                    <w:cr/>
                  </w:r>
                  <w:r>
                    <w:rPr>
                      <w:rFonts w:hint="default" w:ascii="Times New Roman" w:hAnsi="Times New Roman" w:cs="Times New Roman" w:eastAsiaTheme="minorEastAsia"/>
                      <w:b/>
                      <w:color w:val="000000"/>
                      <w:sz w:val="21"/>
                      <w:szCs w:val="21"/>
                    </w:rPr>
                    <w:t>A））</w:t>
                  </w:r>
                </w:p>
              </w:tc>
              <w:tc>
                <w:tcPr>
                  <w:tcW w:w="164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22" w:type="pct"/>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982" w:type="pct"/>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c>
                <w:tcPr>
                  <w:tcW w:w="81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昼间</w:t>
                  </w:r>
                </w:p>
              </w:tc>
              <w:tc>
                <w:tcPr>
                  <w:tcW w:w="83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夜间</w:t>
                  </w:r>
                </w:p>
              </w:tc>
              <w:tc>
                <w:tcPr>
                  <w:tcW w:w="164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72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东、西、南</w:t>
                  </w:r>
                  <w:r>
                    <w:rPr>
                      <w:rFonts w:hint="default" w:ascii="Times New Roman" w:hAnsi="Times New Roman" w:cs="Times New Roman" w:eastAsiaTheme="minorEastAsia"/>
                      <w:color w:val="000000"/>
                      <w:sz w:val="21"/>
                      <w:szCs w:val="21"/>
                      <w:lang w:eastAsia="zh-CN"/>
                    </w:rPr>
                    <w:t>厂界</w:t>
                  </w:r>
                </w:p>
              </w:tc>
              <w:tc>
                <w:tcPr>
                  <w:tcW w:w="98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3</w:t>
                  </w:r>
                  <w:r>
                    <w:rPr>
                      <w:rFonts w:hint="default" w:ascii="Times New Roman" w:hAnsi="Times New Roman" w:cs="Times New Roman" w:eastAsiaTheme="minorEastAsia"/>
                      <w:color w:val="000000"/>
                      <w:sz w:val="21"/>
                      <w:szCs w:val="21"/>
                    </w:rPr>
                    <w:t>类</w:t>
                  </w:r>
                </w:p>
              </w:tc>
              <w:tc>
                <w:tcPr>
                  <w:tcW w:w="81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65</w:t>
                  </w:r>
                </w:p>
              </w:tc>
              <w:tc>
                <w:tcPr>
                  <w:tcW w:w="83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55</w:t>
                  </w:r>
                </w:p>
              </w:tc>
              <w:tc>
                <w:tcPr>
                  <w:tcW w:w="164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jc w:val="center"/>
              </w:trPr>
              <w:tc>
                <w:tcPr>
                  <w:tcW w:w="72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北厂区</w:t>
                  </w:r>
                </w:p>
              </w:tc>
              <w:tc>
                <w:tcPr>
                  <w:tcW w:w="98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4类</w:t>
                  </w:r>
                </w:p>
              </w:tc>
              <w:tc>
                <w:tcPr>
                  <w:tcW w:w="81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70</w:t>
                  </w:r>
                </w:p>
              </w:tc>
              <w:tc>
                <w:tcPr>
                  <w:tcW w:w="83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55</w:t>
                  </w:r>
                </w:p>
              </w:tc>
              <w:tc>
                <w:tcPr>
                  <w:tcW w:w="164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p>
              </w:tc>
            </w:tr>
          </w:tbl>
          <w:p>
            <w:pPr>
              <w:keepNext w:val="0"/>
              <w:keepLines w:val="0"/>
              <w:pageBreakBefore w:val="0"/>
              <w:widowControl w:val="0"/>
              <w:suppressLineNumbers w:val="0"/>
              <w:tabs>
                <w:tab w:val="left" w:pos="5142"/>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sz w:val="24"/>
                <w:szCs w:val="24"/>
              </w:rPr>
              <w:t>4</w:t>
            </w:r>
            <w:r>
              <w:rPr>
                <w:rFonts w:hint="default" w:ascii="Times New Roman" w:hAnsi="Times New Roman" w:cs="Times New Roman" w:eastAsiaTheme="minorEastAsia"/>
                <w:b/>
                <w:color w:val="000000"/>
                <w:sz w:val="24"/>
                <w:szCs w:val="24"/>
                <w:lang w:eastAsia="zh-CN"/>
              </w:rPr>
              <w:t>、</w:t>
            </w:r>
            <w:r>
              <w:rPr>
                <w:rFonts w:hint="default" w:ascii="Times New Roman" w:hAnsi="Times New Roman" w:cs="Times New Roman" w:eastAsiaTheme="minorEastAsia"/>
                <w:b/>
                <w:color w:val="000000"/>
                <w:sz w:val="24"/>
                <w:szCs w:val="24"/>
              </w:rPr>
              <w:t>固体废物排放标准</w:t>
            </w:r>
          </w:p>
          <w:p>
            <w:pPr>
              <w:pStyle w:val="4"/>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一般固体废物执行《关于发布＜固体废物分类与代码目录＞的公告》（生态环境部公告2024年第4号）。一般工业固废贮存执行《一般工业固体废物贮存和填埋污染控制标准》（GB18599-2020）中相关要求。</w:t>
            </w:r>
          </w:p>
          <w:p>
            <w:pPr>
              <w:pStyle w:val="4"/>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危险废物贮存执行《危险废物贮存污染控制标准》（GB18597-2023）、省生态环境厅关于印发《江苏省固体废物全过程环境监管工作意见》的通知（苏环办〔2024〕16号）、江苏省印发《关于进一步加强危险废物环境管理工作的通知》（苏环办〔2021〕207号）有关规定要求进行危险废物的包装、贮存设施的选址、设计、运行、安全防护、监测和关闭等。</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rPr>
            </w:pPr>
            <w:r>
              <w:rPr>
                <w:rFonts w:hint="default" w:ascii="Times New Roman" w:hAnsi="Times New Roman" w:eastAsia="宋体" w:cs="Times New Roman"/>
                <w:b w:val="0"/>
                <w:bCs w:val="0"/>
                <w:color w:val="000000"/>
                <w:sz w:val="24"/>
                <w:szCs w:val="24"/>
              </w:rPr>
              <w:t>生活垃圾处置参照执行《城市生活垃圾处理及污染防治技术政策》（建成〔2000〕120号）和《生活垃圾处理技术指南》（建城〔2010〕61号）以及国家、省市关于固体废物污染环境防治的法律法规</w:t>
            </w:r>
            <w:r>
              <w:rPr>
                <w:rFonts w:hint="default" w:ascii="Times New Roman" w:hAnsi="Times New Roman" w:cs="Times New Roman" w:eastAsiaTheme="minorEastAsia"/>
                <w:b w:val="0"/>
                <w:bCs w:val="0"/>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8" w:hRule="atLeast"/>
          <w:jc w:val="center"/>
        </w:trPr>
        <w:tc>
          <w:tcPr>
            <w:tcW w:w="5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000000"/>
                <w:kern w:val="0"/>
                <w:szCs w:val="21"/>
              </w:rPr>
            </w:pPr>
            <w:r>
              <w:rPr>
                <w:rFonts w:hint="default" w:ascii="Times New Roman" w:hAnsi="Times New Roman" w:cs="Times New Roman" w:eastAsiaTheme="minorEastAsia"/>
                <w:b/>
                <w:bCs/>
                <w:color w:val="000000"/>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kern w:val="0"/>
                <w:szCs w:val="21"/>
              </w:rPr>
            </w:pPr>
            <w:r>
              <w:rPr>
                <w:rFonts w:hint="default" w:ascii="Times New Roman" w:hAnsi="Times New Roman" w:cs="Times New Roman" w:eastAsiaTheme="minorEastAsia"/>
                <w:b/>
                <w:bCs/>
                <w:color w:val="000000"/>
                <w:kern w:val="0"/>
                <w:szCs w:val="21"/>
              </w:rPr>
              <w:t>指标</w:t>
            </w:r>
          </w:p>
        </w:tc>
        <w:tc>
          <w:tcPr>
            <w:tcW w:w="8178" w:type="dxa"/>
            <w:noWrap w:val="0"/>
            <w:vAlign w:val="top"/>
          </w:tcPr>
          <w:p>
            <w:pPr>
              <w:keepNext w:val="0"/>
              <w:keepLines w:val="0"/>
              <w:pageBreakBefore w:val="0"/>
              <w:widowControl w:val="0"/>
              <w:suppressLineNumbers w:val="0"/>
              <w:tabs>
                <w:tab w:val="left" w:pos="2415"/>
                <w:tab w:val="center" w:pos="4662"/>
              </w:tabs>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bCs/>
                <w:color w:val="000000"/>
                <w:sz w:val="24"/>
                <w:szCs w:val="24"/>
                <w:lang w:val="en-US" w:eastAsia="zh-CN"/>
              </w:rPr>
            </w:pPr>
            <w:r>
              <w:rPr>
                <w:rFonts w:hint="default" w:ascii="Times New Roman" w:hAnsi="Times New Roman" w:cs="Times New Roman" w:eastAsiaTheme="minorEastAsia"/>
                <w:b/>
                <w:bCs/>
                <w:color w:val="000000"/>
                <w:sz w:val="24"/>
                <w:szCs w:val="24"/>
                <w:lang w:val="en-US" w:eastAsia="zh-CN"/>
              </w:rPr>
              <w:t>1、总量控制指标</w:t>
            </w:r>
          </w:p>
          <w:p>
            <w:pPr>
              <w:keepNext w:val="0"/>
              <w:keepLines w:val="0"/>
              <w:pageBreakBefore w:val="0"/>
              <w:widowControl w:val="0"/>
              <w:suppressLineNumbers w:val="0"/>
              <w:tabs>
                <w:tab w:val="left" w:pos="2415"/>
                <w:tab w:val="center" w:pos="4662"/>
              </w:tabs>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lang w:val="en-US" w:eastAsia="zh-CN"/>
              </w:rPr>
              <w:t>（1）</w:t>
            </w:r>
            <w:r>
              <w:rPr>
                <w:rFonts w:hint="default" w:ascii="Times New Roman" w:hAnsi="Times New Roman" w:cs="Times New Roman" w:eastAsiaTheme="minorEastAsia"/>
                <w:color w:val="000000"/>
                <w:sz w:val="24"/>
                <w:szCs w:val="24"/>
                <w:lang w:eastAsia="zh-CN"/>
              </w:rPr>
              <w:t>本</w:t>
            </w:r>
            <w:r>
              <w:rPr>
                <w:rFonts w:hint="default" w:ascii="Times New Roman" w:hAnsi="Times New Roman" w:cs="Times New Roman" w:eastAsiaTheme="minorEastAsia"/>
                <w:color w:val="000000"/>
                <w:sz w:val="24"/>
                <w:szCs w:val="24"/>
              </w:rPr>
              <w:t>项目污染物产生及排放情况汇总见表</w:t>
            </w:r>
            <w:r>
              <w:rPr>
                <w:rFonts w:hint="default" w:ascii="Times New Roman" w:hAnsi="Times New Roman" w:cs="Times New Roman" w:eastAsiaTheme="minorEastAsia"/>
                <w:color w:val="000000"/>
                <w:sz w:val="24"/>
                <w:szCs w:val="24"/>
                <w:lang w:val="en-US" w:eastAsia="zh-CN"/>
              </w:rPr>
              <w:t>3-10</w:t>
            </w:r>
            <w:r>
              <w:rPr>
                <w:rFonts w:hint="default" w:ascii="Times New Roman" w:hAnsi="Times New Roman" w:cs="Times New Roman" w:eastAsiaTheme="minorEastAsia"/>
                <w:color w:val="000000"/>
                <w:sz w:val="24"/>
                <w:szCs w:val="24"/>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表</w:t>
            </w:r>
            <w:r>
              <w:rPr>
                <w:rFonts w:hint="default" w:ascii="Times New Roman" w:hAnsi="Times New Roman" w:cs="Times New Roman" w:eastAsiaTheme="minorEastAsia"/>
                <w:b/>
                <w:bCs/>
                <w:color w:val="000000"/>
                <w:sz w:val="24"/>
                <w:szCs w:val="24"/>
                <w:lang w:val="en-US" w:eastAsia="zh-CN"/>
              </w:rPr>
              <w:t>3-10</w:t>
            </w:r>
            <w:r>
              <w:rPr>
                <w:rFonts w:hint="default" w:ascii="Times New Roman" w:hAnsi="Times New Roman" w:cs="Times New Roman" w:eastAsiaTheme="minorEastAsia"/>
                <w:b/>
                <w:bCs/>
                <w:color w:val="000000"/>
                <w:sz w:val="24"/>
                <w:szCs w:val="24"/>
              </w:rPr>
              <w:t xml:space="preserve"> </w:t>
            </w:r>
            <w:r>
              <w:rPr>
                <w:rFonts w:hint="default" w:ascii="Times New Roman" w:hAnsi="Times New Roman" w:cs="Times New Roman" w:eastAsiaTheme="minorEastAsia"/>
                <w:b/>
                <w:bCs/>
                <w:color w:val="000000"/>
                <w:sz w:val="24"/>
                <w:szCs w:val="24"/>
                <w:lang w:val="en-US" w:eastAsia="zh-CN"/>
              </w:rPr>
              <w:t>本</w:t>
            </w:r>
            <w:r>
              <w:rPr>
                <w:rFonts w:hint="default" w:ascii="Times New Roman" w:hAnsi="Times New Roman" w:cs="Times New Roman" w:eastAsiaTheme="minorEastAsia"/>
                <w:b/>
                <w:bCs/>
                <w:color w:val="000000"/>
                <w:sz w:val="24"/>
                <w:szCs w:val="24"/>
              </w:rPr>
              <w:t>项目污染物产生及排放情况汇总</w:t>
            </w:r>
            <w:r>
              <w:rPr>
                <w:rFonts w:hint="default" w:ascii="Times New Roman" w:hAnsi="Times New Roman" w:cs="Times New Roman" w:eastAsiaTheme="minorEastAsia"/>
                <w:b/>
                <w:bCs/>
                <w:color w:val="000000"/>
                <w:sz w:val="24"/>
                <w:szCs w:val="24"/>
                <w:lang w:val="en-US" w:eastAsia="zh-CN"/>
              </w:rPr>
              <w:t xml:space="preserve">   </w:t>
            </w:r>
            <w:r>
              <w:rPr>
                <w:rFonts w:hint="default" w:ascii="Times New Roman" w:hAnsi="Times New Roman" w:cs="Times New Roman" w:eastAsiaTheme="minorEastAsia"/>
                <w:b/>
                <w:bCs/>
                <w:color w:val="000000"/>
                <w:sz w:val="24"/>
                <w:szCs w:val="24"/>
              </w:rPr>
              <w:t>单位：t/a</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84"/>
              <w:gridCol w:w="1359"/>
              <w:gridCol w:w="1530"/>
              <w:gridCol w:w="1310"/>
              <w:gridCol w:w="1177"/>
              <w:gridCol w:w="984"/>
              <w:gridCol w:w="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94" w:hRule="atLeast"/>
                <w:jc w:val="center"/>
              </w:trPr>
              <w:tc>
                <w:tcPr>
                  <w:tcW w:w="368"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类别</w:t>
                  </w:r>
                </w:p>
              </w:tc>
              <w:tc>
                <w:tcPr>
                  <w:tcW w:w="1821" w:type="pct"/>
                  <w:gridSpan w:val="2"/>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污染物名称</w:t>
                  </w:r>
                </w:p>
              </w:tc>
              <w:tc>
                <w:tcPr>
                  <w:tcW w:w="82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产生量</w:t>
                  </w:r>
                </w:p>
              </w:tc>
              <w:tc>
                <w:tcPr>
                  <w:tcW w:w="742"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削减量</w:t>
                  </w:r>
                </w:p>
              </w:tc>
              <w:tc>
                <w:tcPr>
                  <w:tcW w:w="124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r>
                    <w:rPr>
                      <w:rFonts w:hint="default" w:ascii="Times New Roman" w:hAnsi="Times New Roman" w:cs="Times New Roman" w:eastAsiaTheme="minorEastAsia"/>
                      <w:b/>
                      <w:color w:val="000000"/>
                      <w:sz w:val="21"/>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94"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1821" w:type="pct"/>
                  <w:gridSpan w:val="2"/>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82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742"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rPr>
                  </w:pPr>
                </w:p>
              </w:tc>
              <w:tc>
                <w:tcPr>
                  <w:tcW w:w="62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color w:val="000000"/>
                      <w:sz w:val="21"/>
                      <w:szCs w:val="21"/>
                      <w:lang w:val="en-US" w:eastAsia="zh-CN"/>
                    </w:rPr>
                    <w:t>接管量</w:t>
                  </w:r>
                </w:p>
              </w:tc>
              <w:tc>
                <w:tcPr>
                  <w:tcW w:w="62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color w:val="000000"/>
                      <w:sz w:val="21"/>
                      <w:szCs w:val="21"/>
                      <w:lang w:val="en-US" w:eastAsia="zh-CN"/>
                    </w:rPr>
                    <w:t>外排量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000000"/>
                      <w:sz w:val="21"/>
                      <w:szCs w:val="21"/>
                      <w:lang w:eastAsia="zh-CN"/>
                    </w:rPr>
                  </w:pPr>
                  <w:r>
                    <w:rPr>
                      <w:rFonts w:hint="default" w:ascii="Times New Roman" w:hAnsi="Times New Roman" w:cs="Times New Roman" w:eastAsiaTheme="minorEastAsia"/>
                      <w:b w:val="0"/>
                      <w:bCs/>
                      <w:color w:val="000000"/>
                      <w:sz w:val="21"/>
                      <w:szCs w:val="21"/>
                      <w:lang w:eastAsia="zh-CN"/>
                    </w:rPr>
                    <w:t>废水</w:t>
                  </w: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废水量</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360</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COD</w:t>
                  </w:r>
                </w:p>
              </w:tc>
              <w:tc>
                <w:tcPr>
                  <w:tcW w:w="826"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0.1224 </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0.049</w:t>
                  </w:r>
                </w:p>
              </w:tc>
              <w:tc>
                <w:tcPr>
                  <w:tcW w:w="620"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0.0734 </w:t>
                  </w:r>
                </w:p>
              </w:tc>
              <w:tc>
                <w:tcPr>
                  <w:tcW w:w="621"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SS</w:t>
                  </w:r>
                </w:p>
              </w:tc>
              <w:tc>
                <w:tcPr>
                  <w:tcW w:w="826"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0.09 </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0.054</w:t>
                  </w:r>
                </w:p>
              </w:tc>
              <w:tc>
                <w:tcPr>
                  <w:tcW w:w="620"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0.036</w:t>
                  </w:r>
                </w:p>
              </w:tc>
              <w:tc>
                <w:tcPr>
                  <w:tcW w:w="621"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氨氮</w:t>
                  </w:r>
                </w:p>
              </w:tc>
              <w:tc>
                <w:tcPr>
                  <w:tcW w:w="826"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0.0117 </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w:t>
                  </w:r>
                </w:p>
              </w:tc>
              <w:tc>
                <w:tcPr>
                  <w:tcW w:w="620"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0.0117</w:t>
                  </w:r>
                </w:p>
              </w:tc>
              <w:tc>
                <w:tcPr>
                  <w:tcW w:w="621"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0.0019*（0.0006+0.0013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总氮</w:t>
                  </w:r>
                </w:p>
              </w:tc>
              <w:tc>
                <w:tcPr>
                  <w:tcW w:w="826"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0.0161 </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w:t>
                  </w:r>
                </w:p>
              </w:tc>
              <w:tc>
                <w:tcPr>
                  <w:tcW w:w="620"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0.0161</w:t>
                  </w:r>
                </w:p>
              </w:tc>
              <w:tc>
                <w:tcPr>
                  <w:tcW w:w="621"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0.0050*（0.0018+0.0032）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总磷</w:t>
                  </w:r>
                </w:p>
              </w:tc>
              <w:tc>
                <w:tcPr>
                  <w:tcW w:w="826"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bidi="ar"/>
                    </w:rPr>
                    <w:t xml:space="preserve">0.0015 </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w:t>
                  </w:r>
                </w:p>
              </w:tc>
              <w:tc>
                <w:tcPr>
                  <w:tcW w:w="620"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0.0015</w:t>
                  </w:r>
                </w:p>
              </w:tc>
              <w:tc>
                <w:tcPr>
                  <w:tcW w:w="621"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leftChars="0" w:right="0" w:rightChars="0"/>
                    <w:jc w:val="center"/>
                    <w:rPr>
                      <w:rFonts w:hint="default" w:ascii="Times New Roman" w:hAnsi="Times New Roman" w:cs="Times New Roman" w:eastAsiaTheme="minorEastAsia"/>
                      <w:sz w:val="21"/>
                      <w:szCs w:val="21"/>
                      <w:lang w:val="en-US" w:eastAsia="zh-CN" w:bidi="ar"/>
                    </w:rPr>
                  </w:pPr>
                  <w:r>
                    <w:rPr>
                      <w:rFonts w:hint="eastAsia" w:ascii="Times New Roman" w:hAnsi="Times New Roman" w:cs="Times New Roman" w:eastAsiaTheme="minorEastAsia"/>
                      <w:sz w:val="21"/>
                      <w:szCs w:val="21"/>
                      <w:lang w:val="en-US" w:eastAsia="zh-CN" w:bidi="ar"/>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r>
                    <w:rPr>
                      <w:rFonts w:hint="default" w:ascii="Times New Roman" w:hAnsi="Times New Roman" w:cs="Times New Roman" w:eastAsiaTheme="minorEastAsia"/>
                      <w:b w:val="0"/>
                      <w:bCs/>
                      <w:color w:val="000000"/>
                      <w:sz w:val="21"/>
                      <w:szCs w:val="21"/>
                      <w:lang w:eastAsia="zh-CN"/>
                    </w:rPr>
                    <w:t>废气</w:t>
                  </w:r>
                </w:p>
              </w:tc>
              <w:tc>
                <w:tcPr>
                  <w:tcW w:w="856"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有组织</w:t>
                  </w:r>
                </w:p>
              </w:tc>
              <w:tc>
                <w:tcPr>
                  <w:tcW w:w="964"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lang w:val="en-US" w:eastAsia="zh-CN" w:bidi="ar-SA"/>
                    </w:rPr>
                  </w:pPr>
                  <w:r>
                    <w:rPr>
                      <w:rFonts w:hint="default" w:ascii="Times New Roman" w:hAnsi="Times New Roman" w:cs="Times New Roman" w:eastAsiaTheme="minorEastAsia"/>
                      <w:b w:val="0"/>
                      <w:bCs/>
                      <w:color w:val="000000"/>
                      <w:sz w:val="21"/>
                      <w:szCs w:val="21"/>
                      <w:lang w:val="en-US" w:eastAsia="zh-CN"/>
                    </w:rPr>
                    <w:t>非甲烷总烃</w:t>
                  </w:r>
                </w:p>
              </w:tc>
              <w:tc>
                <w:tcPr>
                  <w:tcW w:w="826"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2.445</w:t>
                  </w:r>
                </w:p>
              </w:tc>
              <w:tc>
                <w:tcPr>
                  <w:tcW w:w="742"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2.200</w:t>
                  </w:r>
                  <w:r>
                    <w:rPr>
                      <w:rFonts w:hint="eastAsia" w:ascii="Times New Roman" w:hAnsi="Times New Roman" w:cs="Times New Roman" w:eastAsiaTheme="minorEastAsia"/>
                      <w:i w:val="0"/>
                      <w:iCs w:val="0"/>
                      <w:color w:val="000000"/>
                      <w:kern w:val="0"/>
                      <w:sz w:val="21"/>
                      <w:szCs w:val="21"/>
                      <w:u w:val="none"/>
                      <w:lang w:val="en-US" w:eastAsia="zh-CN" w:bidi="ar"/>
                    </w:rPr>
                    <w:t>5</w:t>
                  </w:r>
                </w:p>
              </w:tc>
              <w:tc>
                <w:tcPr>
                  <w:tcW w:w="1241"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0.2445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964"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（其中酚类）</w:t>
                  </w:r>
                </w:p>
              </w:tc>
              <w:tc>
                <w:tcPr>
                  <w:tcW w:w="826"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0.4537</w:t>
                  </w:r>
                </w:p>
              </w:tc>
              <w:tc>
                <w:tcPr>
                  <w:tcW w:w="742"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0.4083</w:t>
                  </w:r>
                </w:p>
              </w:tc>
              <w:tc>
                <w:tcPr>
                  <w:tcW w:w="1241"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964"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（其中氯苯类）</w:t>
                  </w:r>
                </w:p>
              </w:tc>
              <w:tc>
                <w:tcPr>
                  <w:tcW w:w="826"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0.1134</w:t>
                  </w:r>
                </w:p>
              </w:tc>
              <w:tc>
                <w:tcPr>
                  <w:tcW w:w="742"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0.1021</w:t>
                  </w:r>
                </w:p>
              </w:tc>
              <w:tc>
                <w:tcPr>
                  <w:tcW w:w="1241"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无组织</w:t>
                  </w:r>
                </w:p>
              </w:tc>
              <w:tc>
                <w:tcPr>
                  <w:tcW w:w="96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颗粒物</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w:t>
                  </w:r>
                  <w:r>
                    <w:rPr>
                      <w:rFonts w:hint="eastAsia" w:ascii="Times New Roman" w:hAnsi="Times New Roman" w:cs="Times New Roman" w:eastAsiaTheme="minorEastAsia"/>
                      <w:color w:val="000000"/>
                      <w:sz w:val="21"/>
                      <w:szCs w:val="21"/>
                      <w:lang w:val="en-US" w:eastAsia="zh-CN"/>
                    </w:rPr>
                    <w:t>9</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0.0769</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w:t>
                  </w:r>
                  <w:r>
                    <w:rPr>
                      <w:rFonts w:hint="eastAsia" w:ascii="Times New Roman" w:hAnsi="Times New Roman" w:cs="Times New Roman" w:eastAsiaTheme="minorEastAsia"/>
                      <w:color w:val="000000"/>
                      <w:kern w:val="2"/>
                      <w:sz w:val="21"/>
                      <w:szCs w:val="21"/>
                      <w:lang w:val="en-US" w:eastAsia="zh-CN" w:bidi="ar-SA"/>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96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非甲烷总烃</w:t>
                  </w:r>
                </w:p>
              </w:tc>
              <w:tc>
                <w:tcPr>
                  <w:tcW w:w="826"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0.28</w:t>
                  </w:r>
                  <w:r>
                    <w:rPr>
                      <w:rFonts w:hint="eastAsia" w:ascii="Times New Roman" w:hAnsi="Times New Roman" w:cs="Times New Roman" w:eastAsiaTheme="minorEastAsia"/>
                      <w:color w:val="000000"/>
                      <w:kern w:val="2"/>
                      <w:sz w:val="21"/>
                      <w:szCs w:val="21"/>
                      <w:lang w:val="en-US" w:eastAsia="zh-CN" w:bidi="ar-SA"/>
                    </w:rPr>
                    <w:t>24</w:t>
                  </w:r>
                </w:p>
              </w:tc>
              <w:tc>
                <w:tcPr>
                  <w:tcW w:w="742"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1241" w:type="pct"/>
                  <w:gridSpan w:val="2"/>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0.28</w:t>
                  </w:r>
                  <w:r>
                    <w:rPr>
                      <w:rFonts w:hint="eastAsia" w:ascii="Times New Roman" w:hAnsi="Times New Roman" w:cs="Times New Roman" w:eastAsiaTheme="minorEastAsia"/>
                      <w:color w:val="000000"/>
                      <w:kern w:val="2"/>
                      <w:sz w:val="21"/>
                      <w:szCs w:val="21"/>
                      <w:lang w:val="en-US" w:eastAsia="zh-CN" w:bidi="ar-SA"/>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964"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（其中酚类）</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0.0504</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856"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sz w:val="21"/>
                      <w:szCs w:val="21"/>
                      <w:lang w:val="en-US" w:eastAsia="zh-CN"/>
                    </w:rPr>
                  </w:pPr>
                </w:p>
              </w:tc>
              <w:tc>
                <w:tcPr>
                  <w:tcW w:w="964"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（其中氯苯类）</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0.0126</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0.0126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r>
                    <w:rPr>
                      <w:rFonts w:hint="default" w:ascii="Times New Roman" w:hAnsi="Times New Roman" w:cs="Times New Roman" w:eastAsiaTheme="minorEastAsia"/>
                      <w:b w:val="0"/>
                      <w:bCs/>
                      <w:color w:val="000000"/>
                      <w:sz w:val="21"/>
                      <w:szCs w:val="21"/>
                      <w:lang w:eastAsia="zh-CN"/>
                    </w:rPr>
                    <w:t>固废</w:t>
                  </w: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一般固废</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268.2269</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268.2269</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危险固废</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31.6605</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eastAsia" w:ascii="Times New Roman" w:hAnsi="Times New Roman" w:cs="Times New Roman" w:eastAsiaTheme="minorEastAsia"/>
                      <w:i w:val="0"/>
                      <w:iCs w:val="0"/>
                      <w:color w:val="000000"/>
                      <w:kern w:val="0"/>
                      <w:sz w:val="21"/>
                      <w:szCs w:val="21"/>
                      <w:u w:val="none"/>
                      <w:lang w:val="en-US" w:eastAsia="zh-CN" w:bidi="ar"/>
                    </w:rPr>
                    <w:t>31.6605</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176" w:hRule="atLeast"/>
                <w:jc w:val="center"/>
              </w:trPr>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val="0"/>
                      <w:bCs/>
                      <w:color w:val="000000"/>
                      <w:sz w:val="21"/>
                      <w:szCs w:val="21"/>
                      <w:lang w:eastAsia="zh-CN"/>
                    </w:rPr>
                  </w:pPr>
                </w:p>
              </w:tc>
              <w:tc>
                <w:tcPr>
                  <w:tcW w:w="1821"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生活垃圾</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9</w:t>
                  </w:r>
                </w:p>
              </w:tc>
              <w:tc>
                <w:tcPr>
                  <w:tcW w:w="7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9</w:t>
                  </w:r>
                </w:p>
              </w:tc>
              <w:tc>
                <w:tcPr>
                  <w:tcW w:w="1241"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w:t>
                  </w:r>
                </w:p>
              </w:tc>
            </w:tr>
          </w:tbl>
          <w:p>
            <w:pPr>
              <w:pStyle w:val="13"/>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val="0"/>
                <w:bCs w:val="0"/>
                <w:color w:val="auto"/>
                <w:sz w:val="21"/>
                <w:szCs w:val="21"/>
                <w:lang w:val="en-US" w:eastAsia="zh-CN"/>
              </w:rPr>
              <w:t>注：*括号内为每年4-10月外排环境量+每年1-3月、11-12月外排环境量。</w:t>
            </w:r>
          </w:p>
          <w:p>
            <w:pPr>
              <w:pStyle w:val="13"/>
              <w:keepNext w:val="0"/>
              <w:keepLines w:val="0"/>
              <w:suppressLineNumbers w:val="0"/>
              <w:spacing w:before="0" w:beforeAutospacing="0" w:after="0" w:afterAutospacing="0" w:line="360" w:lineRule="auto"/>
              <w:ind w:left="420" w:leftChars="200" w:right="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rPr>
              <w:t>排污许可管理类型</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本项目行业类别属于[</w:t>
            </w:r>
            <w:r>
              <w:rPr>
                <w:rFonts w:hint="default" w:ascii="Times New Roman" w:hAnsi="Times New Roman" w:cs="Times New Roman" w:eastAsiaTheme="minorEastAsia"/>
                <w:color w:val="auto"/>
                <w:sz w:val="24"/>
                <w:szCs w:val="24"/>
                <w:lang w:eastAsia="zh-CN"/>
              </w:rPr>
              <w:t>C2922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塑料板、管、型材制造</w:t>
            </w:r>
            <w:r>
              <w:rPr>
                <w:rFonts w:hint="default" w:ascii="Times New Roman" w:hAnsi="Times New Roman" w:cs="Times New Roman" w:eastAsiaTheme="minorEastAsia"/>
                <w:color w:val="auto"/>
                <w:sz w:val="24"/>
                <w:szCs w:val="24"/>
              </w:rPr>
              <w:t>，对照《固定污染源排污许可分类管理名录》（2019年版），本项目</w:t>
            </w:r>
            <w:r>
              <w:rPr>
                <w:rFonts w:hint="default" w:ascii="Times New Roman" w:hAnsi="Times New Roman" w:cs="Times New Roman" w:eastAsiaTheme="minorEastAsia"/>
                <w:color w:val="auto"/>
                <w:sz w:val="24"/>
                <w:szCs w:val="24"/>
                <w:lang w:val="en-US" w:eastAsia="zh-CN"/>
              </w:rPr>
              <w:t>不属于重点污染排污单位，同时本项目产能不超过1万吨，因此本项目属于</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二十四</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橡胶和塑料制品业29</w:t>
            </w:r>
            <w:r>
              <w:rPr>
                <w:rFonts w:hint="default" w:ascii="Times New Roman" w:hAnsi="Times New Roman" w:cs="Times New Roman" w:eastAsiaTheme="minorEastAsia"/>
                <w:color w:val="auto"/>
                <w:sz w:val="24"/>
                <w:szCs w:val="24"/>
              </w:rPr>
              <w:t xml:space="preserve"> </w:t>
            </w:r>
            <w:r>
              <w:rPr>
                <w:rFonts w:hint="default" w:ascii="Times New Roman" w:hAnsi="Times New Roman" w:cs="Times New Roman" w:eastAsiaTheme="minorEastAsia"/>
                <w:color w:val="auto"/>
                <w:sz w:val="24"/>
                <w:szCs w:val="24"/>
                <w:lang w:val="en-US" w:eastAsia="zh-CN"/>
              </w:rPr>
              <w:t>塑料制品业292</w:t>
            </w:r>
            <w:r>
              <w:rPr>
                <w:rFonts w:hint="default" w:ascii="Times New Roman" w:hAnsi="Times New Roman" w:cs="Times New Roman" w:eastAsiaTheme="minorEastAsia"/>
                <w:color w:val="auto"/>
                <w:sz w:val="24"/>
                <w:szCs w:val="24"/>
              </w:rPr>
              <w:t>”中“</w:t>
            </w:r>
            <w:r>
              <w:rPr>
                <w:rFonts w:hint="default" w:ascii="Times New Roman" w:hAnsi="Times New Roman" w:cs="Times New Roman" w:eastAsiaTheme="minorEastAsia"/>
                <w:color w:val="auto"/>
                <w:sz w:val="24"/>
                <w:szCs w:val="24"/>
                <w:lang w:val="en-US" w:eastAsia="zh-CN"/>
              </w:rPr>
              <w:t>其他</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为登记</w:t>
            </w:r>
            <w:r>
              <w:rPr>
                <w:rFonts w:hint="default" w:ascii="Times New Roman" w:hAnsi="Times New Roman" w:cs="Times New Roman" w:eastAsiaTheme="minorEastAsia"/>
                <w:color w:val="auto"/>
                <w:sz w:val="24"/>
                <w:szCs w:val="24"/>
              </w:rPr>
              <w:t>管理。</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排污许可技术规范核算许可排放量</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关于印发《关于做好建设项目挥发性有机物排放管理工作的意见（试行）》的通知（通环办〔2025〕32号），“排污单位需交易获得的排污总量指标，以及排污许可证核增的许可排放量，应与环评批复的新增排污总量（包括有组织、无组织）保持一致。环境影响报告书（表）编制时，应按照相关规定选择适用可行的核算方法确定建设项目污染物排放量，且不得大于对应行业《排污许可申请与核发技术规范》中规定方法所测算的污染物排放量。环境影响报告书（表）中，污染源源强核算（主要环境影响和保护措施）章节对污染物排放量的分析，应根据《排污许可申请与核发技术规范》分别明确主要排放口、一般排放口排放量，区分有组织排放及无组织排放。”</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根据《南通市如皋生态环境局关于优化和完善项目环评总量预报与审批流程的会议纪要》中“</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进一步完善源强核算。（1）新、改、扩建项目根据《关于印发&lt;南通市关于推进固定污染源排污总量数据统一的工作方案</w:t>
            </w:r>
            <w:r>
              <w:rPr>
                <w:rFonts w:hint="default" w:ascii="Times New Roman" w:hAnsi="Times New Roman" w:cs="Times New Roman" w:eastAsiaTheme="minorEastAsia"/>
                <w:color w:val="auto"/>
                <w:sz w:val="24"/>
                <w:szCs w:val="24"/>
                <w:lang w:val="en-US" w:eastAsia="zh-CN"/>
              </w:rPr>
              <w:t>&gt;</w:t>
            </w:r>
            <w:r>
              <w:rPr>
                <w:rFonts w:hint="default" w:ascii="Times New Roman" w:hAnsi="Times New Roman" w:cs="Times New Roman" w:eastAsiaTheme="minorEastAsia"/>
                <w:color w:val="auto"/>
                <w:sz w:val="24"/>
                <w:szCs w:val="24"/>
              </w:rPr>
              <w:t>的通知》（通环办〔2024〕50号）需在排污许可证中对企业进行全赋量，因此源强核算应对照排污许可技术规范进行全面核算，与环评核算对比取严，并在环评文本中提供计算过程，执行标准等。即，无论排污许可技术规范是否明确该排口是否需要许可排放量，均应参照行业技术规范、通用工序技术规范、技术规范总则等，选择合适的核算方法（应注意本排放口在所选核算方法的适用范围内）对各排放口许可排放量进行全面核算。”</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（1）有组织废气核算</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全厂</w:t>
            </w:r>
            <w:r>
              <w:rPr>
                <w:rFonts w:hint="default" w:ascii="Times New Roman" w:hAnsi="Times New Roman" w:cs="Times New Roman" w:eastAsiaTheme="minorEastAsia"/>
                <w:color w:val="auto"/>
                <w:sz w:val="24"/>
                <w:szCs w:val="24"/>
              </w:rPr>
              <w:t>有组织废气主要为</w:t>
            </w:r>
            <w:r>
              <w:rPr>
                <w:rFonts w:hint="default" w:ascii="Times New Roman" w:hAnsi="Times New Roman" w:cs="Times New Roman" w:eastAsiaTheme="minorEastAsia"/>
                <w:color w:val="auto"/>
                <w:sz w:val="24"/>
                <w:szCs w:val="24"/>
                <w:lang w:val="en-US" w:eastAsia="zh-CN"/>
              </w:rPr>
              <w:t>挤出</w:t>
            </w:r>
            <w:r>
              <w:rPr>
                <w:rFonts w:hint="eastAsia" w:ascii="Times New Roman" w:hAnsi="Times New Roman" w:cs="Times New Roman" w:eastAsiaTheme="minorEastAsia"/>
                <w:color w:val="auto"/>
                <w:sz w:val="24"/>
                <w:szCs w:val="24"/>
                <w:lang w:val="en-US" w:eastAsia="zh-CN"/>
              </w:rPr>
              <w:t>、熔融</w:t>
            </w:r>
            <w:r>
              <w:rPr>
                <w:rFonts w:hint="default" w:ascii="Times New Roman" w:hAnsi="Times New Roman" w:cs="Times New Roman" w:eastAsiaTheme="minorEastAsia"/>
                <w:color w:val="auto"/>
                <w:sz w:val="24"/>
                <w:szCs w:val="24"/>
                <w:lang w:val="en-US" w:eastAsia="zh-CN"/>
              </w:rPr>
              <w:t>废气（DA001）</w:t>
            </w:r>
            <w:r>
              <w:rPr>
                <w:rFonts w:hint="default" w:ascii="Times New Roman" w:hAnsi="Times New Roman" w:cs="Times New Roman" w:eastAsiaTheme="minorEastAsia"/>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auto"/>
                <w:sz w:val="24"/>
                <w:szCs w:val="24"/>
              </w:rPr>
              <w:t>本项目为〔</w:t>
            </w:r>
            <w:r>
              <w:rPr>
                <w:rFonts w:hint="default" w:ascii="Times New Roman" w:hAnsi="Times New Roman" w:cs="Times New Roman" w:eastAsiaTheme="minorEastAsia"/>
                <w:color w:val="auto"/>
                <w:sz w:val="24"/>
                <w:szCs w:val="24"/>
                <w:lang w:eastAsia="zh-CN"/>
              </w:rPr>
              <w:t>C2922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塑料板、管、型材制造</w:t>
            </w:r>
            <w:r>
              <w:rPr>
                <w:rFonts w:hint="default" w:ascii="Times New Roman" w:hAnsi="Times New Roman" w:cs="Times New Roman" w:eastAsiaTheme="minorEastAsia"/>
                <w:color w:val="auto"/>
                <w:sz w:val="24"/>
                <w:szCs w:val="24"/>
              </w:rPr>
              <w:t xml:space="preserve">，参照《排污许可证申请与核发技术规范 </w:t>
            </w:r>
            <w:r>
              <w:rPr>
                <w:rFonts w:hint="default" w:ascii="Times New Roman" w:hAnsi="Times New Roman" w:cs="Times New Roman" w:eastAsiaTheme="minorEastAsia"/>
                <w:color w:val="auto"/>
                <w:sz w:val="24"/>
                <w:szCs w:val="24"/>
                <w:lang w:val="en-US" w:eastAsia="zh-CN"/>
              </w:rPr>
              <w:t>橡胶和塑料制品工业</w:t>
            </w:r>
            <w:r>
              <w:rPr>
                <w:rFonts w:hint="default" w:ascii="Times New Roman" w:hAnsi="Times New Roman" w:cs="Times New Roman" w:eastAsiaTheme="minorEastAsia"/>
                <w:color w:val="auto"/>
                <w:sz w:val="24"/>
                <w:szCs w:val="24"/>
              </w:rPr>
              <w:t>》（HJ</w:t>
            </w:r>
            <w:r>
              <w:rPr>
                <w:rFonts w:hint="default" w:ascii="Times New Roman" w:hAnsi="Times New Roman" w:cs="Times New Roman" w:eastAsiaTheme="minorEastAsia"/>
                <w:color w:val="auto"/>
                <w:sz w:val="24"/>
                <w:szCs w:val="24"/>
                <w:lang w:val="en-US" w:eastAsia="zh-CN"/>
              </w:rPr>
              <w:t>1122-2020</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挤出、熔融</w:t>
            </w:r>
            <w:r>
              <w:rPr>
                <w:rFonts w:hint="default" w:ascii="Times New Roman" w:hAnsi="Times New Roman" w:cs="Times New Roman" w:eastAsiaTheme="minorEastAsia"/>
                <w:color w:val="auto"/>
                <w:sz w:val="24"/>
                <w:lang w:val="en-US" w:eastAsia="zh-CN"/>
              </w:rPr>
              <w:t>工段</w:t>
            </w:r>
            <w:r>
              <w:rPr>
                <w:rFonts w:hint="default" w:ascii="Times New Roman" w:hAnsi="Times New Roman" w:cs="Times New Roman" w:eastAsiaTheme="minorEastAsia"/>
                <w:sz w:val="24"/>
                <w:szCs w:val="24"/>
              </w:rPr>
              <w:t>无核算公式推荐，故此处直接取环评值。</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（2）废水排放量核算</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根据《排污许可证申请与核发技术规范 总则》（HJ 942-2018），“对于水污染物，以排放口为单位确定主要排放口许可排放浓度和排放量，一般排放口仅许可排放浓度。单独排入城镇集中污水处理设施的生活污水仅说明排放去向。”</w:t>
            </w:r>
          </w:p>
          <w:p>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rPr>
              <w:t>本项目为一般排放口，故此处直接取环评值。</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lang w:val="en-US" w:eastAsia="zh-CN"/>
              </w:rPr>
              <w:t>4、本</w:t>
            </w:r>
            <w:r>
              <w:rPr>
                <w:rFonts w:hint="default" w:ascii="Times New Roman" w:hAnsi="Times New Roman" w:cs="Times New Roman" w:eastAsiaTheme="minorEastAsia"/>
                <w:b/>
                <w:bCs/>
                <w:sz w:val="24"/>
                <w:szCs w:val="24"/>
              </w:rPr>
              <w:t>项目环评总量确定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按照关于印发《关于进一步优化建设项目排污总量指标管理提升环评审批效能的意见（试行）》的通知中“环境影响报告书（表）编制时，应按照相关规定选择适用可行的核算方法确定建设项目污染物排放量，且不得大于对应行业《排污许可证申请与核发技术规范》中规定方法所测算的污染物排放量”，根据上述两种计算方式取严，确定我公司总量申报，结果如下表：</w:t>
            </w:r>
          </w:p>
          <w:p>
            <w:pPr>
              <w:keepNext w:val="0"/>
              <w:keepLines w:val="0"/>
              <w:suppressLineNumbers w:val="0"/>
              <w:tabs>
                <w:tab w:val="center" w:pos="4574"/>
              </w:tabs>
              <w:spacing w:before="0" w:beforeAutospacing="0" w:after="0" w:afterAutospacing="0"/>
              <w:ind w:left="0" w:right="0"/>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表3-1</w:t>
            </w:r>
            <w:r>
              <w:rPr>
                <w:rFonts w:hint="eastAsia" w:ascii="Times New Roman" w:hAnsi="Times New Roman" w:cs="Times New Roman" w:eastAsiaTheme="minorEastAsia"/>
                <w:b/>
                <w:color w:val="auto"/>
                <w:sz w:val="24"/>
                <w:szCs w:val="24"/>
                <w:lang w:val="en-US" w:eastAsia="zh-CN"/>
              </w:rPr>
              <w:t>1</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color w:val="auto"/>
                <w:sz w:val="24"/>
                <w:szCs w:val="24"/>
                <w:lang w:val="en-US" w:eastAsia="zh-CN"/>
              </w:rPr>
              <w:t>本</w:t>
            </w:r>
            <w:r>
              <w:rPr>
                <w:rFonts w:hint="default" w:ascii="Times New Roman" w:hAnsi="Times New Roman" w:cs="Times New Roman" w:eastAsiaTheme="minorEastAsia"/>
                <w:b/>
                <w:color w:val="auto"/>
                <w:sz w:val="24"/>
                <w:szCs w:val="24"/>
              </w:rPr>
              <w:t>项目</w:t>
            </w:r>
            <w:r>
              <w:rPr>
                <w:rFonts w:hint="default" w:ascii="Times New Roman" w:hAnsi="Times New Roman" w:cs="Times New Roman" w:eastAsiaTheme="minorEastAsia"/>
                <w:b/>
                <w:color w:val="auto"/>
                <w:sz w:val="24"/>
                <w:szCs w:val="24"/>
                <w:lang w:val="en-US" w:eastAsia="zh-CN"/>
              </w:rPr>
              <w:t>全厂</w:t>
            </w:r>
            <w:r>
              <w:rPr>
                <w:rFonts w:hint="default" w:ascii="Times New Roman" w:hAnsi="Times New Roman" w:cs="Times New Roman" w:eastAsiaTheme="minorEastAsia"/>
                <w:b/>
                <w:color w:val="auto"/>
                <w:sz w:val="24"/>
                <w:szCs w:val="24"/>
              </w:rPr>
              <w:t>主要污染物申报总量核算统计（t/a）</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93"/>
              <w:gridCol w:w="1670"/>
              <w:gridCol w:w="1298"/>
              <w:gridCol w:w="1998"/>
              <w:gridCol w:w="1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污染物类型</w:t>
                  </w:r>
                </w:p>
              </w:tc>
              <w:tc>
                <w:tcPr>
                  <w:tcW w:w="1052"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污染物</w:t>
                  </w:r>
                </w:p>
              </w:tc>
              <w:tc>
                <w:tcPr>
                  <w:tcW w:w="818"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环评核算量（外排量）</w:t>
                  </w:r>
                </w:p>
              </w:tc>
              <w:tc>
                <w:tcPr>
                  <w:tcW w:w="1259"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技术规范核算量（外排量）</w:t>
                  </w:r>
                </w:p>
              </w:tc>
              <w:tc>
                <w:tcPr>
                  <w:tcW w:w="1054"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申报总量（外排量）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81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sz w:val="21"/>
                      <w:szCs w:val="21"/>
                    </w:rPr>
                    <w:t>（有组织）</w:t>
                  </w:r>
                </w:p>
              </w:tc>
              <w:tc>
                <w:tcPr>
                  <w:tcW w:w="1052" w:type="pct"/>
                  <w:tcBorders>
                    <w:tl2br w:val="nil"/>
                    <w:tr2bl w:val="nil"/>
                  </w:tcBorders>
                  <w:shd w:val="clear" w:color="auto" w:fill="auto"/>
                  <w:noWrap w:val="0"/>
                  <w:vAlign w:val="center"/>
                </w:tcPr>
                <w:p>
                  <w:pPr>
                    <w:pStyle w:val="91"/>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VOCs</w:t>
                  </w:r>
                </w:p>
              </w:tc>
              <w:tc>
                <w:tcPr>
                  <w:tcW w:w="818" w:type="pct"/>
                  <w:tcBorders>
                    <w:tl2br w:val="nil"/>
                    <w:tr2bl w:val="nil"/>
                  </w:tcBorders>
                  <w:shd w:val="clear" w:color="auto" w:fill="auto"/>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0.2445</w:t>
                  </w:r>
                </w:p>
              </w:tc>
              <w:tc>
                <w:tcPr>
                  <w:tcW w:w="1259"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w:t>
                  </w:r>
                </w:p>
              </w:tc>
              <w:tc>
                <w:tcPr>
                  <w:tcW w:w="1054" w:type="pct"/>
                  <w:tcBorders>
                    <w:tl2br w:val="nil"/>
                    <w:tr2bl w:val="nil"/>
                  </w:tcBorders>
                  <w:shd w:val="clear" w:color="auto" w:fill="auto"/>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sz w:val="21"/>
                      <w:szCs w:val="21"/>
                      <w:lang w:val="en-US" w:eastAsia="zh-CN"/>
                    </w:rPr>
                    <w:t>0.2445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15"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（无组织）</w:t>
                  </w:r>
                </w:p>
              </w:tc>
              <w:tc>
                <w:tcPr>
                  <w:tcW w:w="1052" w:type="pct"/>
                  <w:tcBorders>
                    <w:tl2br w:val="nil"/>
                    <w:tr2bl w:val="nil"/>
                  </w:tcBorders>
                  <w:noWrap w:val="0"/>
                  <w:vAlign w:val="center"/>
                </w:tcPr>
                <w:p>
                  <w:pPr>
                    <w:pStyle w:val="9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818"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0.0131</w:t>
                  </w:r>
                </w:p>
              </w:tc>
              <w:tc>
                <w:tcPr>
                  <w:tcW w:w="125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054"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5"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p>
              </w:tc>
              <w:tc>
                <w:tcPr>
                  <w:tcW w:w="1052" w:type="pct"/>
                  <w:tcBorders>
                    <w:tl2br w:val="nil"/>
                    <w:tr2bl w:val="nil"/>
                  </w:tcBorders>
                  <w:noWrap w:val="0"/>
                  <w:vAlign w:val="center"/>
                </w:tcPr>
                <w:p>
                  <w:pPr>
                    <w:pStyle w:val="9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VOCs</w:t>
                  </w:r>
                </w:p>
              </w:tc>
              <w:tc>
                <w:tcPr>
                  <w:tcW w:w="818"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0.2824</w:t>
                  </w:r>
                </w:p>
              </w:tc>
              <w:tc>
                <w:tcPr>
                  <w:tcW w:w="125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054"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0.2824</w:t>
                  </w: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5、平衡方案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根据《国民经济行业分类》，本项目属于[</w:t>
            </w:r>
            <w:r>
              <w:rPr>
                <w:rFonts w:hint="default" w:ascii="Times New Roman" w:hAnsi="Times New Roman" w:cs="Times New Roman" w:eastAsiaTheme="minorEastAsia"/>
                <w:color w:val="auto"/>
                <w:sz w:val="24"/>
                <w:szCs w:val="24"/>
                <w:lang w:eastAsia="zh-CN"/>
              </w:rPr>
              <w:t>C2922</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塑料板、管、型材制造</w:t>
            </w:r>
            <w:r>
              <w:rPr>
                <w:rFonts w:hint="default" w:ascii="Times New Roman" w:hAnsi="Times New Roman" w:cs="Times New Roman" w:eastAsiaTheme="minorEastAsia"/>
                <w:color w:val="auto"/>
                <w:sz w:val="24"/>
                <w:szCs w:val="24"/>
              </w:rPr>
              <w:t>；对照《固定污染源排污许可分类管理名录》（2019年版），企业属于“</w:t>
            </w:r>
            <w:r>
              <w:rPr>
                <w:rFonts w:hint="default" w:ascii="Times New Roman" w:hAnsi="Times New Roman" w:cs="Times New Roman" w:eastAsiaTheme="minorEastAsia"/>
                <w:color w:val="auto"/>
                <w:sz w:val="24"/>
              </w:rPr>
              <w:t>三十一、汽车制品业36 85</w:t>
            </w:r>
            <w:r>
              <w:rPr>
                <w:rFonts w:hint="default" w:ascii="Times New Roman" w:hAnsi="Times New Roman" w:cs="Times New Roman" w:eastAsiaTheme="minorEastAsia"/>
                <w:color w:val="auto"/>
                <w:sz w:val="24"/>
                <w:lang w:eastAsia="zh-CN"/>
              </w:rPr>
              <w:t>塑料板、管、型材制造</w:t>
            </w:r>
            <w:r>
              <w:rPr>
                <w:rFonts w:hint="default" w:ascii="Times New Roman" w:hAnsi="Times New Roman" w:cs="Times New Roman" w:eastAsiaTheme="minorEastAsia"/>
                <w:color w:val="auto"/>
                <w:sz w:val="24"/>
              </w:rPr>
              <w:t xml:space="preserve"> 367”中“其他”</w:t>
            </w:r>
            <w:r>
              <w:rPr>
                <w:rFonts w:hint="default" w:ascii="Times New Roman" w:hAnsi="Times New Roman" w:cs="Times New Roman" w:eastAsiaTheme="minorEastAsia"/>
                <w:color w:val="auto"/>
                <w:sz w:val="24"/>
                <w:szCs w:val="24"/>
              </w:rPr>
              <w:t>，判定为排污</w:t>
            </w:r>
            <w:r>
              <w:rPr>
                <w:rFonts w:hint="default" w:ascii="Times New Roman" w:hAnsi="Times New Roman" w:cs="Times New Roman" w:eastAsiaTheme="minorEastAsia"/>
                <w:color w:val="auto"/>
                <w:sz w:val="24"/>
                <w:szCs w:val="24"/>
                <w:lang w:val="en-US" w:eastAsia="zh-CN"/>
              </w:rPr>
              <w:t>登记</w:t>
            </w:r>
            <w:r>
              <w:rPr>
                <w:rFonts w:hint="default" w:ascii="Times New Roman" w:hAnsi="Times New Roman" w:cs="Times New Roman" w:eastAsiaTheme="minorEastAsia"/>
                <w:color w:val="auto"/>
                <w:sz w:val="24"/>
                <w:szCs w:val="24"/>
              </w:rPr>
              <w:t>管理类的建设项目，</w:t>
            </w:r>
            <w:r>
              <w:rPr>
                <w:rFonts w:hint="default" w:ascii="Times New Roman" w:hAnsi="Times New Roman" w:cs="Times New Roman" w:eastAsiaTheme="minorEastAsia"/>
                <w:color w:val="auto"/>
                <w:sz w:val="24"/>
                <w:szCs w:val="24"/>
                <w:lang w:val="en-US" w:eastAsia="zh-CN"/>
              </w:rPr>
              <w:t>故暂不实施总量平衡的工作。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本项目建成后，全厂主要污染物控制为：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大气污染物（有组织/无组织）：颗粒物≤</w:t>
            </w:r>
            <w:r>
              <w:rPr>
                <w:rFonts w:hint="eastAsia"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lang w:val="en-US" w:eastAsia="zh-CN"/>
              </w:rPr>
              <w:t>/0.0</w:t>
            </w:r>
            <w:r>
              <w:rPr>
                <w:rFonts w:hint="eastAsia" w:ascii="Times New Roman" w:hAnsi="Times New Roman" w:cs="Times New Roman" w:eastAsiaTheme="minorEastAsia"/>
                <w:color w:val="auto"/>
                <w:sz w:val="24"/>
                <w:szCs w:val="24"/>
                <w:lang w:val="en-US" w:eastAsia="zh-CN"/>
              </w:rPr>
              <w:t>131</w:t>
            </w:r>
            <w:r>
              <w:rPr>
                <w:rFonts w:hint="default" w:ascii="Times New Roman" w:hAnsi="Times New Roman" w:cs="Times New Roman" w:eastAsiaTheme="minorEastAsia"/>
                <w:color w:val="auto"/>
                <w:sz w:val="24"/>
                <w:szCs w:val="24"/>
                <w:lang w:val="en-US" w:eastAsia="zh-CN"/>
              </w:rPr>
              <w:t>t/a、VOCs≤0.02445/0.28</w:t>
            </w:r>
            <w:r>
              <w:rPr>
                <w:rFonts w:hint="eastAsia" w:ascii="Times New Roman" w:hAnsi="Times New Roman" w:cs="Times New Roman" w:eastAsiaTheme="minorEastAsia"/>
                <w:color w:val="auto"/>
                <w:sz w:val="24"/>
                <w:szCs w:val="24"/>
                <w:lang w:val="en-US" w:eastAsia="zh-CN"/>
              </w:rPr>
              <w:t>24</w:t>
            </w:r>
            <w:r>
              <w:rPr>
                <w:rFonts w:hint="default" w:ascii="Times New Roman" w:hAnsi="Times New Roman" w:cs="Times New Roman" w:eastAsiaTheme="minorEastAsia"/>
                <w:color w:val="auto"/>
                <w:sz w:val="24"/>
                <w:szCs w:val="24"/>
                <w:lang w:val="en-US" w:eastAsia="zh-CN"/>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水污染物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A.废水量（接管量）360t/a；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水污染物总量控制指标（接管量）：COD0.0734t/a、NH</w:t>
            </w:r>
            <w:r>
              <w:rPr>
                <w:rFonts w:hint="default" w:ascii="Times New Roman" w:hAnsi="Times New Roman" w:cs="Times New Roman" w:eastAsiaTheme="minorEastAsia"/>
                <w:color w:val="auto"/>
                <w:sz w:val="24"/>
                <w:szCs w:val="24"/>
                <w:vertAlign w:val="subscript"/>
                <w:lang w:val="en-US" w:eastAsia="zh-CN"/>
              </w:rPr>
              <w:t>3</w:t>
            </w:r>
            <w:r>
              <w:rPr>
                <w:rFonts w:hint="default" w:ascii="Times New Roman" w:hAnsi="Times New Roman" w:cs="Times New Roman" w:eastAsiaTheme="minorEastAsia"/>
                <w:color w:val="auto"/>
                <w:sz w:val="24"/>
                <w:szCs w:val="24"/>
                <w:lang w:val="en-US" w:eastAsia="zh-CN"/>
              </w:rPr>
              <w:t>-N0.0</w:t>
            </w:r>
            <w:r>
              <w:rPr>
                <w:rFonts w:hint="eastAsia" w:ascii="Times New Roman" w:hAnsi="Times New Roman" w:cs="Times New Roman" w:eastAsiaTheme="minorEastAsia"/>
                <w:color w:val="auto"/>
                <w:sz w:val="24"/>
                <w:szCs w:val="24"/>
                <w:lang w:val="en-US" w:eastAsia="zh-CN"/>
              </w:rPr>
              <w:t>117</w:t>
            </w:r>
            <w:r>
              <w:rPr>
                <w:rFonts w:hint="default" w:ascii="Times New Roman" w:hAnsi="Times New Roman" w:cs="Times New Roman" w:eastAsiaTheme="minorEastAsia"/>
                <w:color w:val="auto"/>
                <w:sz w:val="24"/>
                <w:szCs w:val="24"/>
                <w:lang w:val="en-US" w:eastAsia="zh-CN"/>
              </w:rPr>
              <w:t>t/a、TP0.001</w:t>
            </w: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t/a、TN0.0</w:t>
            </w:r>
            <w:r>
              <w:rPr>
                <w:rFonts w:hint="eastAsia" w:ascii="Times New Roman" w:hAnsi="Times New Roman" w:cs="Times New Roman" w:eastAsiaTheme="minorEastAsia"/>
                <w:color w:val="auto"/>
                <w:sz w:val="24"/>
                <w:szCs w:val="24"/>
                <w:lang w:val="en-US" w:eastAsia="zh-CN"/>
              </w:rPr>
              <w:t>161</w:t>
            </w:r>
            <w:r>
              <w:rPr>
                <w:rFonts w:hint="default" w:ascii="Times New Roman" w:hAnsi="Times New Roman" w:cs="Times New Roman" w:eastAsiaTheme="minorEastAsia"/>
                <w:color w:val="auto"/>
                <w:sz w:val="24"/>
                <w:szCs w:val="24"/>
                <w:lang w:val="en-US" w:eastAsia="zh-CN"/>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B.废水量（外排量）360t/a；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水污染物总量控制指标（外排量）：COD0.018t/a；NH</w:t>
            </w:r>
            <w:r>
              <w:rPr>
                <w:rFonts w:hint="default" w:ascii="Times New Roman" w:hAnsi="Times New Roman" w:cs="Times New Roman" w:eastAsiaTheme="minorEastAsia"/>
                <w:color w:val="auto"/>
                <w:sz w:val="24"/>
                <w:szCs w:val="24"/>
                <w:vertAlign w:val="subscript"/>
                <w:lang w:val="en-US" w:eastAsia="zh-CN"/>
              </w:rPr>
              <w:t>3</w:t>
            </w:r>
            <w:r>
              <w:rPr>
                <w:rFonts w:hint="default" w:ascii="Times New Roman" w:hAnsi="Times New Roman" w:cs="Times New Roman" w:eastAsiaTheme="minorEastAsia"/>
                <w:color w:val="auto"/>
                <w:sz w:val="24"/>
                <w:szCs w:val="24"/>
                <w:lang w:val="en-US" w:eastAsia="zh-CN"/>
              </w:rPr>
              <w:t>-N0.0</w:t>
            </w:r>
            <w:r>
              <w:rPr>
                <w:rFonts w:hint="eastAsia" w:ascii="Times New Roman" w:hAnsi="Times New Roman" w:cs="Times New Roman" w:eastAsiaTheme="minorEastAsia"/>
                <w:color w:val="auto"/>
                <w:sz w:val="24"/>
                <w:szCs w:val="24"/>
                <w:lang w:val="en-US" w:eastAsia="zh-CN"/>
              </w:rPr>
              <w:t>019</w:t>
            </w:r>
            <w:r>
              <w:rPr>
                <w:rFonts w:hint="default" w:ascii="Times New Roman" w:hAnsi="Times New Roman" w:cs="Times New Roman" w:eastAsiaTheme="minorEastAsia"/>
                <w:color w:val="auto"/>
                <w:sz w:val="24"/>
                <w:szCs w:val="24"/>
                <w:lang w:val="en-US" w:eastAsia="zh-CN"/>
              </w:rPr>
              <w:t>t/a、TP0.0002t/a、TN0.005</w:t>
            </w:r>
            <w:r>
              <w:rPr>
                <w:rFonts w:hint="eastAsia"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lang w:val="en-US" w:eastAsia="zh-CN"/>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lang w:val="en-US" w:eastAsia="zh-CN"/>
              </w:rPr>
            </w:pPr>
            <w:r>
              <w:rPr>
                <w:rFonts w:hint="default" w:ascii="Times New Roman" w:hAnsi="Times New Roman" w:cs="Times New Roman" w:eastAsiaTheme="minorEastAsia"/>
                <w:color w:val="auto"/>
                <w:sz w:val="24"/>
                <w:szCs w:val="24"/>
              </w:rPr>
              <w:t>固体废物：全厂所有工业固废均进行合理处理处置，固体废弃物排放量为零。</w:t>
            </w:r>
          </w:p>
        </w:tc>
      </w:tr>
    </w:tbl>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6"/>
          <w:szCs w:val="36"/>
        </w:rPr>
        <w:br w:type="page"/>
      </w:r>
      <w:r>
        <w:rPr>
          <w:rFonts w:hint="default" w:ascii="Times New Roman" w:hAnsi="Times New Roman" w:eastAsia="黑体" w:cs="Times New Roman"/>
          <w:snapToGrid w:val="0"/>
          <w:color w:val="000000"/>
          <w:sz w:val="30"/>
          <w:szCs w:val="30"/>
        </w:rPr>
        <w:t>四、主要环境影响和保护措施</w:t>
      </w:r>
    </w:p>
    <w:tbl>
      <w:tblPr>
        <w:tblStyle w:val="26"/>
        <w:tblW w:w="501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371" w:type="pct"/>
            <w:noWrap w:val="0"/>
            <w:tcMar>
              <w:left w:w="28" w:type="dxa"/>
              <w:right w:w="28" w:type="dxa"/>
            </w:tcMar>
            <w:vAlign w:val="center"/>
          </w:tcPr>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施工</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期环</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境保</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kern w:val="2"/>
                <w:sz w:val="21"/>
                <w:szCs w:val="21"/>
              </w:rPr>
            </w:pPr>
            <w:r>
              <w:rPr>
                <w:rFonts w:hint="default" w:ascii="Times New Roman" w:hAnsi="Times New Roman" w:cs="Times New Roman"/>
                <w:b/>
                <w:bCs/>
                <w:color w:val="000000"/>
                <w:kern w:val="2"/>
                <w:sz w:val="21"/>
                <w:szCs w:val="21"/>
              </w:rPr>
              <w:t>护措</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2"/>
                <w:sz w:val="21"/>
                <w:szCs w:val="21"/>
              </w:rPr>
            </w:pPr>
            <w:r>
              <w:rPr>
                <w:rFonts w:hint="default" w:ascii="Times New Roman" w:hAnsi="Times New Roman" w:cs="Times New Roman"/>
                <w:b/>
                <w:bCs/>
                <w:color w:val="000000"/>
                <w:kern w:val="2"/>
                <w:sz w:val="21"/>
                <w:szCs w:val="21"/>
              </w:rPr>
              <w:t>施</w:t>
            </w:r>
          </w:p>
        </w:tc>
        <w:tc>
          <w:tcPr>
            <w:tcW w:w="462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sz w:val="24"/>
                <w:szCs w:val="24"/>
                <w:lang w:val="zh-CN"/>
              </w:rPr>
            </w:pPr>
            <w:r>
              <w:rPr>
                <w:rFonts w:hint="default" w:ascii="Times New Roman" w:hAnsi="Times New Roman" w:cs="Times New Roman"/>
                <w:color w:val="000000"/>
                <w:sz w:val="24"/>
                <w:szCs w:val="24"/>
                <w:lang w:eastAsia="zh-CN"/>
              </w:rPr>
              <w:t>本项目</w:t>
            </w:r>
            <w:r>
              <w:rPr>
                <w:rFonts w:hint="default" w:ascii="Times New Roman" w:hAnsi="Times New Roman" w:cs="Times New Roman"/>
                <w:color w:val="000000"/>
                <w:sz w:val="24"/>
                <w:szCs w:val="24"/>
              </w:rPr>
              <w:t>租用</w:t>
            </w:r>
            <w:r>
              <w:rPr>
                <w:rFonts w:hint="default" w:ascii="Times New Roman" w:hAnsi="Times New Roman" w:cs="Times New Roman"/>
                <w:color w:val="000000"/>
                <w:sz w:val="24"/>
                <w:szCs w:val="24"/>
                <w:lang w:val="zh-CN"/>
              </w:rPr>
              <w:t>闲置</w:t>
            </w:r>
            <w:r>
              <w:rPr>
                <w:rFonts w:hint="eastAsia" w:cs="Times New Roman"/>
                <w:color w:val="000000"/>
                <w:sz w:val="24"/>
                <w:szCs w:val="24"/>
                <w:lang w:val="en-US" w:eastAsia="zh-CN"/>
              </w:rPr>
              <w:t>厂区</w:t>
            </w:r>
            <w:r>
              <w:rPr>
                <w:rFonts w:hint="default" w:ascii="Times New Roman" w:hAnsi="Times New Roman" w:cs="Times New Roman"/>
                <w:color w:val="000000"/>
                <w:sz w:val="24"/>
                <w:szCs w:val="24"/>
                <w:lang w:val="zh-CN"/>
              </w:rPr>
              <w:t>进行</w:t>
            </w:r>
            <w:r>
              <w:rPr>
                <w:rFonts w:hint="default" w:ascii="Times New Roman" w:hAnsi="Times New Roman" w:cs="Times New Roman"/>
                <w:color w:val="000000"/>
                <w:sz w:val="24"/>
                <w:szCs w:val="24"/>
              </w:rPr>
              <w:t>建设</w:t>
            </w:r>
            <w:r>
              <w:rPr>
                <w:rFonts w:hint="default" w:ascii="Times New Roman" w:hAnsi="Times New Roman" w:cs="Times New Roman"/>
                <w:color w:val="000000"/>
                <w:sz w:val="24"/>
                <w:szCs w:val="24"/>
                <w:lang w:val="zh-CN"/>
              </w:rPr>
              <w:t>，不另新建厂房，施工期无土建作业，仅在厂房内进行设备的安装调试等，因此，施工期对外环境基本无影响。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lang w:val="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380" w:firstLineChars="200"/>
              <w:textAlignment w:val="auto"/>
              <w:rPr>
                <w:rFonts w:hint="default" w:ascii="Times New Roman" w:hAnsi="Times New Roman" w:eastAsia="宋体" w:cs="Times New Roman"/>
                <w:bCs/>
                <w:color w:val="000000"/>
                <w:spacing w:val="-10"/>
                <w:szCs w:val="21"/>
                <w:lang w:eastAsia="zh-CN"/>
              </w:rPr>
            </w:pP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50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3"/>
        <w:gridCol w:w="129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0" w:hRule="atLeast"/>
          <w:jc w:val="center"/>
        </w:trPr>
        <w:tc>
          <w:tcPr>
            <w:tcW w:w="128"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保护</w:t>
            </w:r>
          </w:p>
          <w:p>
            <w:pPr>
              <w:pStyle w:val="2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b/>
                <w:bCs w:val="0"/>
                <w:color w:val="000000"/>
                <w:sz w:val="21"/>
                <w:szCs w:val="21"/>
              </w:rPr>
              <w:t>措施</w:t>
            </w:r>
          </w:p>
        </w:tc>
        <w:tc>
          <w:tcPr>
            <w:tcW w:w="4871" w:type="pct"/>
            <w:noWrap w:val="0"/>
            <w:vAlign w:val="center"/>
          </w:tcPr>
          <w:p>
            <w:pPr>
              <w:keepNext w:val="0"/>
              <w:keepLines w:val="0"/>
              <w:pageBreakBefore w:val="0"/>
              <w:widowControl w:val="0"/>
              <w:numPr>
                <w:ilvl w:val="0"/>
                <w:numId w:val="13"/>
              </w:numPr>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大气</w:t>
            </w:r>
          </w:p>
          <w:p>
            <w:pPr>
              <w:pStyle w:val="4"/>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bCs/>
                <w:color w:val="000000"/>
                <w:sz w:val="24"/>
                <w:szCs w:val="24"/>
                <w:lang w:val="en-US" w:eastAsia="zh-CN"/>
              </w:rPr>
              <w:t>（1）污染工序及源强分析</w:t>
            </w:r>
          </w:p>
          <w:p>
            <w:pPr>
              <w:pStyle w:val="48"/>
              <w:keepNext w:val="0"/>
              <w:keepLines w:val="0"/>
              <w:pageBreakBefore w:val="0"/>
              <w:numPr>
                <w:ilvl w:val="0"/>
                <w:numId w:val="0"/>
              </w:numPr>
              <w:suppressLineNumbers w:val="0"/>
              <w:kinsoku/>
              <w:wordWrap/>
              <w:overflowPunct/>
              <w:topLinePunct w:val="0"/>
              <w:autoSpaceDE/>
              <w:autoSpaceDN/>
              <w:bidi w:val="0"/>
              <w:adjustRightInd/>
              <w:snapToGrid/>
              <w:spacing w:line="460" w:lineRule="exact"/>
              <w:ind w:left="0" w:right="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根据工艺分析及产排污情况，本项目废气污染物排放源情况见表4-1</w:t>
            </w:r>
            <w:r>
              <w:rPr>
                <w:rFonts w:hint="eastAsia" w:ascii="Times New Roman" w:hAnsi="Times New Roman" w:cs="Times New Roman"/>
                <w:color w:val="000000"/>
                <w:sz w:val="24"/>
                <w:szCs w:val="24"/>
                <w:lang w:val="en-US" w:eastAsia="zh-CN"/>
              </w:rPr>
              <w:t>~4-2</w:t>
            </w:r>
            <w:r>
              <w:rPr>
                <w:rFonts w:hint="default" w:ascii="Times New Roman" w:hAnsi="Times New Roman" w:cs="Times New Roman"/>
                <w:color w:val="000000"/>
                <w:sz w:val="24"/>
                <w:szCs w:val="24"/>
                <w:lang w:val="en-US" w:eastAsia="zh-CN"/>
              </w:rPr>
              <w:t>。</w:t>
            </w:r>
          </w:p>
          <w:p>
            <w:pPr>
              <w:pStyle w:val="4"/>
              <w:suppressLineNumbers w:val="0"/>
              <w:spacing w:before="0" w:beforeAutospacing="0" w:after="0" w:afterAutospacing="0"/>
              <w:ind w:left="0" w:right="0"/>
              <w:jc w:val="center"/>
              <w:rPr>
                <w:rFonts w:hint="default" w:ascii="Times New Roman" w:hAnsi="Times New Roman" w:cs="Times New Roman"/>
                <w:color w:val="000000"/>
                <w:sz w:val="24"/>
                <w:szCs w:val="24"/>
                <w:lang w:val="en-US" w:eastAsia="zh-CN"/>
              </w:rPr>
            </w:pPr>
            <w:r>
              <w:rPr>
                <w:rFonts w:hint="default" w:ascii="Times New Roman" w:hAnsi="Times New Roman" w:eastAsia="宋体" w:cs="Times New Roman"/>
                <w:b/>
                <w:bCs/>
                <w:color w:val="000000"/>
                <w:sz w:val="24"/>
                <w:szCs w:val="24"/>
              </w:rPr>
              <w:t>表</w:t>
            </w:r>
            <w:r>
              <w:rPr>
                <w:rFonts w:hint="default" w:ascii="Times New Roman" w:hAnsi="Times New Roman" w:eastAsia="宋体" w:cs="Times New Roman"/>
                <w:b/>
                <w:bCs/>
                <w:color w:val="000000"/>
                <w:sz w:val="24"/>
                <w:szCs w:val="24"/>
                <w:lang w:val="en-US" w:eastAsia="zh-CN"/>
              </w:rPr>
              <w:t>4-1</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本</w:t>
            </w:r>
            <w:r>
              <w:rPr>
                <w:rFonts w:hint="default" w:ascii="Times New Roman" w:hAnsi="Times New Roman" w:eastAsia="宋体" w:cs="Times New Roman"/>
                <w:b/>
                <w:bCs/>
                <w:color w:val="000000"/>
                <w:sz w:val="24"/>
                <w:szCs w:val="24"/>
              </w:rPr>
              <w:t>项目</w:t>
            </w:r>
            <w:r>
              <w:rPr>
                <w:rFonts w:hint="default" w:ascii="Times New Roman" w:hAnsi="Times New Roman" w:eastAsia="宋体" w:cs="Times New Roman"/>
                <w:b/>
                <w:bCs/>
                <w:color w:val="000000"/>
                <w:sz w:val="24"/>
                <w:szCs w:val="24"/>
                <w:lang w:eastAsia="zh-CN"/>
              </w:rPr>
              <w:t>有组织</w:t>
            </w:r>
            <w:r>
              <w:rPr>
                <w:rFonts w:hint="default" w:ascii="Times New Roman" w:hAnsi="Times New Roman" w:eastAsia="宋体" w:cs="Times New Roman"/>
                <w:b/>
                <w:bCs/>
                <w:color w:val="000000"/>
                <w:sz w:val="24"/>
                <w:szCs w:val="24"/>
              </w:rPr>
              <w:t>废气污染物排放情况</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2"/>
              <w:gridCol w:w="348"/>
              <w:gridCol w:w="348"/>
              <w:gridCol w:w="605"/>
              <w:gridCol w:w="541"/>
              <w:gridCol w:w="360"/>
              <w:gridCol w:w="555"/>
              <w:gridCol w:w="587"/>
              <w:gridCol w:w="380"/>
              <w:gridCol w:w="361"/>
              <w:gridCol w:w="457"/>
              <w:gridCol w:w="599"/>
              <w:gridCol w:w="687"/>
              <w:gridCol w:w="731"/>
              <w:gridCol w:w="468"/>
              <w:gridCol w:w="468"/>
              <w:gridCol w:w="469"/>
              <w:gridCol w:w="775"/>
              <w:gridCol w:w="864"/>
              <w:gridCol w:w="1009"/>
              <w:gridCol w:w="659"/>
              <w:gridCol w:w="514"/>
              <w:gridCol w:w="5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产排污环节</w:t>
                  </w:r>
                </w:p>
              </w:tc>
              <w:tc>
                <w:tcPr>
                  <w:tcW w:w="273" w:type="pct"/>
                  <w:gridSpan w:val="2"/>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污染物种类</w:t>
                  </w:r>
                </w:p>
              </w:tc>
              <w:tc>
                <w:tcPr>
                  <w:tcW w:w="450" w:type="pct"/>
                  <w:gridSpan w:val="2"/>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产生状况</w:t>
                  </w:r>
                </w:p>
              </w:tc>
              <w:tc>
                <w:tcPr>
                  <w:tcW w:w="141"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排放方式</w:t>
                  </w:r>
                </w:p>
              </w:tc>
              <w:tc>
                <w:tcPr>
                  <w:tcW w:w="920" w:type="pct"/>
                  <w:gridSpan w:val="5"/>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治理措施</w:t>
                  </w:r>
                </w:p>
              </w:tc>
              <w:tc>
                <w:tcPr>
                  <w:tcW w:w="793" w:type="pct"/>
                  <w:gridSpan w:val="3"/>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排放情况</w:t>
                  </w:r>
                </w:p>
              </w:tc>
              <w:tc>
                <w:tcPr>
                  <w:tcW w:w="1593" w:type="pct"/>
                  <w:gridSpan w:val="6"/>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排放口基本情况</w:t>
                  </w:r>
                </w:p>
              </w:tc>
              <w:tc>
                <w:tcPr>
                  <w:tcW w:w="461" w:type="pct"/>
                  <w:gridSpan w:val="2"/>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排放标准</w:t>
                  </w:r>
                </w:p>
              </w:tc>
              <w:tc>
                <w:tcPr>
                  <w:tcW w:w="21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工作时间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5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273" w:type="pct"/>
                  <w:gridSpan w:val="2"/>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237"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浓度</w:t>
                  </w:r>
                </w:p>
              </w:tc>
              <w:tc>
                <w:tcPr>
                  <w:tcW w:w="21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产生量</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449" w:type="pct"/>
                  <w:gridSpan w:val="2"/>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处理能力</w:t>
                  </w:r>
                </w:p>
              </w:tc>
              <w:tc>
                <w:tcPr>
                  <w:tcW w:w="14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收集效率</w:t>
                  </w:r>
                </w:p>
              </w:tc>
              <w:tc>
                <w:tcPr>
                  <w:tcW w:w="141"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治理工艺去除率</w:t>
                  </w:r>
                </w:p>
              </w:tc>
              <w:tc>
                <w:tcPr>
                  <w:tcW w:w="17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是否为可行技术</w:t>
                  </w:r>
                </w:p>
              </w:tc>
              <w:tc>
                <w:tcPr>
                  <w:tcW w:w="23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浓度</w:t>
                  </w:r>
                </w:p>
              </w:tc>
              <w:tc>
                <w:tcPr>
                  <w:tcW w:w="27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速率</w:t>
                  </w:r>
                </w:p>
              </w:tc>
              <w:tc>
                <w:tcPr>
                  <w:tcW w:w="287"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排放量</w:t>
                  </w:r>
                </w:p>
              </w:tc>
              <w:tc>
                <w:tcPr>
                  <w:tcW w:w="184"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高度</w:t>
                  </w:r>
                </w:p>
              </w:tc>
              <w:tc>
                <w:tcPr>
                  <w:tcW w:w="184"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排气筒内径</w:t>
                  </w:r>
                </w:p>
              </w:tc>
              <w:tc>
                <w:tcPr>
                  <w:tcW w:w="184"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温度</w:t>
                  </w:r>
                </w:p>
              </w:tc>
              <w:tc>
                <w:tcPr>
                  <w:tcW w:w="304"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编号及名称</w:t>
                  </w:r>
                </w:p>
              </w:tc>
              <w:tc>
                <w:tcPr>
                  <w:tcW w:w="33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类型</w:t>
                  </w:r>
                </w:p>
              </w:tc>
              <w:tc>
                <w:tcPr>
                  <w:tcW w:w="396"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地理坐标</w:t>
                  </w:r>
                </w:p>
              </w:tc>
              <w:tc>
                <w:tcPr>
                  <w:tcW w:w="25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浓度</w:t>
                  </w:r>
                </w:p>
              </w:tc>
              <w:tc>
                <w:tcPr>
                  <w:tcW w:w="20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速率</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5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73" w:type="pct"/>
                  <w:gridSpan w:val="2"/>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37"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1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18"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措施</w:t>
                  </w:r>
                </w:p>
              </w:tc>
              <w:tc>
                <w:tcPr>
                  <w:tcW w:w="23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风量</w:t>
                  </w: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3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7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87"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8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8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18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5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0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23" w:type="pct"/>
                  <w:gridSpan w:val="3"/>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单位</w:t>
                  </w:r>
                </w:p>
              </w:tc>
              <w:tc>
                <w:tcPr>
                  <w:tcW w:w="23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mg/m</w:t>
                  </w:r>
                  <w:r>
                    <w:rPr>
                      <w:rFonts w:hint="default" w:ascii="Times New Roman" w:hAnsi="Times New Roman" w:eastAsia="宋体" w:cs="Times New Roman"/>
                      <w:b w:val="0"/>
                      <w:bCs w:val="0"/>
                      <w:color w:val="000000"/>
                      <w:sz w:val="21"/>
                      <w:szCs w:val="21"/>
                      <w:vertAlign w:val="superscript"/>
                      <w:lang w:val="en-US" w:eastAsia="zh-CN"/>
                    </w:rPr>
                    <w:t>3</w:t>
                  </w:r>
                </w:p>
              </w:tc>
              <w:tc>
                <w:tcPr>
                  <w:tcW w:w="21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t/a</w:t>
                  </w:r>
                </w:p>
              </w:tc>
              <w:tc>
                <w:tcPr>
                  <w:tcW w:w="141"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218"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23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r>
                    <w:rPr>
                      <w:rFonts w:hint="default" w:ascii="Times New Roman" w:hAnsi="Times New Roman" w:eastAsia="宋体" w:cs="Times New Roman"/>
                      <w:b w:val="0"/>
                      <w:bCs w:val="0"/>
                      <w:color w:val="000000"/>
                      <w:sz w:val="21"/>
                      <w:szCs w:val="21"/>
                      <w:vertAlign w:val="superscript"/>
                      <w:lang w:val="en-US" w:eastAsia="zh-CN"/>
                    </w:rPr>
                    <w:t>3</w:t>
                  </w:r>
                  <w:r>
                    <w:rPr>
                      <w:rFonts w:hint="default" w:ascii="Times New Roman" w:hAnsi="Times New Roman" w:eastAsia="宋体" w:cs="Times New Roman"/>
                      <w:b w:val="0"/>
                      <w:bCs w:val="0"/>
                      <w:color w:val="000000"/>
                      <w:sz w:val="21"/>
                      <w:szCs w:val="21"/>
                      <w:vertAlign w:val="baseline"/>
                      <w:lang w:val="en-US" w:eastAsia="zh-CN"/>
                    </w:rPr>
                    <w:t>/h</w:t>
                  </w:r>
                </w:p>
              </w:tc>
              <w:tc>
                <w:tcPr>
                  <w:tcW w:w="14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141"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17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23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mg/m</w:t>
                  </w:r>
                  <w:r>
                    <w:rPr>
                      <w:rFonts w:hint="default" w:ascii="Times New Roman" w:hAnsi="Times New Roman" w:eastAsia="宋体" w:cs="Times New Roman"/>
                      <w:b w:val="0"/>
                      <w:bCs w:val="0"/>
                      <w:color w:val="000000"/>
                      <w:sz w:val="21"/>
                      <w:szCs w:val="21"/>
                      <w:vertAlign w:val="superscript"/>
                      <w:lang w:val="en-US" w:eastAsia="zh-CN"/>
                    </w:rPr>
                    <w:t>3</w:t>
                  </w:r>
                </w:p>
              </w:tc>
              <w:tc>
                <w:tcPr>
                  <w:tcW w:w="27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kg/h</w:t>
                  </w:r>
                </w:p>
              </w:tc>
              <w:tc>
                <w:tcPr>
                  <w:tcW w:w="28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t/a</w:t>
                  </w:r>
                </w:p>
              </w:tc>
              <w:tc>
                <w:tcPr>
                  <w:tcW w:w="184"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184"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184"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304"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w:t>
                  </w:r>
                </w:p>
              </w:tc>
              <w:tc>
                <w:tcPr>
                  <w:tcW w:w="33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w:t>
                  </w:r>
                </w:p>
              </w:tc>
              <w:tc>
                <w:tcPr>
                  <w:tcW w:w="396"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mg/m</w:t>
                  </w:r>
                  <w:r>
                    <w:rPr>
                      <w:rFonts w:hint="default" w:ascii="Times New Roman" w:hAnsi="Times New Roman" w:eastAsia="宋体" w:cs="Times New Roman"/>
                      <w:b w:val="0"/>
                      <w:bCs w:val="0"/>
                      <w:color w:val="000000"/>
                      <w:sz w:val="21"/>
                      <w:szCs w:val="21"/>
                      <w:vertAlign w:val="superscript"/>
                      <w:lang w:val="en-US" w:eastAsia="zh-CN"/>
                    </w:rPr>
                    <w:t>3</w:t>
                  </w:r>
                </w:p>
              </w:tc>
              <w:tc>
                <w:tcPr>
                  <w:tcW w:w="20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kg/h</w:t>
                  </w:r>
                </w:p>
              </w:tc>
              <w:tc>
                <w:tcPr>
                  <w:tcW w:w="21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挤出</w:t>
                  </w:r>
                </w:p>
              </w:tc>
              <w:tc>
                <w:tcPr>
                  <w:tcW w:w="273" w:type="pct"/>
                  <w:gridSpan w:val="2"/>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非甲烷总烃</w:t>
                  </w:r>
                </w:p>
              </w:tc>
              <w:tc>
                <w:tcPr>
                  <w:tcW w:w="23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16.17</w:t>
                  </w:r>
                </w:p>
              </w:tc>
              <w:tc>
                <w:tcPr>
                  <w:tcW w:w="21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2.3285</w:t>
                  </w:r>
                </w:p>
              </w:tc>
              <w:tc>
                <w:tcPr>
                  <w:tcW w:w="141"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有组织</w:t>
                  </w:r>
                </w:p>
              </w:tc>
              <w:tc>
                <w:tcPr>
                  <w:tcW w:w="2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风冷管+二级活性炭（TA001）</w:t>
                  </w:r>
                </w:p>
              </w:tc>
              <w:tc>
                <w:tcPr>
                  <w:tcW w:w="23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20000</w:t>
                  </w:r>
                </w:p>
              </w:tc>
              <w:tc>
                <w:tcPr>
                  <w:tcW w:w="14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90</w:t>
                  </w:r>
                </w:p>
              </w:tc>
              <w:tc>
                <w:tcPr>
                  <w:tcW w:w="141"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90</w:t>
                  </w:r>
                </w:p>
              </w:tc>
              <w:tc>
                <w:tcPr>
                  <w:tcW w:w="17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是</w:t>
                  </w:r>
                </w:p>
              </w:tc>
              <w:tc>
                <w:tcPr>
                  <w:tcW w:w="23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1.617</w:t>
                  </w:r>
                </w:p>
              </w:tc>
              <w:tc>
                <w:tcPr>
                  <w:tcW w:w="27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0.0323</w:t>
                  </w:r>
                </w:p>
              </w:tc>
              <w:tc>
                <w:tcPr>
                  <w:tcW w:w="28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0.2328</w:t>
                  </w:r>
                </w:p>
              </w:tc>
              <w:tc>
                <w:tcPr>
                  <w:tcW w:w="184" w:type="pct"/>
                  <w:vMerge w:val="restar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15</w:t>
                  </w:r>
                </w:p>
              </w:tc>
              <w:tc>
                <w:tcPr>
                  <w:tcW w:w="184" w:type="pct"/>
                  <w:vMerge w:val="restar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w:t>
                  </w:r>
                  <w:r>
                    <w:rPr>
                      <w:rFonts w:hint="eastAsia" w:ascii="Times New Roman" w:hAnsi="Times New Roman" w:cs="Times New Roman"/>
                      <w:b w:val="0"/>
                      <w:bCs w:val="0"/>
                      <w:color w:val="000000"/>
                      <w:sz w:val="21"/>
                      <w:szCs w:val="21"/>
                      <w:vertAlign w:val="baseline"/>
                      <w:lang w:val="en-US" w:eastAsia="zh-CN"/>
                    </w:rPr>
                    <w:t>84</w:t>
                  </w:r>
                </w:p>
              </w:tc>
              <w:tc>
                <w:tcPr>
                  <w:tcW w:w="184" w:type="pct"/>
                  <w:vMerge w:val="restart"/>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25</w:t>
                  </w:r>
                </w:p>
              </w:tc>
              <w:tc>
                <w:tcPr>
                  <w:tcW w:w="304"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DA001</w:t>
                  </w:r>
                </w:p>
              </w:tc>
              <w:tc>
                <w:tcPr>
                  <w:tcW w:w="339"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一般排放口</w:t>
                  </w:r>
                </w:p>
              </w:tc>
              <w:tc>
                <w:tcPr>
                  <w:tcW w:w="396"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120°32′3.057″</w:t>
                  </w:r>
                  <w:r>
                    <w:rPr>
                      <w:rFonts w:hint="eastAsia" w:ascii="Times New Roman" w:hAnsi="Times New Roman" w:cs="Times New Roman"/>
                      <w:b w:val="0"/>
                      <w:bCs w:val="0"/>
                      <w:color w:val="000000"/>
                      <w:kern w:val="2"/>
                      <w:sz w:val="21"/>
                      <w:szCs w:val="21"/>
                      <w:lang w:val="en-US" w:eastAsia="zh-CN" w:bidi="ar-SA"/>
                    </w:rPr>
                    <w:t>，</w:t>
                  </w:r>
                  <w:r>
                    <w:rPr>
                      <w:rFonts w:hint="default" w:ascii="Times New Roman" w:hAnsi="Times New Roman" w:cs="Times New Roman"/>
                      <w:b w:val="0"/>
                      <w:bCs w:val="0"/>
                      <w:color w:val="000000"/>
                      <w:kern w:val="2"/>
                      <w:sz w:val="21"/>
                      <w:szCs w:val="21"/>
                      <w:lang w:val="en-US" w:eastAsia="zh-CN" w:bidi="ar-SA"/>
                    </w:rPr>
                    <w:t>32°17′0.886″</w:t>
                  </w: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restar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其中</w:t>
                  </w:r>
                </w:p>
              </w:tc>
              <w:tc>
                <w:tcPr>
                  <w:tcW w:w="136"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酚类</w:t>
                  </w:r>
                </w:p>
              </w:tc>
              <w:tc>
                <w:tcPr>
                  <w:tcW w:w="23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3</w:t>
                  </w:r>
                </w:p>
              </w:tc>
              <w:tc>
                <w:tcPr>
                  <w:tcW w:w="21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0.432</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0.3</w:t>
                  </w:r>
                </w:p>
              </w:tc>
              <w:tc>
                <w:tcPr>
                  <w:tcW w:w="27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0.006</w:t>
                  </w:r>
                </w:p>
              </w:tc>
              <w:tc>
                <w:tcPr>
                  <w:tcW w:w="28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0.0432</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continue"/>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cs="Times New Roman"/>
                      <w:b w:val="0"/>
                      <w:bCs w:val="0"/>
                      <w:color w:val="000000"/>
                      <w:kern w:val="0"/>
                      <w:sz w:val="21"/>
                      <w:szCs w:val="21"/>
                      <w:lang w:val="en-US" w:eastAsia="zh-CN" w:bidi="ar-SA"/>
                    </w:rPr>
                  </w:pPr>
                </w:p>
              </w:tc>
              <w:tc>
                <w:tcPr>
                  <w:tcW w:w="136"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right="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氯苯类</w:t>
                  </w:r>
                </w:p>
              </w:tc>
              <w:tc>
                <w:tcPr>
                  <w:tcW w:w="23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0.75</w:t>
                  </w:r>
                </w:p>
              </w:tc>
              <w:tc>
                <w:tcPr>
                  <w:tcW w:w="21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0.108</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0.075</w:t>
                  </w:r>
                </w:p>
              </w:tc>
              <w:tc>
                <w:tcPr>
                  <w:tcW w:w="270"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0.0015</w:t>
                  </w:r>
                </w:p>
              </w:tc>
              <w:tc>
                <w:tcPr>
                  <w:tcW w:w="287"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0.0108</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restar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熔融</w:t>
                  </w:r>
                </w:p>
              </w:tc>
              <w:tc>
                <w:tcPr>
                  <w:tcW w:w="273" w:type="pct"/>
                  <w:gridSpan w:val="2"/>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非甲烷总烃</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2.425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0.116</w:t>
                  </w:r>
                  <w:r>
                    <w:rPr>
                      <w:rFonts w:hint="eastAsia" w:ascii="Times New Roman" w:hAnsi="Times New Roman" w:cs="Times New Roman"/>
                      <w:b w:val="0"/>
                      <w:bCs w:val="0"/>
                      <w:color w:val="000000"/>
                      <w:sz w:val="21"/>
                      <w:szCs w:val="21"/>
                      <w:vertAlign w:val="baseline"/>
                      <w:lang w:val="en-US" w:eastAsia="zh-CN"/>
                    </w:rPr>
                    <w:t>5</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0.2425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0.0049</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0.0117</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restar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其中</w:t>
                  </w:r>
                </w:p>
              </w:tc>
              <w:tc>
                <w:tcPr>
                  <w:tcW w:w="136" w:type="pc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酚类</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0.45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0.021</w:t>
                  </w:r>
                  <w:r>
                    <w:rPr>
                      <w:rFonts w:hint="eastAsia" w:ascii="Times New Roman" w:hAnsi="Times New Roman" w:cs="Times New Roman"/>
                      <w:b w:val="0"/>
                      <w:bCs w:val="0"/>
                      <w:color w:val="000000"/>
                      <w:sz w:val="21"/>
                      <w:szCs w:val="21"/>
                      <w:vertAlign w:val="baseline"/>
                      <w:lang w:val="en-US" w:eastAsia="zh-CN"/>
                    </w:rPr>
                    <w:t>6</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0.045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0.0009</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0.0022</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continue"/>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p>
              </w:tc>
              <w:tc>
                <w:tcPr>
                  <w:tcW w:w="136" w:type="pc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bidi="ar-SA"/>
                    </w:rPr>
                    <w:t>氯苯类</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0.115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0.0054</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0.0115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0.0002</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0.0005</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02"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restar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cs="Times New Roman"/>
                      <w:b w:val="0"/>
                      <w:bCs w:val="0"/>
                      <w:color w:val="000000"/>
                      <w:sz w:val="21"/>
                      <w:szCs w:val="21"/>
                      <w:vertAlign w:val="baseline"/>
                      <w:lang w:val="en-US" w:eastAsia="zh-CN"/>
                    </w:rPr>
                    <w:t>合计</w:t>
                  </w:r>
                </w:p>
              </w:tc>
              <w:tc>
                <w:tcPr>
                  <w:tcW w:w="273" w:type="pct"/>
                  <w:gridSpan w:val="2"/>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bidi="ar-SA"/>
                    </w:rPr>
                    <w:t>非甲烷总烃</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18.595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2.445</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1.8595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0.0372</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0.2445</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20</w:t>
                  </w:r>
                </w:p>
              </w:tc>
              <w:tc>
                <w:tcPr>
                  <w:tcW w:w="202" w:type="pct"/>
                  <w:tcBorders>
                    <w:tl2br w:val="nil"/>
                    <w:tr2bl w:val="nil"/>
                  </w:tcBorders>
                  <w:shd w:val="clear" w:color="auto" w:fill="auto"/>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21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restar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bidi="ar-SA"/>
                    </w:rPr>
                    <w:t>其中</w:t>
                  </w:r>
                </w:p>
              </w:tc>
              <w:tc>
                <w:tcPr>
                  <w:tcW w:w="136" w:type="pc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bidi="ar-SA"/>
                    </w:rPr>
                    <w:t>酚类</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3.45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0.4537</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0.345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0.0069</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0.0454</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15</w:t>
                  </w:r>
                </w:p>
              </w:tc>
              <w:tc>
                <w:tcPr>
                  <w:tcW w:w="202" w:type="pct"/>
                  <w:tcBorders>
                    <w:tl2br w:val="nil"/>
                    <w:tr2bl w:val="nil"/>
                  </w:tcBorders>
                  <w:shd w:val="clear" w:color="auto" w:fill="auto"/>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continue"/>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36" w:type="pct"/>
                  <w:vMerge w:val="continue"/>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p>
              </w:tc>
              <w:tc>
                <w:tcPr>
                  <w:tcW w:w="136" w:type="pct"/>
                  <w:tcBorders>
                    <w:tl2br w:val="nil"/>
                    <w:tr2bl w:val="nil"/>
                  </w:tcBorders>
                  <w:shd w:val="clear" w:color="auto" w:fill="auto"/>
                  <w:noWrap w:val="0"/>
                  <w:vAlign w:val="center"/>
                </w:tcPr>
                <w:p>
                  <w:pPr>
                    <w:pStyle w:val="55"/>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exact"/>
                    <w:ind w:left="0" w:leftChars="0" w:right="0" w:rightChars="0" w:firstLine="0" w:firstLineChars="0"/>
                    <w:jc w:val="center"/>
                    <w:rPr>
                      <w:rFonts w:hint="default" w:ascii="Times New Roman" w:hAnsi="Times New Roman" w:cs="Times New Roman"/>
                      <w:b w:val="0"/>
                      <w:bCs w:val="0"/>
                      <w:color w:val="000000"/>
                      <w:kern w:val="0"/>
                      <w:sz w:val="21"/>
                      <w:szCs w:val="21"/>
                      <w:lang w:val="en-US" w:eastAsia="zh-CN" w:bidi="ar-SA"/>
                    </w:rPr>
                  </w:pPr>
                  <w:r>
                    <w:rPr>
                      <w:rFonts w:hint="eastAsia" w:ascii="Times New Roman" w:hAnsi="Times New Roman" w:cs="Times New Roman"/>
                      <w:b w:val="0"/>
                      <w:bCs w:val="0"/>
                      <w:color w:val="000000"/>
                      <w:kern w:val="0"/>
                      <w:sz w:val="21"/>
                      <w:szCs w:val="21"/>
                      <w:lang w:val="en-US" w:eastAsia="zh-CN" w:bidi="ar-SA"/>
                    </w:rPr>
                    <w:t>氯苯类</w:t>
                  </w:r>
                </w:p>
              </w:tc>
              <w:tc>
                <w:tcPr>
                  <w:tcW w:w="23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0.865</w:t>
                  </w:r>
                </w:p>
              </w:tc>
              <w:tc>
                <w:tcPr>
                  <w:tcW w:w="212"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0.1134</w:t>
                  </w: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4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17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235"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0.0865</w:t>
                  </w:r>
                </w:p>
              </w:tc>
              <w:tc>
                <w:tcPr>
                  <w:tcW w:w="270"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0.0017</w:t>
                  </w:r>
                </w:p>
              </w:tc>
              <w:tc>
                <w:tcPr>
                  <w:tcW w:w="287"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0.0113</w:t>
                  </w: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184"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vertAlign w:val="baseline"/>
                      <w:lang w:val="en-US" w:eastAsia="zh-CN"/>
                    </w:rPr>
                  </w:pPr>
                </w:p>
              </w:tc>
              <w:tc>
                <w:tcPr>
                  <w:tcW w:w="304"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39"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c>
                <w:tcPr>
                  <w:tcW w:w="39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cs="Times New Roman"/>
                      <w:b w:val="0"/>
                      <w:bCs w:val="0"/>
                      <w:color w:val="000000"/>
                      <w:sz w:val="21"/>
                      <w:szCs w:val="21"/>
                    </w:rPr>
                  </w:pPr>
                </w:p>
              </w:tc>
              <w:tc>
                <w:tcPr>
                  <w:tcW w:w="259" w:type="pct"/>
                  <w:tcBorders>
                    <w:tl2br w:val="nil"/>
                    <w:tr2bl w:val="nil"/>
                  </w:tcBorders>
                  <w:shd w:val="clear" w:color="auto" w:fill="auto"/>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20</w:t>
                  </w:r>
                </w:p>
              </w:tc>
              <w:tc>
                <w:tcPr>
                  <w:tcW w:w="202" w:type="pct"/>
                  <w:tcBorders>
                    <w:tl2br w:val="nil"/>
                    <w:tr2bl w:val="nil"/>
                  </w:tcBorders>
                  <w:shd w:val="clear" w:color="auto" w:fill="auto"/>
                  <w:noWrap w:val="0"/>
                  <w:vAlign w:val="center"/>
                </w:tcPr>
                <w:p>
                  <w:pPr>
                    <w:pStyle w:val="13"/>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cs="Times New Roman"/>
                      <w:b w:val="0"/>
                      <w:bCs w:val="0"/>
                      <w:color w:val="000000"/>
                      <w:sz w:val="21"/>
                      <w:szCs w:val="21"/>
                      <w:vertAlign w:val="baseline"/>
                      <w:lang w:val="en-US" w:eastAsia="zh-CN"/>
                    </w:rPr>
                    <w:t>--</w:t>
                  </w:r>
                </w:p>
              </w:tc>
              <w:tc>
                <w:tcPr>
                  <w:tcW w:w="21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bl>
          <w:p>
            <w:pPr>
              <w:pStyle w:val="48"/>
              <w:keepNext w:val="0"/>
              <w:keepLines w:val="0"/>
              <w:suppressLineNumbers w:val="0"/>
              <w:ind w:left="0" w:leftChars="0" w:right="0" w:firstLine="0" w:firstLineChars="0"/>
              <w:jc w:val="center"/>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bCs/>
                <w:color w:val="000000"/>
                <w:sz w:val="24"/>
                <w:szCs w:val="24"/>
              </w:rPr>
              <w:t>表</w:t>
            </w:r>
            <w:r>
              <w:rPr>
                <w:rFonts w:hint="default" w:ascii="Times New Roman" w:hAnsi="Times New Roman" w:cs="Times New Roman"/>
                <w:b/>
                <w:bCs/>
                <w:color w:val="000000"/>
                <w:sz w:val="24"/>
                <w:szCs w:val="24"/>
                <w:lang w:val="en-US" w:eastAsia="zh-CN"/>
              </w:rPr>
              <w:t>4-</w:t>
            </w:r>
            <w:r>
              <w:rPr>
                <w:rFonts w:hint="eastAsia" w:ascii="Times New Roman" w:hAnsi="Times New Roman" w:cs="Times New Roman"/>
                <w:b/>
                <w:bCs/>
                <w:color w:val="000000"/>
                <w:sz w:val="24"/>
                <w:szCs w:val="24"/>
                <w:lang w:val="en-US" w:eastAsia="zh-CN"/>
              </w:rPr>
              <w:t>2</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本</w:t>
            </w:r>
            <w:r>
              <w:rPr>
                <w:rFonts w:hint="default" w:ascii="Times New Roman" w:hAnsi="Times New Roman" w:eastAsia="宋体" w:cs="Times New Roman"/>
                <w:b/>
                <w:bCs/>
                <w:color w:val="000000"/>
                <w:sz w:val="24"/>
                <w:szCs w:val="24"/>
              </w:rPr>
              <w:t>项目</w:t>
            </w:r>
            <w:r>
              <w:rPr>
                <w:rFonts w:hint="default" w:ascii="Times New Roman" w:hAnsi="Times New Roman" w:eastAsia="宋体" w:cs="Times New Roman"/>
                <w:b/>
                <w:bCs/>
                <w:color w:val="000000"/>
                <w:sz w:val="24"/>
                <w:szCs w:val="24"/>
                <w:lang w:eastAsia="zh-CN"/>
              </w:rPr>
              <w:t>无组织</w:t>
            </w:r>
            <w:r>
              <w:rPr>
                <w:rFonts w:hint="default" w:ascii="Times New Roman" w:hAnsi="Times New Roman" w:eastAsia="宋体" w:cs="Times New Roman"/>
                <w:b/>
                <w:bCs/>
                <w:color w:val="000000"/>
                <w:sz w:val="24"/>
                <w:szCs w:val="24"/>
              </w:rPr>
              <w:t>废气排放情况</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982"/>
              <w:gridCol w:w="687"/>
              <w:gridCol w:w="695"/>
              <w:gridCol w:w="1081"/>
              <w:gridCol w:w="1081"/>
              <w:gridCol w:w="1310"/>
              <w:gridCol w:w="1180"/>
              <w:gridCol w:w="1000"/>
              <w:gridCol w:w="2684"/>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名称</w:t>
                  </w:r>
                </w:p>
              </w:tc>
              <w:tc>
                <w:tcPr>
                  <w:tcW w:w="386"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产排污环节</w:t>
                  </w:r>
                </w:p>
              </w:tc>
              <w:tc>
                <w:tcPr>
                  <w:tcW w:w="543" w:type="pct"/>
                  <w:gridSpan w:val="2"/>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污染物种类</w:t>
                  </w:r>
                </w:p>
              </w:tc>
              <w:tc>
                <w:tcPr>
                  <w:tcW w:w="1365" w:type="pct"/>
                  <w:gridSpan w:val="3"/>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产生及排放情况</w:t>
                  </w:r>
                </w:p>
              </w:tc>
              <w:tc>
                <w:tcPr>
                  <w:tcW w:w="1912" w:type="pct"/>
                  <w:gridSpan w:val="3"/>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面源情况</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38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543" w:type="pct"/>
                  <w:gridSpan w:val="2"/>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p>
              </w:tc>
              <w:tc>
                <w:tcPr>
                  <w:tcW w:w="42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产生量</w:t>
                  </w:r>
                </w:p>
              </w:tc>
              <w:tc>
                <w:tcPr>
                  <w:tcW w:w="42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排放量</w:t>
                  </w:r>
                </w:p>
              </w:tc>
              <w:tc>
                <w:tcPr>
                  <w:tcW w:w="51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排放速率</w:t>
                  </w:r>
                </w:p>
              </w:tc>
              <w:tc>
                <w:tcPr>
                  <w:tcW w:w="46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面源</w:t>
                  </w:r>
                  <w:r>
                    <w:rPr>
                      <w:rFonts w:hint="eastAsia" w:cs="Times New Roman"/>
                      <w:b/>
                      <w:bCs/>
                      <w:color w:val="000000"/>
                      <w:sz w:val="21"/>
                      <w:szCs w:val="21"/>
                      <w:vertAlign w:val="baseline"/>
                      <w:lang w:val="en-US" w:eastAsia="zh-CN"/>
                    </w:rPr>
                    <w:t>面积</w:t>
                  </w:r>
                </w:p>
              </w:tc>
              <w:tc>
                <w:tcPr>
                  <w:tcW w:w="39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有效高度</w:t>
                  </w:r>
                </w:p>
              </w:tc>
              <w:tc>
                <w:tcPr>
                  <w:tcW w:w="105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地理坐标</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3" w:type="pct"/>
                  <w:gridSpan w:val="4"/>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单位</w:t>
                  </w:r>
                </w:p>
              </w:tc>
              <w:tc>
                <w:tcPr>
                  <w:tcW w:w="42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t/a</w:t>
                  </w:r>
                </w:p>
              </w:tc>
              <w:tc>
                <w:tcPr>
                  <w:tcW w:w="42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t/a</w:t>
                  </w:r>
                </w:p>
              </w:tc>
              <w:tc>
                <w:tcPr>
                  <w:tcW w:w="51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kg/h</w:t>
                  </w:r>
                </w:p>
              </w:tc>
              <w:tc>
                <w:tcPr>
                  <w:tcW w:w="46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m</w:t>
                  </w:r>
                  <w:r>
                    <w:rPr>
                      <w:rFonts w:hint="eastAsia" w:cs="Times New Roman"/>
                      <w:b w:val="0"/>
                      <w:bCs w:val="0"/>
                      <w:color w:val="000000"/>
                      <w:sz w:val="21"/>
                      <w:szCs w:val="21"/>
                      <w:vertAlign w:val="superscript"/>
                      <w:lang w:val="en-US" w:eastAsia="zh-CN"/>
                    </w:rPr>
                    <w:t>2</w:t>
                  </w:r>
                </w:p>
              </w:tc>
              <w:tc>
                <w:tcPr>
                  <w:tcW w:w="39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p>
              </w:tc>
              <w:tc>
                <w:tcPr>
                  <w:tcW w:w="1055"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mg/m</w:t>
                  </w:r>
                  <w:r>
                    <w:rPr>
                      <w:rFonts w:hint="default" w:ascii="Times New Roman" w:hAnsi="Times New Roman" w:eastAsia="宋体" w:cs="Times New Roman"/>
                      <w:b w:val="0"/>
                      <w:bCs w:val="0"/>
                      <w:color w:val="000000"/>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23"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车间三</w:t>
                  </w:r>
                </w:p>
              </w:tc>
              <w:tc>
                <w:tcPr>
                  <w:tcW w:w="386"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挤出</w:t>
                  </w:r>
                </w:p>
              </w:tc>
              <w:tc>
                <w:tcPr>
                  <w:tcW w:w="543"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0.194</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0.194</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0.0269</w:t>
                  </w:r>
                </w:p>
              </w:tc>
              <w:tc>
                <w:tcPr>
                  <w:tcW w:w="463" w:type="pct"/>
                  <w:vMerge w:val="restar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1664.52</w:t>
                  </w:r>
                </w:p>
              </w:tc>
              <w:tc>
                <w:tcPr>
                  <w:tcW w:w="393" w:type="pct"/>
                  <w:vMerge w:val="restart"/>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8</w:t>
                  </w:r>
                </w:p>
              </w:tc>
              <w:tc>
                <w:tcPr>
                  <w:tcW w:w="1055"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rPr>
                  </w:pPr>
                  <w:r>
                    <w:rPr>
                      <w:rFonts w:hint="default" w:ascii="Times New Roman" w:hAnsi="Times New Roman" w:cs="Times New Roman"/>
                      <w:b w:val="0"/>
                      <w:bCs w:val="0"/>
                      <w:color w:val="000000"/>
                      <w:sz w:val="21"/>
                      <w:szCs w:val="21"/>
                    </w:rPr>
                    <w:t>120°32′</w:t>
                  </w:r>
                  <w:r>
                    <w:rPr>
                      <w:rFonts w:hint="eastAsia" w:cs="Times New Roman"/>
                      <w:b w:val="0"/>
                      <w:bCs w:val="0"/>
                      <w:color w:val="000000"/>
                      <w:sz w:val="21"/>
                      <w:szCs w:val="21"/>
                      <w:lang w:val="en-US" w:eastAsia="zh-CN"/>
                    </w:rPr>
                    <w:t>3.612</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w:t>
                  </w:r>
                  <w:r>
                    <w:rPr>
                      <w:rFonts w:hint="default" w:ascii="Times New Roman" w:hAnsi="Times New Roman" w:cs="Times New Roman"/>
                      <w:b w:val="0"/>
                      <w:bCs w:val="0"/>
                      <w:color w:val="000000"/>
                      <w:sz w:val="21"/>
                      <w:szCs w:val="21"/>
                    </w:rPr>
                    <w:t>32°1</w:t>
                  </w:r>
                  <w:r>
                    <w:rPr>
                      <w:rFonts w:hint="eastAsia" w:cs="Times New Roman"/>
                      <w:b w:val="0"/>
                      <w:bCs w:val="0"/>
                      <w:color w:val="000000"/>
                      <w:sz w:val="21"/>
                      <w:szCs w:val="21"/>
                      <w:lang w:val="en-US" w:eastAsia="zh-CN"/>
                    </w:rPr>
                    <w:t>7</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2.100</w:t>
                  </w:r>
                  <w:r>
                    <w:rPr>
                      <w:rFonts w:hint="default" w:ascii="Times New Roman" w:hAnsi="Times New Roman" w:cs="Times New Roman"/>
                      <w:b w:val="0"/>
                      <w:bCs w:val="0"/>
                      <w:color w:val="000000"/>
                      <w:sz w:val="21"/>
                      <w:szCs w:val="21"/>
                    </w:rPr>
                    <w:t>″</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86"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0"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其中</w:t>
                  </w:r>
                </w:p>
              </w:tc>
              <w:tc>
                <w:tcPr>
                  <w:tcW w:w="2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酚类</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0.036</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0.036</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0.005</w:t>
                  </w:r>
                </w:p>
              </w:tc>
              <w:tc>
                <w:tcPr>
                  <w:tcW w:w="463"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93"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105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b w:val="0"/>
                      <w:bCs w:val="0"/>
                      <w:color w:val="000000"/>
                      <w:sz w:val="21"/>
                      <w:szCs w:val="21"/>
                    </w:rPr>
                  </w:pP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86"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0"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氯苯类</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0.009</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0.009</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0.0013</w:t>
                  </w:r>
                </w:p>
              </w:tc>
              <w:tc>
                <w:tcPr>
                  <w:tcW w:w="463"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93"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105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b w:val="0"/>
                      <w:bCs w:val="0"/>
                      <w:color w:val="000000"/>
                      <w:sz w:val="21"/>
                      <w:szCs w:val="21"/>
                    </w:rPr>
                  </w:pP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车间四</w:t>
                  </w:r>
                </w:p>
              </w:tc>
              <w:tc>
                <w:tcPr>
                  <w:tcW w:w="386"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挤出、熔融</w:t>
                  </w:r>
                </w:p>
              </w:tc>
              <w:tc>
                <w:tcPr>
                  <w:tcW w:w="543" w:type="pct"/>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0.0776</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0.0776</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0.0144</w:t>
                  </w:r>
                </w:p>
              </w:tc>
              <w:tc>
                <w:tcPr>
                  <w:tcW w:w="463" w:type="pct"/>
                  <w:vMerge w:val="restar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1543.64</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ascii="Times New Roman" w:hAnsi="Times New Roman" w:eastAsia="宋体" w:cs="Times New Roman"/>
                      <w:b w:val="0"/>
                      <w:bCs w:val="0"/>
                      <w:color w:val="000000"/>
                      <w:kern w:val="0"/>
                      <w:sz w:val="21"/>
                      <w:szCs w:val="21"/>
                      <w:highlight w:val="none"/>
                      <w:lang w:val="en-US" w:eastAsia="zh-CN" w:bidi="ar-SA"/>
                    </w:rPr>
                    <w:t>8</w:t>
                  </w:r>
                </w:p>
              </w:tc>
              <w:tc>
                <w:tcPr>
                  <w:tcW w:w="105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rPr>
                  </w:pPr>
                  <w:r>
                    <w:rPr>
                      <w:rFonts w:hint="default" w:ascii="Times New Roman" w:hAnsi="Times New Roman" w:cs="Times New Roman"/>
                      <w:b w:val="0"/>
                      <w:bCs w:val="0"/>
                      <w:color w:val="000000"/>
                      <w:sz w:val="21"/>
                      <w:szCs w:val="21"/>
                    </w:rPr>
                    <w:t>120°32′</w:t>
                  </w:r>
                  <w:r>
                    <w:rPr>
                      <w:rFonts w:hint="eastAsia" w:cs="Times New Roman"/>
                      <w:b w:val="0"/>
                      <w:bCs w:val="0"/>
                      <w:color w:val="000000"/>
                      <w:sz w:val="21"/>
                      <w:szCs w:val="21"/>
                      <w:lang w:val="en-US" w:eastAsia="zh-CN"/>
                    </w:rPr>
                    <w:t>1.970</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w:t>
                  </w:r>
                  <w:r>
                    <w:rPr>
                      <w:rFonts w:hint="default" w:ascii="Times New Roman" w:hAnsi="Times New Roman" w:cs="Times New Roman"/>
                      <w:b w:val="0"/>
                      <w:bCs w:val="0"/>
                      <w:color w:val="000000"/>
                      <w:sz w:val="21"/>
                      <w:szCs w:val="21"/>
                    </w:rPr>
                    <w:t>32°</w:t>
                  </w:r>
                  <w:r>
                    <w:rPr>
                      <w:rFonts w:hint="eastAsia" w:cs="Times New Roman"/>
                      <w:b w:val="0"/>
                      <w:bCs w:val="0"/>
                      <w:color w:val="000000"/>
                      <w:sz w:val="21"/>
                      <w:szCs w:val="21"/>
                      <w:lang w:val="en-US" w:eastAsia="zh-CN"/>
                    </w:rPr>
                    <w:t>17</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1.830</w:t>
                  </w:r>
                  <w:r>
                    <w:rPr>
                      <w:rFonts w:hint="default" w:ascii="Times New Roman" w:hAnsi="Times New Roman" w:cs="Times New Roman"/>
                      <w:b w:val="0"/>
                      <w:bCs w:val="0"/>
                      <w:color w:val="000000"/>
                      <w:sz w:val="21"/>
                      <w:szCs w:val="21"/>
                    </w:rPr>
                    <w:t>″</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eastAsia"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86"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0"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其中</w:t>
                  </w:r>
                </w:p>
              </w:tc>
              <w:tc>
                <w:tcPr>
                  <w:tcW w:w="273"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酚类</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0.0144</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0.0144</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0.0027</w:t>
                  </w:r>
                </w:p>
              </w:tc>
              <w:tc>
                <w:tcPr>
                  <w:tcW w:w="463"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93"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105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b w:val="0"/>
                      <w:bCs w:val="0"/>
                      <w:color w:val="000000"/>
                      <w:sz w:val="21"/>
                      <w:szCs w:val="21"/>
                    </w:rPr>
                  </w:pP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eastAsia"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86"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0"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73"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氯苯类</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0.0036</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0.0036</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0.0007</w:t>
                  </w:r>
                </w:p>
              </w:tc>
              <w:tc>
                <w:tcPr>
                  <w:tcW w:w="463"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93"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105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b w:val="0"/>
                      <w:bCs w:val="0"/>
                      <w:color w:val="000000"/>
                      <w:sz w:val="21"/>
                      <w:szCs w:val="21"/>
                    </w:rPr>
                  </w:pP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eastAsia"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8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破碎</w:t>
                  </w:r>
                </w:p>
              </w:tc>
              <w:tc>
                <w:tcPr>
                  <w:tcW w:w="543" w:type="pct"/>
                  <w:gridSpan w:val="2"/>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颗粒物</w:t>
                  </w:r>
                </w:p>
              </w:tc>
              <w:tc>
                <w:tcPr>
                  <w:tcW w:w="425"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0.09</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0.0131</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0.0054</w:t>
                  </w:r>
                </w:p>
              </w:tc>
              <w:tc>
                <w:tcPr>
                  <w:tcW w:w="463" w:type="pct"/>
                  <w:vMerge w:val="continue"/>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p>
              </w:tc>
              <w:tc>
                <w:tcPr>
                  <w:tcW w:w="393" w:type="pct"/>
                  <w:vMerge w:val="continue"/>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p>
              </w:tc>
              <w:tc>
                <w:tcPr>
                  <w:tcW w:w="1055"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cs="Times New Roman"/>
                      <w:b w:val="0"/>
                      <w:bCs w:val="0"/>
                      <w:color w:val="000000"/>
                      <w:sz w:val="21"/>
                      <w:szCs w:val="21"/>
                    </w:rPr>
                  </w:pP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车间一</w:t>
                  </w:r>
                </w:p>
              </w:tc>
              <w:tc>
                <w:tcPr>
                  <w:tcW w:w="38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淋涂</w:t>
                  </w:r>
                </w:p>
              </w:tc>
              <w:tc>
                <w:tcPr>
                  <w:tcW w:w="543"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非甲烷总烃</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0.0029</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0.0029</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0.0518</w:t>
                  </w:r>
                </w:p>
              </w:tc>
              <w:tc>
                <w:tcPr>
                  <w:tcW w:w="463"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1239.71</w:t>
                  </w:r>
                </w:p>
              </w:tc>
              <w:tc>
                <w:tcPr>
                  <w:tcW w:w="393" w:type="pct"/>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12</w:t>
                  </w:r>
                </w:p>
              </w:tc>
              <w:tc>
                <w:tcPr>
                  <w:tcW w:w="10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120°32′</w:t>
                  </w:r>
                  <w:r>
                    <w:rPr>
                      <w:rFonts w:hint="eastAsia" w:cs="Times New Roman"/>
                      <w:b w:val="0"/>
                      <w:bCs w:val="0"/>
                      <w:color w:val="000000"/>
                      <w:sz w:val="21"/>
                      <w:szCs w:val="21"/>
                      <w:lang w:val="en-US" w:eastAsia="zh-CN"/>
                    </w:rPr>
                    <w:t>2.955</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w:t>
                  </w:r>
                  <w:r>
                    <w:rPr>
                      <w:rFonts w:hint="default" w:ascii="Times New Roman" w:hAnsi="Times New Roman" w:cs="Times New Roman"/>
                      <w:b w:val="0"/>
                      <w:bCs w:val="0"/>
                      <w:color w:val="000000"/>
                      <w:sz w:val="21"/>
                      <w:szCs w:val="21"/>
                    </w:rPr>
                    <w:t>32°1</w:t>
                  </w:r>
                  <w:r>
                    <w:rPr>
                      <w:rFonts w:hint="eastAsia" w:cs="Times New Roman"/>
                      <w:b w:val="0"/>
                      <w:bCs w:val="0"/>
                      <w:color w:val="000000"/>
                      <w:sz w:val="21"/>
                      <w:szCs w:val="21"/>
                      <w:lang w:val="en-US" w:eastAsia="zh-CN"/>
                    </w:rPr>
                    <w:t>7</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4.340</w:t>
                  </w:r>
                  <w:r>
                    <w:rPr>
                      <w:rFonts w:hint="default" w:ascii="Times New Roman" w:hAnsi="Times New Roman" w:cs="Times New Roman"/>
                      <w:b w:val="0"/>
                      <w:bCs w:val="0"/>
                      <w:color w:val="000000"/>
                      <w:sz w:val="21"/>
                      <w:szCs w:val="21"/>
                    </w:rPr>
                    <w:t>″</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车间二</w:t>
                  </w:r>
                </w:p>
              </w:tc>
              <w:tc>
                <w:tcPr>
                  <w:tcW w:w="38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危废暂存</w:t>
                  </w:r>
                </w:p>
              </w:tc>
              <w:tc>
                <w:tcPr>
                  <w:tcW w:w="543"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非甲烷总烃</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0.0079</w:t>
                  </w:r>
                </w:p>
              </w:tc>
              <w:tc>
                <w:tcPr>
                  <w:tcW w:w="42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0.0079</w:t>
                  </w:r>
                </w:p>
              </w:tc>
              <w:tc>
                <w:tcPr>
                  <w:tcW w:w="515"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vertAlign w:val="baseline"/>
                      <w:lang w:val="en-US" w:eastAsia="zh-CN" w:bidi="ar"/>
                    </w:rPr>
                  </w:pPr>
                  <w:r>
                    <w:rPr>
                      <w:rFonts w:hint="eastAsia" w:cs="Times New Roman"/>
                      <w:i w:val="0"/>
                      <w:iCs w:val="0"/>
                      <w:color w:val="000000"/>
                      <w:kern w:val="0"/>
                      <w:sz w:val="21"/>
                      <w:szCs w:val="21"/>
                      <w:u w:val="none"/>
                      <w:vertAlign w:val="baseline"/>
                      <w:lang w:val="en-US" w:eastAsia="zh-CN" w:bidi="ar"/>
                    </w:rPr>
                    <w:t>0.0009</w:t>
                  </w:r>
                </w:p>
              </w:tc>
              <w:tc>
                <w:tcPr>
                  <w:tcW w:w="463" w:type="pct"/>
                  <w:tcBorders>
                    <w:tl2br w:val="nil"/>
                    <w:tr2bl w:val="nil"/>
                  </w:tcBorders>
                  <w:noWrap w:val="0"/>
                  <w:vAlign w:val="center"/>
                </w:tcPr>
                <w:p>
                  <w:pPr>
                    <w:pStyle w:val="13"/>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1239.71</w:t>
                  </w:r>
                </w:p>
              </w:tc>
              <w:tc>
                <w:tcPr>
                  <w:tcW w:w="393" w:type="pct"/>
                  <w:tcBorders>
                    <w:tl2br w:val="nil"/>
                    <w:tr2bl w:val="nil"/>
                  </w:tcBorders>
                  <w:noWrap w:val="0"/>
                  <w:vAlign w:val="center"/>
                </w:tcPr>
                <w:p>
                  <w:pPr>
                    <w:pStyle w:val="65"/>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0" w:firstLineChars="0"/>
                    <w:jc w:val="center"/>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12</w:t>
                  </w:r>
                </w:p>
              </w:tc>
              <w:tc>
                <w:tcPr>
                  <w:tcW w:w="10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120°32′</w:t>
                  </w:r>
                  <w:r>
                    <w:rPr>
                      <w:rFonts w:hint="eastAsia" w:cs="Times New Roman"/>
                      <w:b w:val="0"/>
                      <w:bCs w:val="0"/>
                      <w:color w:val="000000"/>
                      <w:sz w:val="21"/>
                      <w:szCs w:val="21"/>
                      <w:lang w:val="en-US" w:eastAsia="zh-CN"/>
                    </w:rPr>
                    <w:t>1.410</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w:t>
                  </w:r>
                  <w:r>
                    <w:rPr>
                      <w:rFonts w:hint="default" w:ascii="Times New Roman" w:hAnsi="Times New Roman" w:cs="Times New Roman"/>
                      <w:b w:val="0"/>
                      <w:bCs w:val="0"/>
                      <w:color w:val="000000"/>
                      <w:sz w:val="21"/>
                      <w:szCs w:val="21"/>
                    </w:rPr>
                    <w:t>32°1</w:t>
                  </w:r>
                  <w:r>
                    <w:rPr>
                      <w:rFonts w:hint="eastAsia" w:cs="Times New Roman"/>
                      <w:b w:val="0"/>
                      <w:bCs w:val="0"/>
                      <w:color w:val="000000"/>
                      <w:sz w:val="21"/>
                      <w:szCs w:val="21"/>
                      <w:lang w:val="en-US" w:eastAsia="zh-CN"/>
                    </w:rPr>
                    <w:t>7</w:t>
                  </w:r>
                  <w:r>
                    <w:rPr>
                      <w:rFonts w:hint="default" w:ascii="Times New Roman" w:hAnsi="Times New Roman" w:cs="Times New Roman"/>
                      <w:b w:val="0"/>
                      <w:bCs w:val="0"/>
                      <w:color w:val="000000"/>
                      <w:sz w:val="21"/>
                      <w:szCs w:val="21"/>
                    </w:rPr>
                    <w:t>′</w:t>
                  </w:r>
                  <w:r>
                    <w:rPr>
                      <w:rFonts w:hint="eastAsia" w:cs="Times New Roman"/>
                      <w:b w:val="0"/>
                      <w:bCs w:val="0"/>
                      <w:color w:val="000000"/>
                      <w:sz w:val="21"/>
                      <w:szCs w:val="21"/>
                      <w:lang w:val="en-US" w:eastAsia="zh-CN"/>
                    </w:rPr>
                    <w:t>3.896</w:t>
                  </w:r>
                  <w:r>
                    <w:rPr>
                      <w:rFonts w:hint="default" w:ascii="Times New Roman" w:hAnsi="Times New Roman" w:cs="Times New Roman"/>
                      <w:b w:val="0"/>
                      <w:bCs w:val="0"/>
                      <w:color w:val="000000"/>
                      <w:sz w:val="21"/>
                      <w:szCs w:val="21"/>
                    </w:rPr>
                    <w:t>″</w:t>
                  </w:r>
                </w:p>
              </w:tc>
              <w:tc>
                <w:tcPr>
                  <w:tcW w:w="36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right="0" w:firstLine="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4</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textAlignment w:val="auto"/>
              <w:rPr>
                <w:rFonts w:hint="default" w:ascii="Times New Roman" w:hAnsi="Times New Roman" w:cs="Times New Roman"/>
                <w:bCs/>
                <w:color w:val="000000"/>
                <w:spacing w:val="-10"/>
                <w:szCs w:val="21"/>
                <w:lang w:eastAsia="zh-CN"/>
              </w:rPr>
            </w:pPr>
          </w:p>
        </w:tc>
      </w:tr>
    </w:tbl>
    <w:p>
      <w:pPr>
        <w:rPr>
          <w:rFonts w:hint="default" w:ascii="Times New Roman" w:hAnsi="Times New Roman" w:cs="Times New Roman"/>
          <w:color w:val="000000"/>
        </w:rPr>
        <w:sectPr>
          <w:pgSz w:w="16838" w:h="11906"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6"/>
        <w:tblW w:w="49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7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81"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val="0"/>
                <w:color w:val="000000"/>
                <w:szCs w:val="21"/>
              </w:rPr>
            </w:pPr>
            <w:r>
              <w:rPr>
                <w:rFonts w:hint="default" w:ascii="Times New Roman" w:hAnsi="Times New Roman" w:cs="Times New Roman" w:eastAsiaTheme="majorEastAsia"/>
                <w:b/>
                <w:bCs w:val="0"/>
                <w:color w:val="000000"/>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val="0"/>
                <w:color w:val="000000"/>
                <w:szCs w:val="21"/>
              </w:rPr>
            </w:pPr>
            <w:r>
              <w:rPr>
                <w:rFonts w:hint="default" w:ascii="Times New Roman" w:hAnsi="Times New Roman" w:cs="Times New Roman" w:eastAsiaTheme="majorEastAsia"/>
                <w:b/>
                <w:bCs w:val="0"/>
                <w:color w:val="000000"/>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val="0"/>
                <w:color w:val="000000"/>
                <w:szCs w:val="21"/>
              </w:rPr>
            </w:pPr>
            <w:r>
              <w:rPr>
                <w:rFonts w:hint="default" w:ascii="Times New Roman" w:hAnsi="Times New Roman" w:cs="Times New Roman" w:eastAsiaTheme="majorEastAsia"/>
                <w:b/>
                <w:bCs w:val="0"/>
                <w:color w:val="000000"/>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val="0"/>
                <w:color w:val="000000"/>
                <w:szCs w:val="21"/>
              </w:rPr>
            </w:pPr>
            <w:r>
              <w:rPr>
                <w:rFonts w:hint="default" w:ascii="Times New Roman" w:hAnsi="Times New Roman" w:cs="Times New Roman" w:eastAsiaTheme="majorEastAsia"/>
                <w:b/>
                <w:bCs w:val="0"/>
                <w:color w:val="000000"/>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val="0"/>
                <w:color w:val="000000"/>
                <w:szCs w:val="21"/>
              </w:rPr>
            </w:pPr>
            <w:r>
              <w:rPr>
                <w:rFonts w:hint="default" w:ascii="Times New Roman" w:hAnsi="Times New Roman" w:cs="Times New Roman" w:eastAsiaTheme="majorEastAsia"/>
                <w:b/>
                <w:bCs w:val="0"/>
                <w:color w:val="00000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Cs/>
                <w:color w:val="000000"/>
                <w:szCs w:val="21"/>
              </w:rPr>
            </w:pPr>
            <w:r>
              <w:rPr>
                <w:rFonts w:hint="default" w:ascii="Times New Roman" w:hAnsi="Times New Roman" w:cs="Times New Roman" w:eastAsiaTheme="majorEastAsia"/>
                <w:b/>
                <w:bCs w:val="0"/>
                <w:color w:val="000000"/>
                <w:szCs w:val="21"/>
              </w:rPr>
              <w:t>措施</w:t>
            </w:r>
          </w:p>
        </w:tc>
        <w:tc>
          <w:tcPr>
            <w:tcW w:w="4518" w:type="pct"/>
            <w:noWrap w:val="0"/>
            <w:vAlign w:val="center"/>
          </w:tcPr>
          <w:p>
            <w:pPr>
              <w:pStyle w:val="1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val="en-US" w:eastAsia="zh-CN"/>
              </w:rPr>
              <w:t>源强核算过程如下：</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（1）烘干废气</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由于烘干燥温度较低，PC主要成分是聚碳酸酯，在烘干过程中不会分解，粒料本身不含水，仅表面的水汽，因此烘干过程无废水汇集，均自然蒸发至空气中。</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（2）挤出废气</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本项目采用PC塑料粒子进行挤出成型，该工序每天工作24小时，年工作300天。项目挤出工序温度控制在250-285℃之间，低于PC分解温度340-350℃，在加热软化过程中，属于物理性熔融，由于分子间的剪切挤压会发生断链、分解、降解等，而产生少量有机废气，鉴于温度较低，其废气量小，成分不复杂，因此主要废气为有机废气，包括非甲烷总烃、酚类、氯苯类污染物。</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①非甲烷总烃</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auto"/>
                <w:sz w:val="24"/>
                <w:szCs w:val="24"/>
                <w:lang w:eastAsia="zh-CN"/>
              </w:rPr>
              <w:t>根据《浙江省重点行业VOCs污染排放源排放量计算方法》（1.1版），参考塑料皮、板、管材制造工序，非甲烷总烃单位排放系数为0.539kg/t-原料，本项目</w:t>
            </w:r>
            <w:r>
              <w:rPr>
                <w:rFonts w:hint="default" w:ascii="Times New Roman" w:hAnsi="Times New Roman" w:cs="Times New Roman" w:eastAsiaTheme="majorEastAsia"/>
                <w:color w:val="auto"/>
                <w:sz w:val="24"/>
                <w:szCs w:val="24"/>
                <w:lang w:val="en-US" w:eastAsia="zh-CN"/>
              </w:rPr>
              <w:t>PC粒子原料为4800吨，则本项目非甲烷总烃产生量为2.5872t/a。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②酚类</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参照《聚碳酸酯树脂中微量酚的测定》中的研究，聚碳酸酯粒子中酚类产生量按照实验结果的均值进行计算，约100ppm（0.01%），PC使用量为4800t/a，则酚类的产生量为0.48t/a。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③氯苯类</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根据文献《聚炭酸酯中氯含量的测定》（李韶钰，杭州化工，1987年01期）中 测试结果：PC中氯苯的含量约为0.025kg/t，本项目PC用量为4800t/a，则氯苯类的产生量为0.12t/a。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（3）淋涂废气</w:t>
            </w:r>
          </w:p>
          <w:p>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涂装面积核算：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b/>
                <w:bCs/>
                <w:color w:val="000000"/>
                <w:sz w:val="24"/>
                <w:szCs w:val="24"/>
              </w:rPr>
            </w:pPr>
            <w:r>
              <w:rPr>
                <w:rFonts w:hint="default" w:ascii="Times New Roman" w:hAnsi="Times New Roman" w:cs="Times New Roman" w:eastAsiaTheme="majorEastAsia"/>
                <w:color w:val="auto"/>
                <w:sz w:val="24"/>
                <w:szCs w:val="24"/>
                <w:lang w:val="en-US" w:eastAsia="zh-CN"/>
              </w:rPr>
              <w:t>根据企业提供资料，</w:t>
            </w:r>
            <w:r>
              <w:rPr>
                <w:rFonts w:hint="default" w:ascii="Times New Roman" w:hAnsi="Times New Roman" w:cs="Times New Roman" w:eastAsiaTheme="majorEastAsia"/>
                <w:color w:val="auto"/>
                <w:sz w:val="24"/>
                <w:szCs w:val="24"/>
              </w:rPr>
              <w:t>本项目</w:t>
            </w:r>
            <w:r>
              <w:rPr>
                <w:rFonts w:hint="default" w:ascii="Times New Roman" w:hAnsi="Times New Roman" w:cs="Times New Roman" w:eastAsiaTheme="majorEastAsia"/>
                <w:color w:val="auto"/>
                <w:sz w:val="24"/>
                <w:szCs w:val="24"/>
                <w:lang w:val="en-US" w:eastAsia="zh-CN"/>
              </w:rPr>
              <w:t>约50%的PC板中需淋涂，淋涂</w:t>
            </w:r>
            <w:r>
              <w:rPr>
                <w:rFonts w:hint="default" w:ascii="Times New Roman" w:hAnsi="Times New Roman" w:cs="Times New Roman" w:eastAsiaTheme="majorEastAsia"/>
                <w:color w:val="auto"/>
                <w:sz w:val="24"/>
                <w:szCs w:val="24"/>
              </w:rPr>
              <w:t>使用</w:t>
            </w:r>
            <w:r>
              <w:rPr>
                <w:rFonts w:hint="default" w:ascii="Times New Roman" w:hAnsi="Times New Roman" w:cs="Times New Roman" w:eastAsiaTheme="majorEastAsia"/>
                <w:color w:val="auto"/>
                <w:sz w:val="24"/>
                <w:szCs w:val="24"/>
                <w:lang w:val="en-US" w:eastAsia="zh-CN"/>
              </w:rPr>
              <w:t>淋涂药剂</w:t>
            </w:r>
            <w:r>
              <w:rPr>
                <w:rFonts w:hint="default" w:ascii="Times New Roman" w:hAnsi="Times New Roman" w:cs="Times New Roman" w:eastAsiaTheme="majorEastAsia"/>
                <w:color w:val="auto"/>
                <w:sz w:val="24"/>
                <w:szCs w:val="24"/>
              </w:rPr>
              <w:t>。本项目</w:t>
            </w:r>
            <w:r>
              <w:rPr>
                <w:rFonts w:hint="default" w:ascii="Times New Roman" w:hAnsi="Times New Roman" w:cs="Times New Roman" w:eastAsiaTheme="majorEastAsia"/>
                <w:color w:val="auto"/>
                <w:sz w:val="24"/>
                <w:szCs w:val="24"/>
                <w:lang w:val="en-US" w:eastAsia="zh-CN"/>
              </w:rPr>
              <w:t>淋涂</w:t>
            </w:r>
            <w:r>
              <w:rPr>
                <w:rFonts w:hint="default" w:ascii="Times New Roman" w:hAnsi="Times New Roman" w:cs="Times New Roman" w:eastAsiaTheme="majorEastAsia"/>
                <w:color w:val="auto"/>
                <w:sz w:val="24"/>
                <w:szCs w:val="24"/>
              </w:rPr>
              <w:t>面积见表</w:t>
            </w:r>
            <w:r>
              <w:rPr>
                <w:rFonts w:hint="default" w:ascii="Times New Roman" w:hAnsi="Times New Roman" w:cs="Times New Roman" w:eastAsiaTheme="majorEastAsia"/>
                <w:color w:val="auto"/>
                <w:sz w:val="24"/>
                <w:szCs w:val="24"/>
                <w:lang w:val="en-US" w:eastAsia="zh-CN"/>
              </w:rPr>
              <w:t>4-</w:t>
            </w:r>
            <w:r>
              <w:rPr>
                <w:rFonts w:hint="eastAsia" w:ascii="Times New Roman" w:hAnsi="Times New Roman" w:cs="Times New Roman" w:eastAsiaTheme="majorEastAsia"/>
                <w:color w:val="auto"/>
                <w:sz w:val="24"/>
                <w:szCs w:val="24"/>
                <w:lang w:val="en-US" w:eastAsia="zh-CN"/>
              </w:rPr>
              <w:t>3</w:t>
            </w:r>
            <w:r>
              <w:rPr>
                <w:rFonts w:hint="default" w:ascii="Times New Roman" w:hAnsi="Times New Roman" w:cs="Times New Roman" w:eastAsiaTheme="majorEastAsia"/>
                <w:color w:val="000000"/>
                <w:sz w:val="24"/>
                <w:szCs w:val="24"/>
              </w:rPr>
              <w:t>。</w:t>
            </w:r>
          </w:p>
          <w:p>
            <w:pPr>
              <w:keepNext w:val="0"/>
              <w:keepLines w:val="0"/>
              <w:suppressLineNumbers w:val="0"/>
              <w:snapToGrid w:val="0"/>
              <w:spacing w:before="0" w:beforeAutospacing="0" w:after="0" w:afterAutospacing="0" w:line="240" w:lineRule="auto"/>
              <w:ind w:left="0" w:right="0" w:firstLine="482" w:firstLineChars="200"/>
              <w:jc w:val="center"/>
              <w:rPr>
                <w:rFonts w:hint="default" w:ascii="Times New Roman" w:hAnsi="Times New Roman" w:cs="Times New Roman" w:eastAsiaTheme="majorEastAsia"/>
                <w:b/>
                <w:bCs/>
                <w:color w:val="000000"/>
                <w:sz w:val="24"/>
                <w:szCs w:val="24"/>
              </w:rPr>
            </w:pPr>
            <w:r>
              <w:rPr>
                <w:rFonts w:hint="default" w:ascii="Times New Roman" w:hAnsi="Times New Roman" w:cs="Times New Roman" w:eastAsiaTheme="majorEastAsia"/>
                <w:b/>
                <w:bCs/>
                <w:color w:val="000000"/>
                <w:sz w:val="24"/>
                <w:szCs w:val="24"/>
              </w:rPr>
              <w:t>表</w:t>
            </w:r>
            <w:r>
              <w:rPr>
                <w:rFonts w:hint="default" w:ascii="Times New Roman" w:hAnsi="Times New Roman" w:cs="Times New Roman" w:eastAsiaTheme="majorEastAsia"/>
                <w:b/>
                <w:bCs/>
                <w:color w:val="000000"/>
                <w:sz w:val="24"/>
                <w:szCs w:val="24"/>
                <w:lang w:val="en-US" w:eastAsia="zh-CN"/>
              </w:rPr>
              <w:t>4-</w:t>
            </w:r>
            <w:r>
              <w:rPr>
                <w:rFonts w:hint="eastAsia" w:ascii="Times New Roman" w:hAnsi="Times New Roman" w:cs="Times New Roman" w:eastAsiaTheme="majorEastAsia"/>
                <w:b/>
                <w:bCs/>
                <w:color w:val="000000"/>
                <w:sz w:val="24"/>
                <w:szCs w:val="24"/>
                <w:lang w:val="en-US" w:eastAsia="zh-CN"/>
              </w:rPr>
              <w:t>3</w:t>
            </w:r>
            <w:r>
              <w:rPr>
                <w:rFonts w:hint="default" w:ascii="Times New Roman" w:hAnsi="Times New Roman" w:cs="Times New Roman" w:eastAsiaTheme="majorEastAsia"/>
                <w:b/>
                <w:bCs/>
                <w:color w:val="000000"/>
                <w:sz w:val="24"/>
                <w:szCs w:val="24"/>
              </w:rPr>
              <w:t xml:space="preserve"> 工件涂装面积一览表</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503"/>
              <w:gridCol w:w="2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8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货种</w:t>
                  </w:r>
                </w:p>
              </w:tc>
              <w:tc>
                <w:tcPr>
                  <w:tcW w:w="162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淋涂规模</w:t>
                  </w:r>
                </w:p>
              </w:tc>
              <w:tc>
                <w:tcPr>
                  <w:tcW w:w="189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淋涂总面积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8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PC板</w:t>
                  </w:r>
                </w:p>
              </w:tc>
              <w:tc>
                <w:tcPr>
                  <w:tcW w:w="162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2.5万平方米</w:t>
                  </w:r>
                </w:p>
              </w:tc>
              <w:tc>
                <w:tcPr>
                  <w:tcW w:w="1896"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5万平方米</w:t>
                  </w:r>
                </w:p>
              </w:tc>
            </w:tr>
          </w:tbl>
          <w:p>
            <w:pPr>
              <w:keepNext w:val="0"/>
              <w:keepLines w:val="0"/>
              <w:suppressLineNumbers w:val="0"/>
              <w:snapToGrid w:val="0"/>
              <w:spacing w:before="0" w:beforeAutospacing="0" w:after="0" w:afterAutospacing="0" w:line="240" w:lineRule="auto"/>
              <w:ind w:left="0" w:right="0"/>
              <w:jc w:val="both"/>
              <w:rPr>
                <w:rFonts w:hint="default" w:ascii="Times New Roman" w:hAnsi="Times New Roman" w:cs="Times New Roman" w:eastAsiaTheme="majorEastAsia"/>
                <w:lang w:val="en-US" w:eastAsia="zh-CN"/>
              </w:rPr>
            </w:pPr>
            <w:r>
              <w:rPr>
                <w:rFonts w:hint="default" w:ascii="Times New Roman" w:hAnsi="Times New Roman" w:cs="Times New Roman" w:eastAsiaTheme="majorEastAsia"/>
                <w:b w:val="0"/>
                <w:bCs w:val="0"/>
                <w:color w:val="000000"/>
                <w:sz w:val="21"/>
                <w:szCs w:val="21"/>
                <w:lang w:val="en-US" w:eastAsia="zh-CN"/>
              </w:rPr>
              <w:t>注：25万平方米PC板需进行淋涂，双面均需淋涂，则淋涂面积为2*2.5万=5万平方米。</w:t>
            </w:r>
          </w:p>
          <w:p>
            <w:pPr>
              <w:keepNext w:val="0"/>
              <w:keepLines w:val="0"/>
              <w:suppressLineNumbers w:val="0"/>
              <w:snapToGrid w:val="0"/>
              <w:spacing w:before="0" w:beforeAutospacing="0" w:after="0" w:afterAutospacing="0" w:line="360" w:lineRule="auto"/>
              <w:ind w:left="0" w:right="0" w:firstLine="482" w:firstLineChars="200"/>
              <w:jc w:val="both"/>
              <w:rPr>
                <w:rFonts w:hint="default" w:ascii="Times New Roman" w:hAnsi="Times New Roman" w:cs="Times New Roman" w:eastAsiaTheme="majorEastAsia"/>
                <w:b/>
                <w:bCs/>
                <w:color w:val="000000"/>
                <w:sz w:val="24"/>
                <w:szCs w:val="24"/>
              </w:rPr>
            </w:pPr>
            <w:r>
              <w:rPr>
                <w:rFonts w:hint="default" w:ascii="Times New Roman" w:hAnsi="Times New Roman" w:cs="Times New Roman" w:eastAsiaTheme="majorEastAsia"/>
                <w:b/>
                <w:bCs/>
                <w:color w:val="000000"/>
                <w:sz w:val="24"/>
                <w:szCs w:val="24"/>
              </w:rPr>
              <w:t>用量核算：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淋涂药剂用量参照以下公式计算：</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auto"/>
                <w:sz w:val="24"/>
                <w:szCs w:val="24"/>
              </w:rPr>
              <w:drawing>
                <wp:inline distT="0" distB="0" distL="114300" distR="114300">
                  <wp:extent cx="2705100" cy="457200"/>
                  <wp:effectExtent l="0" t="0" r="0" b="0"/>
                  <wp:docPr id="2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6"/>
                          <pic:cNvPicPr>
                            <a:picLocks noChangeAspect="1"/>
                          </pic:cNvPicPr>
                        </pic:nvPicPr>
                        <pic:blipFill>
                          <a:blip r:embed="rId15"/>
                          <a:stretch>
                            <a:fillRect/>
                          </a:stretch>
                        </pic:blipFill>
                        <pic:spPr>
                          <a:xfrm>
                            <a:off x="0" y="0"/>
                            <a:ext cx="2705100" cy="45720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其中：m—油漆总用量（t/a）；</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ρ—涂层密度（g/cm</w:t>
            </w:r>
            <w:r>
              <w:rPr>
                <w:rFonts w:hint="default" w:ascii="Times New Roman" w:hAnsi="Times New Roman" w:cs="Times New Roman" w:eastAsiaTheme="majorEastAsia"/>
                <w:color w:val="000000"/>
                <w:sz w:val="24"/>
                <w:szCs w:val="24"/>
                <w:vertAlign w:val="superscript"/>
                <w:lang w:val="en-US" w:eastAsia="zh-CN"/>
              </w:rPr>
              <w:t>3</w:t>
            </w:r>
            <w:r>
              <w:rPr>
                <w:rFonts w:hint="default" w:ascii="Times New Roman" w:hAnsi="Times New Roman" w:cs="Times New Roman" w:eastAsiaTheme="majorEastAsia"/>
                <w:color w:val="000000"/>
                <w:sz w:val="24"/>
                <w:szCs w:val="24"/>
                <w:lang w:val="en-US" w:eastAsia="zh-CN"/>
              </w:rPr>
              <w:t>）；</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δ—涂层厚度（μm）；</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S—涂装总面积（m</w:t>
            </w:r>
            <w:r>
              <w:rPr>
                <w:rFonts w:hint="default" w:ascii="Times New Roman" w:hAnsi="Times New Roman" w:cs="Times New Roman" w:eastAsiaTheme="majorEastAsia"/>
                <w:color w:val="000000"/>
                <w:sz w:val="24"/>
                <w:szCs w:val="24"/>
                <w:vertAlign w:val="superscript"/>
                <w:lang w:val="en-US" w:eastAsia="zh-CN"/>
              </w:rPr>
              <w:t>2</w:t>
            </w:r>
            <w:r>
              <w:rPr>
                <w:rFonts w:hint="default" w:ascii="Times New Roman" w:hAnsi="Times New Roman" w:cs="Times New Roman" w:eastAsiaTheme="majorEastAsia"/>
                <w:color w:val="000000"/>
                <w:sz w:val="24"/>
                <w:szCs w:val="24"/>
                <w:lang w:val="en-US" w:eastAsia="zh-CN"/>
              </w:rPr>
              <w:t>/年）；</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NV—涂层中的固体份（%）；</w:t>
            </w:r>
          </w:p>
          <w:p>
            <w:pPr>
              <w:keepNext w:val="0"/>
              <w:keepLines w:val="0"/>
              <w:suppressLineNumbers w:val="0"/>
              <w:snapToGrid w:val="0"/>
              <w:spacing w:before="0" w:beforeAutospacing="0" w:after="0" w:afterAutospacing="0" w:line="360" w:lineRule="auto"/>
              <w:ind w:left="0" w:right="0" w:firstLine="480" w:firstLineChars="200"/>
              <w:jc w:val="both"/>
              <w:rPr>
                <w:rFonts w:hint="default" w:ascii="Times New Roman" w:hAnsi="Times New Roman" w:cs="Times New Roman" w:eastAsiaTheme="majorEastAsia"/>
                <w:bCs w:val="0"/>
                <w:i w:val="0"/>
                <w:color w:val="000000"/>
                <w:sz w:val="24"/>
                <w:szCs w:val="24"/>
                <w:lang w:val="en-US"/>
              </w:rPr>
            </w:pPr>
            <w:r>
              <w:rPr>
                <w:rFonts w:hint="default" w:ascii="Times New Roman" w:hAnsi="Times New Roman" w:cs="Times New Roman" w:eastAsiaTheme="majorEastAsia"/>
                <w:color w:val="000000"/>
                <w:sz w:val="24"/>
                <w:szCs w:val="24"/>
                <w:lang w:val="en-US" w:eastAsia="zh-CN"/>
              </w:rPr>
              <w:t>ε—涂层上漆率。</w:t>
            </w:r>
          </w:p>
          <w:p>
            <w:pPr>
              <w:keepNext w:val="0"/>
              <w:keepLines w:val="0"/>
              <w:suppressLineNumbers w:val="0"/>
              <w:snapToGrid w:val="0"/>
              <w:spacing w:before="0" w:beforeAutospacing="0" w:after="0" w:afterAutospacing="0" w:line="240" w:lineRule="auto"/>
              <w:ind w:left="0" w:right="0" w:firstLine="482" w:firstLineChars="200"/>
              <w:jc w:val="center"/>
              <w:rPr>
                <w:rFonts w:hint="default" w:ascii="Times New Roman" w:hAnsi="Times New Roman" w:cs="Times New Roman" w:eastAsiaTheme="majorEastAsia"/>
                <w:b/>
                <w:bCs/>
                <w:color w:val="000000"/>
                <w:sz w:val="24"/>
                <w:szCs w:val="24"/>
              </w:rPr>
            </w:pPr>
            <w:r>
              <w:rPr>
                <w:rFonts w:hint="default" w:ascii="Times New Roman" w:hAnsi="Times New Roman" w:cs="Times New Roman" w:eastAsiaTheme="majorEastAsia"/>
                <w:b/>
                <w:bCs/>
                <w:color w:val="000000"/>
                <w:sz w:val="24"/>
                <w:szCs w:val="24"/>
              </w:rPr>
              <w:t>表</w:t>
            </w:r>
            <w:r>
              <w:rPr>
                <w:rFonts w:hint="eastAsia" w:ascii="Times New Roman" w:hAnsi="Times New Roman" w:cs="Times New Roman" w:eastAsiaTheme="majorEastAsia"/>
                <w:b/>
                <w:bCs/>
                <w:color w:val="000000"/>
                <w:sz w:val="24"/>
                <w:szCs w:val="24"/>
                <w:lang w:val="en-US" w:eastAsia="zh-CN"/>
              </w:rPr>
              <w:t xml:space="preserve">4-4 </w:t>
            </w:r>
            <w:r>
              <w:rPr>
                <w:rFonts w:hint="default" w:ascii="Times New Roman" w:hAnsi="Times New Roman" w:cs="Times New Roman" w:eastAsiaTheme="majorEastAsia"/>
                <w:b/>
                <w:bCs/>
                <w:color w:val="000000"/>
                <w:sz w:val="24"/>
                <w:szCs w:val="24"/>
              </w:rPr>
              <w:t>本项目</w:t>
            </w:r>
            <w:r>
              <w:rPr>
                <w:rFonts w:hint="eastAsia" w:ascii="Times New Roman" w:hAnsi="Times New Roman" w:cs="Times New Roman" w:eastAsiaTheme="majorEastAsia"/>
                <w:b/>
                <w:bCs/>
                <w:color w:val="000000"/>
                <w:sz w:val="24"/>
                <w:szCs w:val="24"/>
                <w:lang w:val="en-US" w:eastAsia="zh-CN"/>
              </w:rPr>
              <w:t>淋涂</w:t>
            </w:r>
            <w:r>
              <w:rPr>
                <w:rFonts w:hint="default" w:ascii="Times New Roman" w:hAnsi="Times New Roman" w:cs="Times New Roman" w:eastAsiaTheme="majorEastAsia"/>
                <w:b/>
                <w:bCs/>
                <w:color w:val="000000"/>
                <w:sz w:val="24"/>
                <w:szCs w:val="24"/>
              </w:rPr>
              <w:t>参数表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592"/>
              <w:gridCol w:w="1161"/>
              <w:gridCol w:w="1121"/>
              <w:gridCol w:w="807"/>
              <w:gridCol w:w="1091"/>
              <w:gridCol w:w="1193"/>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68"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名称</w:t>
                  </w:r>
                </w:p>
              </w:tc>
              <w:tc>
                <w:tcPr>
                  <w:tcW w:w="383"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涂料种类</w:t>
                  </w:r>
                </w:p>
              </w:tc>
              <w:tc>
                <w:tcPr>
                  <w:tcW w:w="751"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涂装总面积m</w:t>
                  </w:r>
                  <w:r>
                    <w:rPr>
                      <w:rFonts w:hint="default" w:ascii="Times New Roman" w:hAnsi="Times New Roman" w:cs="Times New Roman" w:eastAsiaTheme="majorEastAsia"/>
                      <w:b/>
                      <w:bCs/>
                      <w:color w:val="000000"/>
                      <w:spacing w:val="14"/>
                      <w:kern w:val="0"/>
                      <w:sz w:val="21"/>
                      <w:szCs w:val="21"/>
                      <w:vertAlign w:val="superscript"/>
                      <w:lang w:val="en-US" w:eastAsia="zh-CN" w:bidi="ar-SA"/>
                    </w:rPr>
                    <w:t>2</w:t>
                  </w:r>
                </w:p>
              </w:tc>
              <w:tc>
                <w:tcPr>
                  <w:tcW w:w="725"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涂层厚度（um）</w:t>
                  </w:r>
                </w:p>
              </w:tc>
              <w:tc>
                <w:tcPr>
                  <w:tcW w:w="522"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涂料密度（g/cm</w:t>
                  </w:r>
                  <w:r>
                    <w:rPr>
                      <w:rFonts w:hint="default" w:ascii="Times New Roman" w:hAnsi="Times New Roman" w:cs="Times New Roman" w:eastAsiaTheme="majorEastAsia"/>
                      <w:b/>
                      <w:bCs/>
                      <w:color w:val="000000"/>
                      <w:spacing w:val="14"/>
                      <w:kern w:val="0"/>
                      <w:sz w:val="21"/>
                      <w:szCs w:val="21"/>
                      <w:vertAlign w:val="superscript"/>
                      <w:lang w:val="en-US" w:eastAsia="zh-CN" w:bidi="ar-SA"/>
                    </w:rPr>
                    <w:t>3</w:t>
                  </w:r>
                  <w:r>
                    <w:rPr>
                      <w:rFonts w:hint="default" w:ascii="Times New Roman" w:hAnsi="Times New Roman" w:cs="Times New Roman" w:eastAsiaTheme="majorEastAsia"/>
                      <w:b/>
                      <w:bCs/>
                      <w:color w:val="000000"/>
                      <w:spacing w:val="14"/>
                      <w:kern w:val="0"/>
                      <w:sz w:val="21"/>
                      <w:szCs w:val="21"/>
                      <w:lang w:val="en-US" w:eastAsia="zh-CN" w:bidi="ar-SA"/>
                    </w:rPr>
                    <w:t>）</w:t>
                  </w:r>
                </w:p>
              </w:tc>
              <w:tc>
                <w:tcPr>
                  <w:tcW w:w="706"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固体份（%）</w:t>
                  </w:r>
                </w:p>
              </w:tc>
              <w:tc>
                <w:tcPr>
                  <w:tcW w:w="772"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附着率（%）</w:t>
                  </w:r>
                </w:p>
              </w:tc>
              <w:tc>
                <w:tcPr>
                  <w:tcW w:w="868" w:type="pct"/>
                  <w:tcBorders>
                    <w:tl2br w:val="nil"/>
                    <w:tr2bl w:val="nil"/>
                  </w:tcBorders>
                  <w:noWrap w:val="0"/>
                  <w:vAlign w:val="center"/>
                </w:tcPr>
                <w:p>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b/>
                      <w:bCs/>
                      <w:color w:val="000000"/>
                      <w:spacing w:val="14"/>
                      <w:kern w:val="0"/>
                      <w:sz w:val="21"/>
                      <w:szCs w:val="21"/>
                      <w:lang w:val="en-US" w:eastAsia="zh-CN" w:bidi="ar-SA"/>
                    </w:rPr>
                  </w:pPr>
                  <w:r>
                    <w:rPr>
                      <w:rFonts w:hint="default" w:ascii="Times New Roman" w:hAnsi="Times New Roman" w:cs="Times New Roman" w:eastAsiaTheme="majorEastAsia"/>
                      <w:b/>
                      <w:bCs/>
                      <w:color w:val="000000"/>
                      <w:spacing w:val="14"/>
                      <w:kern w:val="0"/>
                      <w:sz w:val="21"/>
                      <w:szCs w:val="21"/>
                      <w:lang w:val="en-US" w:eastAsia="zh-CN" w:bidi="ar-SA"/>
                    </w:rPr>
                    <w:t>年用量（t/a）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PC板</w:t>
                  </w:r>
                </w:p>
              </w:tc>
              <w:tc>
                <w:tcPr>
                  <w:tcW w:w="383"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淋涂药剂</w:t>
                  </w:r>
                </w:p>
              </w:tc>
              <w:tc>
                <w:tcPr>
                  <w:tcW w:w="751"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50000</w:t>
                  </w:r>
                </w:p>
              </w:tc>
              <w:tc>
                <w:tcPr>
                  <w:tcW w:w="72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20</w:t>
                  </w:r>
                </w:p>
              </w:tc>
              <w:tc>
                <w:tcPr>
                  <w:tcW w:w="52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1</w:t>
                  </w:r>
                </w:p>
              </w:tc>
              <w:tc>
                <w:tcPr>
                  <w:tcW w:w="70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69.8</w:t>
                  </w:r>
                </w:p>
              </w:tc>
              <w:tc>
                <w:tcPr>
                  <w:tcW w:w="77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100%</w:t>
                  </w:r>
                </w:p>
              </w:tc>
              <w:tc>
                <w:tcPr>
                  <w:tcW w:w="86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1.433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8"/>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cs="Times New Roman" w:eastAsiaTheme="majorEastAsia"/>
                      <w:color w:val="000000"/>
                      <w:spacing w:val="14"/>
                      <w:kern w:val="0"/>
                      <w:sz w:val="21"/>
                      <w:szCs w:val="21"/>
                      <w:lang w:val="en-US" w:eastAsia="zh-CN" w:bidi="ar-SA"/>
                    </w:rPr>
                  </w:pPr>
                  <w:r>
                    <w:rPr>
                      <w:rFonts w:hint="default" w:ascii="Times New Roman" w:hAnsi="Times New Roman" w:cs="Times New Roman" w:eastAsiaTheme="majorEastAsia"/>
                      <w:color w:val="000000"/>
                      <w:spacing w:val="14"/>
                      <w:kern w:val="0"/>
                      <w:sz w:val="21"/>
                      <w:szCs w:val="21"/>
                      <w:lang w:val="en-US" w:eastAsia="zh-CN" w:bidi="ar-SA"/>
                    </w:rPr>
                    <w:t>注：</w:t>
                  </w:r>
                  <w:r>
                    <w:rPr>
                      <w:rFonts w:hint="eastAsia" w:ascii="Times New Roman" w:hAnsi="Times New Roman" w:cs="Times New Roman" w:eastAsiaTheme="majorEastAsia"/>
                      <w:color w:val="000000"/>
                      <w:spacing w:val="14"/>
                      <w:kern w:val="0"/>
                      <w:sz w:val="21"/>
                      <w:szCs w:val="21"/>
                      <w:lang w:val="en-US" w:eastAsia="zh-CN" w:bidi="ar-SA"/>
                    </w:rPr>
                    <w:t>①</w:t>
                  </w:r>
                  <w:r>
                    <w:rPr>
                      <w:rFonts w:hint="default" w:ascii="Times New Roman" w:hAnsi="Times New Roman" w:cs="Times New Roman" w:eastAsiaTheme="majorEastAsia"/>
                      <w:color w:val="000000"/>
                      <w:spacing w:val="14"/>
                      <w:kern w:val="0"/>
                      <w:sz w:val="21"/>
                      <w:szCs w:val="21"/>
                      <w:lang w:val="en-US" w:eastAsia="zh-CN" w:bidi="ar-SA"/>
                    </w:rPr>
                    <w:t>本项目采用淋涂工艺，淋涂过程中药剂无雾化现象产生，滴流的淋涂药剂经收集后继续回用，无药剂损耗，因此附着率按100%计</w:t>
                  </w:r>
                  <w:r>
                    <w:rPr>
                      <w:rFonts w:hint="eastAsia" w:ascii="Times New Roman" w:hAnsi="Times New Roman" w:cs="Times New Roman" w:eastAsiaTheme="majorEastAsia"/>
                      <w:color w:val="000000"/>
                      <w:spacing w:val="14"/>
                      <w:kern w:val="0"/>
                      <w:sz w:val="21"/>
                      <w:szCs w:val="21"/>
                      <w:lang w:val="en-US" w:eastAsia="zh-CN" w:bidi="ar-SA"/>
                    </w:rPr>
                    <w:t>；</w:t>
                  </w:r>
                </w:p>
                <w:p>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eastAsiaTheme="majorEastAsia"/>
                      <w:color w:val="000000"/>
                      <w:spacing w:val="14"/>
                      <w:kern w:val="0"/>
                      <w:sz w:val="21"/>
                      <w:szCs w:val="21"/>
                      <w:lang w:val="en-US" w:eastAsia="zh-CN" w:bidi="ar-SA"/>
                    </w:rPr>
                  </w:pPr>
                  <w:r>
                    <w:rPr>
                      <w:rFonts w:hint="eastAsia" w:ascii="Times New Roman" w:hAnsi="Times New Roman" w:cs="Times New Roman" w:eastAsiaTheme="majorEastAsia"/>
                      <w:color w:val="000000"/>
                      <w:spacing w:val="14"/>
                      <w:kern w:val="0"/>
                      <w:sz w:val="21"/>
                      <w:szCs w:val="21"/>
                      <w:lang w:val="en-US" w:eastAsia="zh-CN" w:bidi="ar-SA"/>
                    </w:rPr>
                    <w:t>②根据企业提供的VOC检测报告，其含量为ND，本次评价以最不利情况计，则含量按2g/L（方法检出限），水含量取平均30%计，计算出固体份含量为69.8%。</w:t>
                  </w:r>
                </w:p>
              </w:tc>
            </w:tr>
          </w:tbl>
          <w:p>
            <w:pPr>
              <w:pStyle w:val="1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ajorEastAsia"/>
                <w:b/>
                <w:bCs/>
                <w:color w:val="000000"/>
                <w:sz w:val="24"/>
                <w:szCs w:val="24"/>
                <w:lang w:val="en-US" w:eastAsia="zh-CN" w:bidi="ar"/>
              </w:rPr>
            </w:pPr>
            <w:r>
              <w:rPr>
                <w:rFonts w:hint="default" w:ascii="Times New Roman" w:hAnsi="Times New Roman" w:cs="Times New Roman" w:eastAsiaTheme="majorEastAsia"/>
                <w:b/>
                <w:bCs/>
                <w:color w:val="000000"/>
                <w:sz w:val="24"/>
                <w:szCs w:val="24"/>
                <w:lang w:val="en-US" w:eastAsia="zh-CN" w:bidi="ar"/>
              </w:rPr>
              <w:t>淋涂时间估算</w:t>
            </w:r>
          </w:p>
          <w:p>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000000"/>
                <w:sz w:val="24"/>
                <w:szCs w:val="24"/>
                <w:lang w:val="en-US" w:eastAsia="zh-CN" w:bidi="ar"/>
              </w:rPr>
            </w:pPr>
            <w:r>
              <w:rPr>
                <w:rFonts w:hint="default" w:ascii="Times New Roman" w:hAnsi="Times New Roman" w:cs="Times New Roman" w:eastAsiaTheme="majorEastAsia"/>
                <w:color w:val="000000"/>
                <w:sz w:val="24"/>
                <w:szCs w:val="24"/>
                <w:lang w:bidi="ar"/>
              </w:rPr>
              <w:t>本项目设置1个</w:t>
            </w:r>
            <w:r>
              <w:rPr>
                <w:rFonts w:hint="default" w:ascii="Times New Roman" w:hAnsi="Times New Roman" w:cs="Times New Roman" w:eastAsiaTheme="majorEastAsia"/>
                <w:color w:val="000000"/>
                <w:sz w:val="24"/>
                <w:szCs w:val="24"/>
                <w:lang w:val="en-US" w:eastAsia="zh-CN" w:bidi="ar"/>
              </w:rPr>
              <w:t>淋涂生产线</w:t>
            </w:r>
            <w:r>
              <w:rPr>
                <w:rFonts w:hint="default" w:ascii="Times New Roman" w:hAnsi="Times New Roman" w:cs="Times New Roman" w:eastAsiaTheme="majorEastAsia"/>
                <w:color w:val="000000"/>
                <w:sz w:val="24"/>
                <w:szCs w:val="24"/>
                <w:lang w:bidi="ar"/>
              </w:rPr>
              <w:t>，</w:t>
            </w:r>
            <w:r>
              <w:rPr>
                <w:rFonts w:hint="default" w:ascii="Times New Roman" w:hAnsi="Times New Roman" w:cs="Times New Roman" w:eastAsiaTheme="majorEastAsia"/>
                <w:color w:val="000000"/>
                <w:sz w:val="24"/>
                <w:szCs w:val="24"/>
                <w:lang w:val="en-US" w:eastAsia="zh-CN" w:bidi="ar"/>
              </w:rPr>
              <w:t>根据企业提供资料，平均一小时处理450平方米PC板。经计算，本项目淋涂时间约56h/a。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①非甲烷总烃</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本项目淋涂过程中，淋涂药剂中有机成分会挥发出来形成有机废气，根据企业提供的VOC检测报告，其含量为ND，本次评价以最不利情况计，则含量按2g/L（方法检出限），淋涂药剂密度为1g/cm</w:t>
            </w:r>
            <w:r>
              <w:rPr>
                <w:rFonts w:hint="default" w:ascii="Times New Roman" w:hAnsi="Times New Roman" w:cs="Times New Roman" w:eastAsiaTheme="majorEastAsia"/>
                <w:color w:val="000000"/>
                <w:kern w:val="2"/>
                <w:sz w:val="24"/>
                <w:szCs w:val="24"/>
                <w:vertAlign w:val="superscript"/>
                <w:lang w:val="en-US" w:eastAsia="zh-CN" w:bidi="ar-SA"/>
              </w:rPr>
              <w:t>3</w:t>
            </w:r>
            <w:r>
              <w:rPr>
                <w:rFonts w:hint="default" w:ascii="Times New Roman" w:hAnsi="Times New Roman" w:cs="Times New Roman" w:eastAsiaTheme="majorEastAsia"/>
                <w:color w:val="000000"/>
                <w:kern w:val="2"/>
                <w:sz w:val="24"/>
                <w:szCs w:val="24"/>
                <w:vertAlign w:val="baseline"/>
                <w:lang w:val="en-US" w:eastAsia="zh-CN" w:bidi="ar-SA"/>
              </w:rPr>
              <w:t>，本项目年用淋涂药剂量为1.433t，则非甲烷总烃产生量约为0.0029t/a，产生速率为0.0518kg/h。</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根据关于印发《重点行业挥发性有机物综合治理方案》中“鼓励加快低VOCs含量涂料、油墨、胶粘剂等研发和生产。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本项目使用淋涂药剂为水基型，属于低VOCs含量产品；VOCs质量占比小于10%，产生的VOCs量较少，因此淋涂废气在车间无组织排放合理。</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（4）破碎废气</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本项目裁切过程中产生的边角料进行破碎处理，将大件破碎成小片状，该工序每天工作8小时（昼间），年工作300天。根据企业提供资料，边角料的产生量约占总产量的5%，本项目总产量约4800t/a，则边角料的产生量约240t/a。参照《排放源统计调查产排污核算方法和系数手册》附件中“42废弃资源综合利用行业系数手册—干法破碎”破碎产污系数进行核算，颗粒物产污系数为375克/吨-原料，则破碎废气的产生量为0.09t/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auto"/>
                <w:kern w:val="2"/>
                <w:sz w:val="24"/>
                <w:szCs w:val="24"/>
                <w:vertAlign w:val="baseline"/>
                <w:lang w:val="en-US" w:eastAsia="zh-CN" w:bidi="ar-SA"/>
              </w:rPr>
            </w:pPr>
            <w:r>
              <w:rPr>
                <w:rFonts w:hint="default" w:ascii="Times New Roman" w:hAnsi="Times New Roman" w:cs="Times New Roman" w:eastAsiaTheme="majorEastAsia"/>
                <w:i w:val="0"/>
                <w:iCs w:val="0"/>
                <w:caps w:val="0"/>
                <w:color w:val="auto"/>
                <w:spacing w:val="0"/>
                <w:sz w:val="24"/>
                <w:szCs w:val="24"/>
                <w:shd w:val="clear" w:color="auto" w:fill="FFFFFF"/>
              </w:rPr>
              <w:t>建设单位拟在</w:t>
            </w:r>
            <w:r>
              <w:rPr>
                <w:rFonts w:hint="default" w:ascii="Times New Roman" w:hAnsi="Times New Roman" w:cs="Times New Roman" w:eastAsiaTheme="majorEastAsia"/>
                <w:i w:val="0"/>
                <w:iCs w:val="0"/>
                <w:caps w:val="0"/>
                <w:color w:val="auto"/>
                <w:spacing w:val="0"/>
                <w:sz w:val="24"/>
                <w:szCs w:val="24"/>
                <w:shd w:val="clear" w:color="auto" w:fill="FFFFFF"/>
                <w:lang w:val="en-US" w:eastAsia="zh-CN"/>
              </w:rPr>
              <w:t>破碎机上方</w:t>
            </w:r>
            <w:r>
              <w:rPr>
                <w:rFonts w:hint="default" w:ascii="Times New Roman" w:hAnsi="Times New Roman" w:cs="Times New Roman" w:eastAsiaTheme="majorEastAsia"/>
                <w:i w:val="0"/>
                <w:iCs w:val="0"/>
                <w:caps w:val="0"/>
                <w:color w:val="auto"/>
                <w:spacing w:val="0"/>
                <w:sz w:val="24"/>
                <w:szCs w:val="24"/>
                <w:shd w:val="clear" w:color="auto" w:fill="FFFFFF"/>
              </w:rPr>
              <w:t>设置集气罩收集废气，废气</w:t>
            </w:r>
            <w:r>
              <w:rPr>
                <w:rFonts w:hint="default" w:ascii="Times New Roman" w:hAnsi="Times New Roman" w:cs="Times New Roman" w:eastAsiaTheme="majorEastAsia"/>
                <w:i w:val="0"/>
                <w:iCs w:val="0"/>
                <w:caps w:val="0"/>
                <w:color w:val="auto"/>
                <w:spacing w:val="0"/>
                <w:sz w:val="24"/>
                <w:szCs w:val="24"/>
                <w:shd w:val="clear" w:color="auto" w:fill="FFFFFF"/>
                <w:lang w:val="en-US" w:eastAsia="zh-CN"/>
              </w:rPr>
              <w:t>经管道通过布袋除尘器</w:t>
            </w:r>
            <w:r>
              <w:rPr>
                <w:rFonts w:hint="default" w:ascii="Times New Roman" w:hAnsi="Times New Roman" w:cs="Times New Roman" w:eastAsiaTheme="majorEastAsia"/>
                <w:i w:val="0"/>
                <w:iCs w:val="0"/>
                <w:caps w:val="0"/>
                <w:color w:val="auto"/>
                <w:spacing w:val="0"/>
                <w:sz w:val="24"/>
                <w:szCs w:val="24"/>
                <w:shd w:val="clear" w:color="auto" w:fill="FFFFFF"/>
              </w:rPr>
              <w:t>处理后</w:t>
            </w:r>
            <w:r>
              <w:rPr>
                <w:rFonts w:hint="default" w:ascii="Times New Roman" w:hAnsi="Times New Roman" w:cs="Times New Roman" w:eastAsiaTheme="majorEastAsia"/>
                <w:i w:val="0"/>
                <w:iCs w:val="0"/>
                <w:caps w:val="0"/>
                <w:color w:val="auto"/>
                <w:spacing w:val="0"/>
                <w:sz w:val="24"/>
                <w:szCs w:val="24"/>
                <w:shd w:val="clear" w:color="auto" w:fill="FFFFFF"/>
                <w:lang w:val="en-US" w:eastAsia="zh-CN"/>
              </w:rPr>
              <w:t>车间无组织排放</w:t>
            </w:r>
            <w:r>
              <w:rPr>
                <w:rFonts w:hint="default" w:ascii="Times New Roman" w:hAnsi="Times New Roman" w:cs="Times New Roman" w:eastAsiaTheme="majorEastAsia"/>
                <w:i w:val="0"/>
                <w:iCs w:val="0"/>
                <w:caps w:val="0"/>
                <w:color w:val="auto"/>
                <w:spacing w:val="0"/>
                <w:sz w:val="24"/>
                <w:szCs w:val="24"/>
                <w:shd w:val="clear" w:color="auto" w:fill="FFFFFF"/>
              </w:rPr>
              <w:t>，集气罩的捕集效率以90%计，</w:t>
            </w:r>
            <w:r>
              <w:rPr>
                <w:rFonts w:hint="default" w:ascii="Times New Roman" w:hAnsi="Times New Roman" w:cs="Times New Roman" w:eastAsiaTheme="majorEastAsia"/>
                <w:i w:val="0"/>
                <w:iCs w:val="0"/>
                <w:caps w:val="0"/>
                <w:color w:val="auto"/>
                <w:spacing w:val="0"/>
                <w:sz w:val="24"/>
                <w:szCs w:val="24"/>
                <w:shd w:val="clear" w:color="auto" w:fill="FFFFFF"/>
                <w:lang w:val="en-US" w:eastAsia="zh-CN"/>
              </w:rPr>
              <w:t>布袋除尘器</w:t>
            </w:r>
            <w:r>
              <w:rPr>
                <w:rFonts w:hint="default" w:ascii="Times New Roman" w:hAnsi="Times New Roman" w:cs="Times New Roman" w:eastAsiaTheme="majorEastAsia"/>
                <w:i w:val="0"/>
                <w:iCs w:val="0"/>
                <w:caps w:val="0"/>
                <w:color w:val="auto"/>
                <w:spacing w:val="0"/>
                <w:sz w:val="24"/>
                <w:szCs w:val="24"/>
                <w:shd w:val="clear" w:color="auto" w:fill="FFFFFF"/>
              </w:rPr>
              <w:t>的处理效率以9</w:t>
            </w:r>
            <w:r>
              <w:rPr>
                <w:rFonts w:hint="default" w:ascii="Times New Roman" w:hAnsi="Times New Roman" w:cs="Times New Roman" w:eastAsiaTheme="majorEastAsia"/>
                <w:i w:val="0"/>
                <w:iCs w:val="0"/>
                <w:caps w:val="0"/>
                <w:color w:val="auto"/>
                <w:spacing w:val="0"/>
                <w:sz w:val="24"/>
                <w:szCs w:val="24"/>
                <w:shd w:val="clear" w:color="auto" w:fill="FFFFFF"/>
                <w:lang w:val="en-US" w:eastAsia="zh-CN"/>
              </w:rPr>
              <w:t>5</w:t>
            </w:r>
            <w:r>
              <w:rPr>
                <w:rFonts w:hint="default" w:ascii="Times New Roman" w:hAnsi="Times New Roman" w:cs="Times New Roman" w:eastAsiaTheme="majorEastAsia"/>
                <w:i w:val="0"/>
                <w:iCs w:val="0"/>
                <w:caps w:val="0"/>
                <w:color w:val="auto"/>
                <w:spacing w:val="0"/>
                <w:sz w:val="24"/>
                <w:szCs w:val="24"/>
                <w:shd w:val="clear" w:color="auto" w:fill="FFFFFF"/>
              </w:rPr>
              <w:t>%计。</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（5）熔融废气（粒子再生加工）</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①非甲烷总烃</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auto"/>
                <w:sz w:val="24"/>
                <w:szCs w:val="24"/>
                <w:lang w:val="en-US" w:eastAsia="zh-CN" w:bidi="ar"/>
              </w:rPr>
              <w:t>对破碎料进行熔融造粒（共计240t/a）</w:t>
            </w:r>
            <w:r>
              <w:rPr>
                <w:rFonts w:hint="default" w:ascii="Times New Roman" w:hAnsi="Times New Roman" w:cs="Times New Roman" w:eastAsiaTheme="majorEastAsia"/>
                <w:color w:val="auto"/>
                <w:sz w:val="24"/>
                <w:szCs w:val="24"/>
              </w:rPr>
              <w:t>，</w:t>
            </w:r>
            <w:r>
              <w:rPr>
                <w:rFonts w:hint="default" w:ascii="Times New Roman" w:hAnsi="Times New Roman" w:cs="Times New Roman" w:eastAsiaTheme="majorEastAsia"/>
                <w:color w:val="auto"/>
                <w:sz w:val="24"/>
                <w:szCs w:val="24"/>
                <w:lang w:val="en-US" w:eastAsia="zh-CN"/>
              </w:rPr>
              <w:t>该工序每天工作8小时，年工作300天。由于熔融造粒本质为挤出造粒，因此熔融废气参照挤出废气按照《浙江省重点行业VOCs污染排放源排放量计算方法》（1.1版）中“塑料皮、板、管材制造工序”非甲烷总烃单位排放系数为0.539kg/t-原料进行核算</w:t>
            </w:r>
            <w:r>
              <w:rPr>
                <w:rFonts w:hint="default" w:ascii="Times New Roman" w:hAnsi="Times New Roman" w:cs="Times New Roman" w:eastAsiaTheme="majorEastAsia"/>
                <w:color w:val="auto"/>
                <w:sz w:val="24"/>
                <w:szCs w:val="24"/>
                <w:lang w:bidi="ar"/>
              </w:rPr>
              <w:t>，则</w:t>
            </w:r>
            <w:r>
              <w:rPr>
                <w:rFonts w:hint="default" w:ascii="Times New Roman" w:hAnsi="Times New Roman" w:cs="Times New Roman" w:eastAsiaTheme="majorEastAsia"/>
                <w:color w:val="auto"/>
                <w:sz w:val="24"/>
                <w:szCs w:val="24"/>
                <w:lang w:val="en-US" w:eastAsia="zh-CN" w:bidi="ar"/>
              </w:rPr>
              <w:t>非甲烷总烃</w:t>
            </w:r>
            <w:r>
              <w:rPr>
                <w:rFonts w:hint="default" w:ascii="Times New Roman" w:hAnsi="Times New Roman" w:cs="Times New Roman" w:eastAsiaTheme="majorEastAsia"/>
                <w:color w:val="auto"/>
                <w:sz w:val="24"/>
                <w:szCs w:val="24"/>
                <w:lang w:bidi="ar"/>
              </w:rPr>
              <w:t>的产生量为</w:t>
            </w:r>
            <w:r>
              <w:rPr>
                <w:rFonts w:hint="default" w:ascii="Times New Roman" w:hAnsi="Times New Roman" w:cs="Times New Roman" w:eastAsiaTheme="majorEastAsia"/>
                <w:color w:val="auto"/>
                <w:sz w:val="24"/>
                <w:szCs w:val="24"/>
                <w:lang w:val="en-US" w:eastAsia="zh-CN" w:bidi="ar"/>
              </w:rPr>
              <w:t>0.1294</w:t>
            </w:r>
            <w:r>
              <w:rPr>
                <w:rFonts w:hint="default" w:ascii="Times New Roman" w:hAnsi="Times New Roman" w:cs="Times New Roman" w:eastAsiaTheme="majorEastAsia"/>
                <w:color w:val="auto"/>
                <w:sz w:val="24"/>
                <w:szCs w:val="24"/>
                <w:lang w:bidi="ar"/>
              </w:rPr>
              <w:t>t/a</w:t>
            </w:r>
            <w:r>
              <w:rPr>
                <w:rFonts w:hint="default" w:ascii="Times New Roman" w:hAnsi="Times New Roman" w:cs="Times New Roman" w:eastAsiaTheme="majorEastAsia"/>
                <w:color w:val="auto"/>
                <w:sz w:val="24"/>
                <w:szCs w:val="24"/>
                <w:lang w:eastAsia="zh-CN" w:bidi="ar"/>
              </w:rPr>
              <w:t>。</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②酚类</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参照《聚碳酸酯树脂中微量酚的测定》中的研究，聚碳酸酯粒子中酚类产生量按照实验结果的均值进行计算，约100ppm（0.01%），PC使用量为240t/a，则酚类的产生量为0.024t/a。</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kern w:val="2"/>
                <w:sz w:val="24"/>
                <w:szCs w:val="24"/>
                <w:vertAlign w:val="baseline"/>
                <w:lang w:val="en-US" w:eastAsia="zh-CN" w:bidi="ar-SA"/>
              </w:rPr>
              <w:t>③氯苯类</w:t>
            </w:r>
          </w:p>
          <w:p>
            <w:pPr>
              <w:pStyle w:val="11"/>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ajorEastAsia"/>
                <w:color w:val="000000"/>
                <w:kern w:val="2"/>
                <w:sz w:val="24"/>
                <w:szCs w:val="24"/>
                <w:vertAlign w:val="baseline"/>
                <w:lang w:val="en-US" w:eastAsia="zh-CN" w:bidi="ar-SA"/>
              </w:rPr>
            </w:pP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根据文献《聚炭酸酯中氯含量的测定》（李韶钰，杭州化工，1987年01期）中 测试结果：PC中氯苯的含量约为0.025kg/t，本项目PC用量为</w:t>
            </w:r>
            <w:r>
              <w:rPr>
                <w:rFonts w:hint="default" w:ascii="Times New Roman" w:hAnsi="Times New Roman" w:cs="Times New Roman" w:eastAsiaTheme="majorEastAsia"/>
                <w:color w:val="000000"/>
                <w:kern w:val="2"/>
                <w:sz w:val="24"/>
                <w:szCs w:val="24"/>
                <w:vertAlign w:val="baseline"/>
                <w:lang w:val="en-US" w:eastAsia="zh-CN" w:bidi="ar-SA"/>
              </w:rPr>
              <w:t>240</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t/a，则氯苯类的产生量为0.006t/a。</w:t>
            </w:r>
          </w:p>
          <w:p>
            <w:pPr>
              <w:pStyle w:val="13"/>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sz w:val="24"/>
                <w:szCs w:val="24"/>
                <w:lang w:val="en-US" w:eastAsia="zh-CN" w:bidi="ar"/>
              </w:rPr>
            </w:pPr>
            <w:r>
              <w:rPr>
                <w:rFonts w:hint="default" w:ascii="Times New Roman" w:hAnsi="Times New Roman" w:cs="Times New Roman" w:eastAsiaTheme="majorEastAsia"/>
                <w:color w:val="auto"/>
                <w:sz w:val="24"/>
                <w:szCs w:val="24"/>
                <w:lang w:val="en-US" w:eastAsia="zh-CN" w:bidi="ar"/>
              </w:rPr>
              <w:t>建设单位拟在挤出机出料口、</w:t>
            </w:r>
            <w:r>
              <w:rPr>
                <w:rFonts w:hint="default" w:ascii="Times New Roman" w:hAnsi="Times New Roman" w:cs="Times New Roman" w:eastAsiaTheme="majorEastAsia"/>
                <w:i w:val="0"/>
                <w:iCs w:val="0"/>
                <w:caps w:val="0"/>
                <w:color w:val="333333"/>
                <w:spacing w:val="0"/>
                <w:sz w:val="24"/>
                <w:szCs w:val="24"/>
                <w:shd w:val="clear" w:color="auto" w:fill="FFFFFF"/>
              </w:rPr>
              <w:t>造粒机熔融喷射出口</w:t>
            </w:r>
            <w:r>
              <w:rPr>
                <w:rFonts w:hint="default" w:ascii="Times New Roman" w:hAnsi="Times New Roman" w:cs="Times New Roman" w:eastAsiaTheme="majorEastAsia"/>
                <w:color w:val="auto"/>
                <w:sz w:val="24"/>
                <w:szCs w:val="24"/>
                <w:lang w:val="en-US" w:eastAsia="zh-CN" w:bidi="ar"/>
              </w:rPr>
              <w:t>设置集气罩收集废气，废气收集后通过风冷管+二级活性炭吸附装置处理，后经过DA001#15m排气筒排放，集气罩的捕集效率以90%计，二级活性炭的处理效率以90%计。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（6）危废仓库废气</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本项目危废暂存废活性炭、废包装桶、废润滑油等，会夹带少量的异味产生，含挥发性有机物的危废在日常存储过程中，会有少量挥发性有机物产生，以挥发性有机物计。</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危废仓库VOCs（以非甲烷总烃计）产生量根据文献资料《环境影响评价实用技术指南》（李爱贞主编、机械工业出版社、2008年4月）中建议的无组织废气排放比例按照物料量的 0.1‰-0.4‰计，本次环评取0.25‰。</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全厂一年危废量约为31.6605t，则挥发性有机物产生量约为0.0079t/a，危废储存时间以8760h计，则速率为0.0009kg/h，根据《挥发性有机物无组织排放控制标准》（GB37822-2019），不属于“对于重点地区，收集的废气中NMHC初始排放速率≥2kgh 时，应配置VOCs处理设施”要求范围。因此危废仓库废气可以无组织形式排放。</w:t>
            </w:r>
          </w:p>
          <w:p>
            <w:pPr>
              <w:pStyle w:val="9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eastAsiaTheme="majorEastAsia"/>
                <w:b/>
                <w:bCs/>
                <w:color w:val="auto"/>
                <w:lang w:val="en-US" w:eastAsia="zh-CN"/>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5</w:t>
            </w:r>
            <w:r>
              <w:rPr>
                <w:rFonts w:hint="default" w:ascii="Times New Roman" w:hAnsi="Times New Roman" w:cs="Times New Roman" w:eastAsiaTheme="majorEastAsia"/>
                <w:b/>
                <w:bCs/>
                <w:color w:val="auto"/>
                <w:sz w:val="24"/>
                <w:szCs w:val="24"/>
              </w:rPr>
              <w:t xml:space="preserve"> </w:t>
            </w:r>
            <w:r>
              <w:rPr>
                <w:rFonts w:hint="default" w:ascii="Times New Roman" w:hAnsi="Times New Roman" w:cs="Times New Roman" w:eastAsiaTheme="majorEastAsia"/>
                <w:b/>
                <w:bCs/>
                <w:color w:val="auto"/>
                <w:sz w:val="24"/>
                <w:szCs w:val="24"/>
                <w:lang w:val="en-US" w:eastAsia="zh-CN"/>
              </w:rPr>
              <w:t>各车间废气产生情况</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1770"/>
              <w:gridCol w:w="960"/>
              <w:gridCol w:w="1330"/>
              <w:gridCol w:w="1330"/>
              <w:gridCol w:w="1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7" w:type="pct"/>
                  <w:vMerge w:val="restart"/>
                  <w:tcBorders>
                    <w:tl2br w:val="nil"/>
                    <w:tr2bl w:val="nil"/>
                  </w:tcBorders>
                  <w:noWrap w:val="0"/>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车间名称</w:t>
                  </w:r>
                </w:p>
              </w:tc>
              <w:tc>
                <w:tcPr>
                  <w:tcW w:w="1146"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生产线名称</w:t>
                  </w:r>
                </w:p>
              </w:tc>
              <w:tc>
                <w:tcPr>
                  <w:tcW w:w="621"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生产线数量</w:t>
                  </w:r>
                </w:p>
              </w:tc>
              <w:tc>
                <w:tcPr>
                  <w:tcW w:w="2584" w:type="pct"/>
                  <w:gridSpan w:val="3"/>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kern w:val="0"/>
                      <w:sz w:val="21"/>
                      <w:szCs w:val="21"/>
                      <w:lang w:val="en-US" w:eastAsia="zh-CN" w:bidi="ar-SA"/>
                    </w:rPr>
                    <w:t>污染物产生情况（t/a）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7" w:type="pct"/>
                  <w:vMerge w:val="continue"/>
                  <w:tcBorders>
                    <w:tl2br w:val="nil"/>
                    <w:tr2bl w:val="nil"/>
                  </w:tcBorders>
                  <w:noWrap w:val="0"/>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1146"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621"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861"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kern w:val="0"/>
                      <w:sz w:val="21"/>
                      <w:szCs w:val="21"/>
                      <w:lang w:val="en-US" w:eastAsia="zh-CN" w:bidi="ar-SA"/>
                    </w:rPr>
                    <w:t>非甲烷总烃</w:t>
                  </w:r>
                </w:p>
              </w:tc>
              <w:tc>
                <w:tcPr>
                  <w:tcW w:w="861"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kern w:val="0"/>
                      <w:sz w:val="21"/>
                      <w:szCs w:val="21"/>
                      <w:lang w:val="en-US" w:eastAsia="zh-CN" w:bidi="ar-SA"/>
                    </w:rPr>
                    <w:t>酚类</w:t>
                  </w:r>
                </w:p>
              </w:tc>
              <w:tc>
                <w:tcPr>
                  <w:tcW w:w="862"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kern w:val="0"/>
                      <w:sz w:val="21"/>
                      <w:szCs w:val="21"/>
                      <w:lang w:val="en-US" w:eastAsia="zh-CN" w:bidi="ar-SA"/>
                    </w:rPr>
                    <w:t>氯苯类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车间三</w:t>
                  </w:r>
                </w:p>
              </w:tc>
              <w:tc>
                <w:tcPr>
                  <w:tcW w:w="114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挤出线</w:t>
                  </w:r>
                </w:p>
              </w:tc>
              <w:tc>
                <w:tcPr>
                  <w:tcW w:w="621"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3条</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1.9404</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0.36</w:t>
                  </w:r>
                </w:p>
              </w:tc>
              <w:tc>
                <w:tcPr>
                  <w:tcW w:w="86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7"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车间四</w:t>
                  </w:r>
                </w:p>
              </w:tc>
              <w:tc>
                <w:tcPr>
                  <w:tcW w:w="114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挤出线</w:t>
                  </w:r>
                </w:p>
              </w:tc>
              <w:tc>
                <w:tcPr>
                  <w:tcW w:w="621"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1条</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0.6468</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0.12</w:t>
                  </w:r>
                </w:p>
              </w:tc>
              <w:tc>
                <w:tcPr>
                  <w:tcW w:w="86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7"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14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再生线</w:t>
                  </w:r>
                </w:p>
              </w:tc>
              <w:tc>
                <w:tcPr>
                  <w:tcW w:w="621"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1条</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0.1294</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0.024</w:t>
                  </w:r>
                </w:p>
              </w:tc>
              <w:tc>
                <w:tcPr>
                  <w:tcW w:w="86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车间一</w:t>
                  </w:r>
                </w:p>
              </w:tc>
              <w:tc>
                <w:tcPr>
                  <w:tcW w:w="114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淋涂线</w:t>
                  </w:r>
                </w:p>
              </w:tc>
              <w:tc>
                <w:tcPr>
                  <w:tcW w:w="621"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1条</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0.0029</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w:t>
                  </w:r>
                </w:p>
              </w:tc>
              <w:tc>
                <w:tcPr>
                  <w:tcW w:w="86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64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车间二</w:t>
                  </w:r>
                </w:p>
              </w:tc>
              <w:tc>
                <w:tcPr>
                  <w:tcW w:w="114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危废仓库</w:t>
                  </w:r>
                </w:p>
              </w:tc>
              <w:tc>
                <w:tcPr>
                  <w:tcW w:w="621"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1间</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0.0079</w:t>
                  </w:r>
                </w:p>
              </w:tc>
              <w:tc>
                <w:tcPr>
                  <w:tcW w:w="8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w:t>
                  </w:r>
                </w:p>
              </w:tc>
              <w:tc>
                <w:tcPr>
                  <w:tcW w:w="862"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0</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风量设计合理性分析：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DA001风机风量：</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aj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ajorEastAsia"/>
                <w:b w:val="0"/>
                <w:bCs w:val="0"/>
                <w:color w:val="000000" w:themeColor="text1"/>
                <w:sz w:val="24"/>
                <w:szCs w:val="24"/>
                <w14:textFill>
                  <w14:solidFill>
                    <w14:schemeClr w14:val="tx1"/>
                  </w14:solidFill>
                </w14:textFill>
              </w:rPr>
              <w:t>参考《工业有机废气收集系统技术规范》(T/ACEF 207-2025)，本项目</w:t>
            </w:r>
            <w:r>
              <w:rPr>
                <w:rFonts w:hint="default" w:ascii="Times New Roman" w:hAnsi="Times New Roman" w:cs="Times New Roman" w:eastAsiaTheme="majorEastAsia"/>
                <w:b w:val="0"/>
                <w:bCs w:val="0"/>
                <w:color w:val="000000" w:themeColor="text1"/>
                <w:sz w:val="24"/>
                <w:szCs w:val="24"/>
                <w:lang w:val="en-US" w:eastAsia="zh-CN"/>
                <w14:textFill>
                  <w14:solidFill>
                    <w14:schemeClr w14:val="tx1"/>
                  </w14:solidFill>
                </w14:textFill>
              </w:rPr>
              <w:t>挤出机上方</w:t>
            </w:r>
            <w:r>
              <w:rPr>
                <w:rFonts w:hint="default" w:ascii="Times New Roman" w:hAnsi="Times New Roman" w:cs="Times New Roman" w:eastAsiaTheme="majorEastAsia"/>
                <w:b w:val="0"/>
                <w:bCs w:val="0"/>
                <w:color w:val="000000" w:themeColor="text1"/>
                <w:sz w:val="24"/>
                <w:szCs w:val="24"/>
                <w14:textFill>
                  <w14:solidFill>
                    <w14:schemeClr w14:val="tx1"/>
                  </w14:solidFill>
                </w14:textFill>
              </w:rPr>
              <w:t>设置上吸罩</w:t>
            </w:r>
            <w:r>
              <w:rPr>
                <w:rFonts w:hint="default" w:ascii="Times New Roman" w:hAnsi="Times New Roman" w:cs="Times New Roman" w:eastAsiaTheme="majorEastAsia"/>
                <w:b w:val="0"/>
                <w:bCs w:val="0"/>
                <w:color w:val="000000" w:themeColor="text1"/>
                <w:sz w:val="24"/>
                <w:szCs w:val="24"/>
                <w:lang w:eastAsia="zh-CN"/>
                <w14:textFill>
                  <w14:solidFill>
                    <w14:schemeClr w14:val="tx1"/>
                  </w14:solidFill>
                </w14:textFill>
              </w:rPr>
              <w:t>。</w:t>
            </w:r>
            <w:r>
              <w:rPr>
                <w:rFonts w:hint="default" w:ascii="Times New Roman" w:hAnsi="Times New Roman" w:cs="Times New Roman" w:eastAsiaTheme="majorEastAsia"/>
                <w:b w:val="0"/>
                <w:bCs w:val="0"/>
                <w:color w:val="000000" w:themeColor="text1"/>
                <w:sz w:val="24"/>
                <w:szCs w:val="24"/>
                <w14:textFill>
                  <w14:solidFill>
                    <w14:schemeClr w14:val="tx1"/>
                  </w14:solidFill>
                </w14:textFill>
              </w:rPr>
              <w:t>根据</w:t>
            </w:r>
            <w:r>
              <w:rPr>
                <w:rFonts w:hint="default" w:ascii="Times New Roman" w:hAnsi="Times New Roman" w:cs="Times New Roman" w:eastAsiaTheme="majorEastAsia"/>
                <w:b w:val="0"/>
                <w:bCs w:val="0"/>
                <w:color w:val="000000" w:themeColor="text1"/>
                <w:sz w:val="24"/>
                <w:szCs w:val="24"/>
                <w:lang w:eastAsia="zh-CN"/>
                <w14:textFill>
                  <w14:solidFill>
                    <w14:schemeClr w14:val="tx1"/>
                  </w14:solidFill>
                </w14:textFill>
              </w:rPr>
              <w:t>南通市环境生态局关于印发《南通市废气活性炭吸附设施专项整治实施方案》</w:t>
            </w:r>
            <w:r>
              <w:rPr>
                <w:rFonts w:hint="default" w:ascii="Times New Roman" w:hAnsi="Times New Roman" w:cs="Times New Roman" w:eastAsiaTheme="majorEastAsia"/>
                <w:b w:val="0"/>
                <w:bCs w:val="0"/>
                <w:color w:val="000000" w:themeColor="text1"/>
                <w:sz w:val="24"/>
                <w:szCs w:val="24"/>
                <w14:textFill>
                  <w14:solidFill>
                    <w14:schemeClr w14:val="tx1"/>
                  </w14:solidFill>
                </w14:textFill>
              </w:rPr>
              <w:t>，排风罩设置在污染源上方的排风量核算公式为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outlineLvl w:val="9"/>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ajorEastAsia"/>
                <w:color w:val="000000" w:themeColor="text1"/>
                <w:sz w:val="24"/>
                <w:szCs w:val="24"/>
                <w14:textFill>
                  <w14:solidFill>
                    <w14:schemeClr w14:val="tx1"/>
                  </w14:solidFill>
                </w14:textFill>
              </w:rPr>
              <w:t>L=</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3600Fv</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aj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ajorEastAsia"/>
                <w:color w:val="000000" w:themeColor="text1"/>
                <w:sz w:val="24"/>
                <w:szCs w:val="24"/>
                <w14:textFill>
                  <w14:solidFill>
                    <w14:schemeClr w14:val="tx1"/>
                  </w14:solidFill>
                </w14:textFill>
              </w:rPr>
              <w:t>式中：</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F</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eastAsia="zh-CN"/>
                <w14:textFill>
                  <w14:solidFill>
                    <w14:schemeClr w14:val="tx1"/>
                  </w14:solidFill>
                </w14:textFill>
              </w:rPr>
              <w:t>密闭罩横截面积</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ajorEastAsia"/>
                <w:color w:val="000000" w:themeColor="text1"/>
                <w:sz w:val="24"/>
                <w:szCs w:val="24"/>
                <w14:textFill>
                  <w14:solidFill>
                    <w14:schemeClr w14:val="tx1"/>
                  </w14:solidFill>
                </w14:textFill>
              </w:rPr>
              <w:t>；（本项目</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拟在挤出机出料口上边设置方形集气罩，单台挤出机上方集气罩面积为2*1=2m</w:t>
            </w:r>
            <w:r>
              <w:rPr>
                <w:rFonts w:hint="default" w:ascii="Times New Roman" w:hAnsi="Times New Roman" w:cs="Times New Roman" w:eastAsiaTheme="majorEastAsia"/>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ajorEastAsia"/>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造粒机上方设置方形集气罩，单台造粒机上方集气罩面积为0.3*0.5=1.5m</w:t>
            </w:r>
            <w:r>
              <w:rPr>
                <w:rFonts w:hint="default" w:ascii="Times New Roman" w:hAnsi="Times New Roman" w:cs="Times New Roman" w:eastAsiaTheme="majorEastAsia"/>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v</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垂直于密闭罩面的平均风速m/s，根据《挥发性有机物治理使用手册（第二版）》外部排风罩建议风速0.3-0.5m/s，</w:t>
            </w:r>
            <w:r>
              <w:rPr>
                <w:rFonts w:hint="default" w:ascii="Times New Roman" w:hAnsi="Times New Roman" w:cs="Times New Roman" w:eastAsiaTheme="majorEastAsia"/>
                <w:color w:val="000000" w:themeColor="text1"/>
                <w:sz w:val="24"/>
                <w:szCs w:val="24"/>
                <w14:textFill>
                  <w14:solidFill>
                    <w14:schemeClr w14:val="tx1"/>
                  </w14:solidFill>
                </w14:textFill>
              </w:rPr>
              <w:t>本项目控制风速取</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0.5</w:t>
            </w:r>
            <w:r>
              <w:rPr>
                <w:rFonts w:hint="default" w:ascii="Times New Roman" w:hAnsi="Times New Roman" w:cs="Times New Roman" w:eastAsiaTheme="majorEastAsia"/>
                <w:color w:val="000000" w:themeColor="text1"/>
                <w:sz w:val="24"/>
                <w:szCs w:val="24"/>
                <w14:textFill>
                  <w14:solidFill>
                    <w14:schemeClr w14:val="tx1"/>
                  </w14:solidFill>
                </w14:textFill>
              </w:rPr>
              <w:t>m/s</w:t>
            </w:r>
            <w:r>
              <w:rPr>
                <w:rFonts w:hint="default" w:ascii="Times New Roman" w:hAnsi="Times New Roman" w:cs="Times New Roman" w:eastAsiaTheme="majorEastAsia"/>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themeColor="text1"/>
                <w:sz w:val="24"/>
                <w:szCs w:val="24"/>
                <w14:textFill>
                  <w14:solidFill>
                    <w14:schemeClr w14:val="tx1"/>
                  </w14:solidFill>
                </w14:textFill>
              </w:rPr>
            </w:pPr>
            <w:r>
              <w:rPr>
                <w:rFonts w:hint="default" w:ascii="Times New Roman" w:hAnsi="Times New Roman" w:cs="Times New Roman" w:eastAsiaTheme="majorEastAsia"/>
                <w:color w:val="000000" w:themeColor="text1"/>
                <w:sz w:val="24"/>
                <w:szCs w:val="24"/>
                <w14:textFill>
                  <w14:solidFill>
                    <w14:schemeClr w14:val="tx1"/>
                  </w14:solidFill>
                </w14:textFill>
              </w:rPr>
              <w:t>根据上式，本项目风机风量L=（</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4+1.5×1</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3600</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0.5</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ajorEastAsia"/>
                <w:color w:val="000000" w:themeColor="text1"/>
                <w:sz w:val="24"/>
                <w:szCs w:val="24"/>
                <w14:textFill>
                  <w14:solidFill>
                    <w14:schemeClr w14:val="tx1"/>
                  </w14:solidFill>
                </w14:textFill>
              </w:rPr>
              <w:t>/h=</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17100</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ajorEastAsia"/>
                <w:color w:val="000000" w:themeColor="text1"/>
                <w:sz w:val="24"/>
                <w:szCs w:val="24"/>
                <w14:textFill>
                  <w14:solidFill>
                    <w14:schemeClr w14:val="tx1"/>
                  </w14:solidFill>
                </w14:textFill>
              </w:rPr>
              <w:t>/h，根据《挥发性有机物治理实用手册（第二版）》：</w:t>
            </w:r>
            <w:r>
              <w:rPr>
                <w:rFonts w:hint="default" w:ascii="Times New Roman" w:hAnsi="Times New Roman" w:cs="Times New Roman" w:eastAsiaTheme="maj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14:textFill>
                  <w14:solidFill>
                    <w14:schemeClr w14:val="tx1"/>
                  </w14:solidFill>
                </w14:textFill>
              </w:rPr>
              <w:t>风机风量取值为系统设计风量的1.1～1.2倍，末端治理设备或系统漏风率大时取上限值，漏风率小时取下限值</w:t>
            </w:r>
            <w:r>
              <w:rPr>
                <w:rFonts w:hint="default" w:ascii="Times New Roman" w:hAnsi="Times New Roman" w:cs="Times New Roman" w:eastAsiaTheme="maj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ajorEastAsia"/>
                <w:color w:val="000000" w:themeColor="text1"/>
                <w:sz w:val="24"/>
                <w:szCs w:val="24"/>
                <w14:textFill>
                  <w14:solidFill>
                    <w14:schemeClr w14:val="tx1"/>
                  </w14:solidFill>
                </w14:textFill>
              </w:rPr>
              <w:t>，本项目末端治理设备漏风率小，风量计算为：</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17100</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ajorEastAsia"/>
                <w:color w:val="000000" w:themeColor="text1"/>
                <w:sz w:val="24"/>
                <w:szCs w:val="24"/>
                <w14:textFill>
                  <w14:solidFill>
                    <w14:schemeClr w14:val="tx1"/>
                  </w14:solidFill>
                </w14:textFill>
              </w:rPr>
              <w:t>/h×1.1</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ajorEastAsia"/>
                <w:color w:val="000000" w:themeColor="text1"/>
                <w:sz w:val="24"/>
                <w:szCs w:val="24"/>
                <w14:textFill>
                  <w14:solidFill>
                    <w14:schemeClr w14:val="tx1"/>
                  </w14:solidFill>
                </w14:textFill>
              </w:rPr>
              <w:t>=</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18810~20520</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ajorEastAsia"/>
                <w:color w:val="000000" w:themeColor="text1"/>
                <w:sz w:val="24"/>
                <w:szCs w:val="24"/>
                <w14:textFill>
                  <w14:solidFill>
                    <w14:schemeClr w14:val="tx1"/>
                  </w14:solidFill>
                </w14:textFill>
              </w:rPr>
              <w:t>/h，则</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DA001风机</w:t>
            </w:r>
            <w:r>
              <w:rPr>
                <w:rFonts w:hint="default" w:ascii="Times New Roman" w:hAnsi="Times New Roman" w:cs="Times New Roman" w:eastAsiaTheme="majorEastAsia"/>
                <w:color w:val="000000" w:themeColor="text1"/>
                <w:sz w:val="24"/>
                <w:szCs w:val="24"/>
                <w14:textFill>
                  <w14:solidFill>
                    <w14:schemeClr w14:val="tx1"/>
                  </w14:solidFill>
                </w14:textFill>
              </w:rPr>
              <w:t>风量取</w:t>
            </w:r>
            <w:r>
              <w:rPr>
                <w:rFonts w:hint="default" w:ascii="Times New Roman" w:hAnsi="Times New Roman" w:cs="Times New Roman" w:eastAsiaTheme="majorEastAsia"/>
                <w:color w:val="000000" w:themeColor="text1"/>
                <w:sz w:val="24"/>
                <w:szCs w:val="24"/>
                <w:lang w:val="en-US" w:eastAsia="zh-CN"/>
                <w14:textFill>
                  <w14:solidFill>
                    <w14:schemeClr w14:val="tx1"/>
                  </w14:solidFill>
                </w14:textFill>
              </w:rPr>
              <w:t>20000</w:t>
            </w:r>
            <w:r>
              <w:rPr>
                <w:rFonts w:hint="default" w:ascii="Times New Roman" w:hAnsi="Times New Roman" w:cs="Times New Roman" w:eastAsiaTheme="majorEastAsia"/>
                <w:color w:val="000000" w:themeColor="text1"/>
                <w:sz w:val="24"/>
                <w:szCs w:val="24"/>
                <w14:textFill>
                  <w14:solidFill>
                    <w14:schemeClr w14:val="tx1"/>
                  </w14:solidFill>
                </w14:textFill>
              </w:rPr>
              <w:t>m</w:t>
            </w:r>
            <w:r>
              <w:rPr>
                <w:rFonts w:hint="default" w:ascii="Times New Roman" w:hAnsi="Times New Roman" w:cs="Times New Roman" w:eastAsiaTheme="maj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ajorEastAsia"/>
                <w:color w:val="000000" w:themeColor="text1"/>
                <w:sz w:val="24"/>
                <w:szCs w:val="24"/>
                <w14:textFill>
                  <w14:solidFill>
                    <w14:schemeClr w14:val="tx1"/>
                  </w14:solidFill>
                </w14:textFill>
              </w:rPr>
              <w:t>/h合理。</w:t>
            </w:r>
          </w:p>
          <w:p>
            <w:pPr>
              <w:pStyle w:val="1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ajorEastAsia"/>
                <w:b/>
                <w:bCs w:val="0"/>
                <w:color w:val="auto"/>
                <w:sz w:val="24"/>
                <w:szCs w:val="24"/>
              </w:rPr>
            </w:pPr>
            <w:r>
              <w:rPr>
                <w:rFonts w:hint="default" w:ascii="Times New Roman" w:hAnsi="Times New Roman" w:cs="Times New Roman" w:eastAsiaTheme="majorEastAsia"/>
                <w:b/>
                <w:bCs w:val="0"/>
                <w:color w:val="auto"/>
                <w:sz w:val="24"/>
                <w:szCs w:val="24"/>
              </w:rPr>
              <w:t>（</w:t>
            </w:r>
            <w:r>
              <w:rPr>
                <w:rFonts w:hint="default" w:ascii="Times New Roman" w:hAnsi="Times New Roman" w:cs="Times New Roman" w:eastAsiaTheme="majorEastAsia"/>
                <w:b/>
                <w:bCs w:val="0"/>
                <w:color w:val="auto"/>
                <w:sz w:val="24"/>
                <w:szCs w:val="24"/>
                <w:lang w:val="en-US" w:eastAsia="zh-CN"/>
              </w:rPr>
              <w:t>2</w:t>
            </w:r>
            <w:r>
              <w:rPr>
                <w:rFonts w:hint="default" w:ascii="Times New Roman" w:hAnsi="Times New Roman" w:cs="Times New Roman" w:eastAsiaTheme="majorEastAsia"/>
                <w:b/>
                <w:bCs w:val="0"/>
                <w:color w:val="auto"/>
                <w:sz w:val="24"/>
                <w:szCs w:val="24"/>
              </w:rPr>
              <w:t>）排放口基本情况</w:t>
            </w:r>
          </w:p>
          <w:p>
            <w:pPr>
              <w:pStyle w:val="9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eastAsiaTheme="majorEastAsia"/>
                <w:b/>
                <w:bCs/>
                <w:color w:val="auto"/>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6</w:t>
            </w:r>
            <w:r>
              <w:rPr>
                <w:rFonts w:hint="default" w:ascii="Times New Roman" w:hAnsi="Times New Roman" w:cs="Times New Roman" w:eastAsiaTheme="majorEastAsia"/>
                <w:b/>
                <w:bCs/>
                <w:color w:val="auto"/>
                <w:sz w:val="24"/>
                <w:szCs w:val="24"/>
              </w:rPr>
              <w:t xml:space="preserve"> 排放口基本情况一览表</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7"/>
              <w:gridCol w:w="720"/>
              <w:gridCol w:w="726"/>
              <w:gridCol w:w="612"/>
              <w:gridCol w:w="478"/>
              <w:gridCol w:w="726"/>
              <w:gridCol w:w="713"/>
              <w:gridCol w:w="1415"/>
              <w:gridCol w:w="14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42" w:type="pct"/>
                  <w:vMerge w:val="restart"/>
                  <w:tcBorders>
                    <w:tl2br w:val="nil"/>
                    <w:tr2bl w:val="nil"/>
                  </w:tcBorders>
                  <w:noWrap w:val="0"/>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排气筒编号</w:t>
                  </w:r>
                </w:p>
              </w:tc>
              <w:tc>
                <w:tcPr>
                  <w:tcW w:w="466"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排气筒名称</w:t>
                  </w:r>
                </w:p>
              </w:tc>
              <w:tc>
                <w:tcPr>
                  <w:tcW w:w="470"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排放口类型</w:t>
                  </w:r>
                </w:p>
              </w:tc>
              <w:tc>
                <w:tcPr>
                  <w:tcW w:w="396"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szCs w:val="21"/>
                    </w:rPr>
                    <w:t>高度m</w:t>
                  </w:r>
                </w:p>
              </w:tc>
              <w:tc>
                <w:tcPr>
                  <w:tcW w:w="309"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default" w:ascii="Times New Roman" w:hAnsi="Times New Roman" w:cs="Times New Roman" w:eastAsiaTheme="majorEastAsia"/>
                      <w:b/>
                      <w:bCs/>
                      <w:color w:val="auto"/>
                      <w:szCs w:val="21"/>
                    </w:rPr>
                    <w:t>内径m</w:t>
                  </w:r>
                </w:p>
              </w:tc>
              <w:tc>
                <w:tcPr>
                  <w:tcW w:w="470"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风速</w:t>
                  </w:r>
                </w:p>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m/s</w:t>
                  </w:r>
                </w:p>
              </w:tc>
              <w:tc>
                <w:tcPr>
                  <w:tcW w:w="461" w:type="pct"/>
                  <w:vMerge w:val="restar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排放温度℃</w:t>
                  </w:r>
                </w:p>
              </w:tc>
              <w:tc>
                <w:tcPr>
                  <w:tcW w:w="1883" w:type="pct"/>
                  <w:gridSpan w:val="2"/>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地理坐标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99" w:hRule="atLeast"/>
                <w:jc w:val="center"/>
              </w:trPr>
              <w:tc>
                <w:tcPr>
                  <w:tcW w:w="542" w:type="pct"/>
                  <w:vMerge w:val="continue"/>
                  <w:tcBorders>
                    <w:tl2br w:val="nil"/>
                    <w:tr2bl w:val="nil"/>
                  </w:tcBorders>
                  <w:noWrap w:val="0"/>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466"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470"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396"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p>
              </w:tc>
              <w:tc>
                <w:tcPr>
                  <w:tcW w:w="309"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p>
              </w:tc>
              <w:tc>
                <w:tcPr>
                  <w:tcW w:w="470"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461" w:type="pct"/>
                  <w:vMerge w:val="continue"/>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p>
              </w:tc>
              <w:tc>
                <w:tcPr>
                  <w:tcW w:w="916"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经度</w:t>
                  </w:r>
                </w:p>
              </w:tc>
              <w:tc>
                <w:tcPr>
                  <w:tcW w:w="967"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rPr>
                  </w:pPr>
                  <w:r>
                    <w:rPr>
                      <w:rFonts w:hint="default" w:ascii="Times New Roman" w:hAnsi="Times New Roman" w:cs="Times New Roman" w:eastAsiaTheme="majorEastAsia"/>
                      <w:b/>
                      <w:bCs/>
                      <w:color w:val="auto"/>
                      <w:szCs w:val="21"/>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54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DA001</w:t>
                  </w:r>
                </w:p>
              </w:tc>
              <w:tc>
                <w:tcPr>
                  <w:tcW w:w="46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挤出、熔融废气</w:t>
                  </w:r>
                </w:p>
              </w:tc>
              <w:tc>
                <w:tcPr>
                  <w:tcW w:w="470"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一般排放口</w:t>
                  </w:r>
                </w:p>
              </w:tc>
              <w:tc>
                <w:tcPr>
                  <w:tcW w:w="39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Cs w:val="21"/>
                      <w:lang w:val="en-US" w:eastAsia="zh-CN"/>
                    </w:rPr>
                    <w:t>15</w:t>
                  </w:r>
                </w:p>
              </w:tc>
              <w:tc>
                <w:tcPr>
                  <w:tcW w:w="309"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Cs w:val="21"/>
                      <w:lang w:val="en-US" w:eastAsia="zh-CN"/>
                    </w:rPr>
                    <w:t>0.5</w:t>
                  </w:r>
                </w:p>
              </w:tc>
              <w:tc>
                <w:tcPr>
                  <w:tcW w:w="470"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w:t>
                  </w:r>
                  <w:r>
                    <w:rPr>
                      <w:rFonts w:hint="eastAsia" w:ascii="Times New Roman" w:hAnsi="Times New Roman" w:cs="Times New Roman" w:eastAsiaTheme="majorEastAsia"/>
                      <w:color w:val="auto"/>
                      <w:szCs w:val="21"/>
                      <w:lang w:val="en-US" w:eastAsia="zh-CN"/>
                    </w:rPr>
                    <w:t>0.03</w:t>
                  </w:r>
                </w:p>
              </w:tc>
              <w:tc>
                <w:tcPr>
                  <w:tcW w:w="461"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25</w:t>
                  </w:r>
                </w:p>
              </w:tc>
              <w:tc>
                <w:tcPr>
                  <w:tcW w:w="91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b w:val="0"/>
                      <w:bCs w:val="0"/>
                      <w:color w:val="000000"/>
                      <w:sz w:val="21"/>
                      <w:szCs w:val="21"/>
                    </w:rPr>
                    <w:t>120°32′</w:t>
                  </w:r>
                  <w:r>
                    <w:rPr>
                      <w:rFonts w:hint="default" w:ascii="Times New Roman" w:hAnsi="Times New Roman" w:cs="Times New Roman" w:eastAsiaTheme="majorEastAsia"/>
                      <w:b w:val="0"/>
                      <w:bCs w:val="0"/>
                      <w:color w:val="000000"/>
                      <w:sz w:val="21"/>
                      <w:szCs w:val="21"/>
                      <w:lang w:val="en-US" w:eastAsia="zh-CN"/>
                    </w:rPr>
                    <w:t>3.057</w:t>
                  </w:r>
                  <w:r>
                    <w:rPr>
                      <w:rFonts w:hint="default" w:ascii="Times New Roman" w:hAnsi="Times New Roman" w:cs="Times New Roman" w:eastAsiaTheme="majorEastAsia"/>
                      <w:b w:val="0"/>
                      <w:bCs w:val="0"/>
                      <w:color w:val="000000"/>
                      <w:sz w:val="21"/>
                      <w:szCs w:val="21"/>
                    </w:rPr>
                    <w:t>″</w:t>
                  </w:r>
                </w:p>
              </w:tc>
              <w:tc>
                <w:tcPr>
                  <w:tcW w:w="967"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b w:val="0"/>
                      <w:bCs w:val="0"/>
                      <w:color w:val="000000"/>
                      <w:sz w:val="21"/>
                      <w:szCs w:val="21"/>
                    </w:rPr>
                    <w:t>32°1</w:t>
                  </w:r>
                  <w:r>
                    <w:rPr>
                      <w:rFonts w:hint="default" w:ascii="Times New Roman" w:hAnsi="Times New Roman" w:cs="Times New Roman" w:eastAsiaTheme="majorEastAsia"/>
                      <w:b w:val="0"/>
                      <w:bCs w:val="0"/>
                      <w:color w:val="000000"/>
                      <w:sz w:val="21"/>
                      <w:szCs w:val="21"/>
                      <w:lang w:val="en-US" w:eastAsia="zh-CN"/>
                    </w:rPr>
                    <w:t>7</w:t>
                  </w:r>
                  <w:r>
                    <w:rPr>
                      <w:rFonts w:hint="default" w:ascii="Times New Roman" w:hAnsi="Times New Roman" w:cs="Times New Roman" w:eastAsiaTheme="majorEastAsia"/>
                      <w:b w:val="0"/>
                      <w:bCs w:val="0"/>
                      <w:color w:val="000000"/>
                      <w:sz w:val="21"/>
                      <w:szCs w:val="21"/>
                    </w:rPr>
                    <w:t>′</w:t>
                  </w:r>
                  <w:r>
                    <w:rPr>
                      <w:rFonts w:hint="default" w:ascii="Times New Roman" w:hAnsi="Times New Roman" w:cs="Times New Roman" w:eastAsiaTheme="majorEastAsia"/>
                      <w:b w:val="0"/>
                      <w:bCs w:val="0"/>
                      <w:color w:val="000000"/>
                      <w:sz w:val="21"/>
                      <w:szCs w:val="21"/>
                      <w:lang w:val="en-US" w:eastAsia="zh-CN"/>
                    </w:rPr>
                    <w:t>0.886</w:t>
                  </w:r>
                  <w:r>
                    <w:rPr>
                      <w:rFonts w:hint="default" w:ascii="Times New Roman" w:hAnsi="Times New Roman" w:cs="Times New Roman" w:eastAsiaTheme="majorEastAsia"/>
                      <w:b w:val="0"/>
                      <w:bCs w:val="0"/>
                      <w:color w:val="000000"/>
                      <w:sz w:val="21"/>
                      <w:szCs w:val="21"/>
                    </w:rPr>
                    <w:t>″</w:t>
                  </w:r>
                </w:p>
              </w:tc>
            </w:tr>
          </w:tbl>
          <w:p>
            <w:pPr>
              <w:pStyle w:val="8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auto"/>
                <w:kern w:val="2"/>
                <w:sz w:val="24"/>
                <w:szCs w:val="24"/>
                <w:lang w:val="en-US" w:eastAsia="zh-CN" w:bidi="ar-SA"/>
              </w:rPr>
            </w:pPr>
            <w:r>
              <w:rPr>
                <w:rFonts w:hint="default" w:ascii="Times New Roman" w:hAnsi="Times New Roman" w:cs="Times New Roman" w:eastAsiaTheme="majorEastAsia"/>
                <w:color w:val="auto"/>
                <w:kern w:val="2"/>
                <w:sz w:val="24"/>
                <w:szCs w:val="24"/>
                <w:lang w:val="en-US" w:eastAsia="zh-CN" w:bidi="ar-SA"/>
              </w:rPr>
              <w:t>高度可行性：</w:t>
            </w:r>
          </w:p>
          <w:p>
            <w:pPr>
              <w:pStyle w:val="8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auto"/>
                <w:kern w:val="2"/>
                <w:sz w:val="24"/>
                <w:szCs w:val="24"/>
                <w:lang w:val="en-US" w:eastAsia="zh-CN" w:bidi="ar-SA"/>
              </w:rPr>
            </w:pPr>
            <w:r>
              <w:rPr>
                <w:rFonts w:hint="default" w:ascii="Times New Roman" w:hAnsi="Times New Roman" w:cs="Times New Roman" w:eastAsiaTheme="majorEastAsia"/>
                <w:color w:val="auto"/>
                <w:kern w:val="2"/>
                <w:sz w:val="24"/>
                <w:szCs w:val="24"/>
                <w:lang w:val="en-US" w:eastAsia="zh-CN" w:bidi="ar-SA"/>
              </w:rPr>
              <w:t>本项目排气筒设置均为15米，高于周边建筑物3米，可以保证废气有效扩散，高度是合理可行的。</w:t>
            </w:r>
          </w:p>
          <w:p>
            <w:pPr>
              <w:pStyle w:val="8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auto"/>
                <w:kern w:val="2"/>
                <w:sz w:val="24"/>
                <w:szCs w:val="24"/>
                <w:lang w:val="en-US" w:eastAsia="zh-CN" w:bidi="ar-SA"/>
              </w:rPr>
            </w:pPr>
            <w:r>
              <w:rPr>
                <w:rFonts w:hint="default" w:ascii="Times New Roman" w:hAnsi="Times New Roman" w:cs="Times New Roman" w:eastAsiaTheme="majorEastAsia"/>
                <w:color w:val="auto"/>
                <w:kern w:val="2"/>
                <w:sz w:val="24"/>
                <w:szCs w:val="24"/>
                <w:lang w:val="en-US" w:eastAsia="zh-CN" w:bidi="ar-SA"/>
              </w:rPr>
              <w:t>出口风速合理性分析：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color w:val="auto"/>
                <w:kern w:val="2"/>
                <w:sz w:val="24"/>
                <w:szCs w:val="24"/>
                <w:lang w:val="en-US" w:eastAsia="zh-CN" w:bidi="ar-SA"/>
              </w:rPr>
              <w:t>根据上表计算，</w:t>
            </w:r>
            <w:bookmarkStart w:id="6" w:name="_Hlk92194620"/>
            <w:r>
              <w:rPr>
                <w:rFonts w:hint="default" w:ascii="Times New Roman" w:hAnsi="Times New Roman" w:cs="Times New Roman" w:eastAsiaTheme="majorEastAsia"/>
                <w:color w:val="auto"/>
                <w:kern w:val="2"/>
                <w:sz w:val="24"/>
                <w:szCs w:val="24"/>
                <w:lang w:val="en-US" w:eastAsia="zh-CN" w:bidi="ar-SA"/>
              </w:rPr>
              <w:t>本项目排气筒烟气排放速率均</w:t>
            </w:r>
            <w:bookmarkEnd w:id="6"/>
            <w:bookmarkStart w:id="7" w:name="_Hlk92194476"/>
            <w:r>
              <w:rPr>
                <w:rFonts w:hint="default" w:ascii="Times New Roman" w:hAnsi="Times New Roman" w:cs="Times New Roman" w:eastAsiaTheme="majorEastAsia"/>
                <w:color w:val="auto"/>
                <w:kern w:val="2"/>
                <w:sz w:val="24"/>
                <w:szCs w:val="24"/>
                <w:lang w:val="en-US" w:eastAsia="zh-CN" w:bidi="ar-SA"/>
              </w:rPr>
              <w:t>符合《大气污染治理工程技术导则》（HJ2000-2010）中5.3.5排气筒的出口直径应根据出口流速确定，流速宜取10m/s~15m/s左右。</w:t>
            </w:r>
            <w:bookmarkEnd w:id="7"/>
            <w:r>
              <w:rPr>
                <w:rFonts w:hint="default" w:ascii="Times New Roman" w:hAnsi="Times New Roman" w:cs="Times New Roman" w:eastAsiaTheme="majorEastAsia"/>
                <w:color w:val="auto"/>
                <w:kern w:val="2"/>
                <w:sz w:val="24"/>
                <w:szCs w:val="24"/>
                <w:lang w:val="en-US" w:eastAsia="zh-CN" w:bidi="ar-SA"/>
              </w:rPr>
              <w:t>因此是可行的。</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val="en-US" w:eastAsia="zh-CN"/>
              </w:rPr>
              <w:t>（3）污染防治措施可行性分析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根据《通风除尘》（1988年第3期）《局部排气管的捕集效率实验》，集气罩与污染源之间的距离对捕集效率有极大的影响，集气罩与污染源距离从0.3m增为1.5m，集气罩的捕集效率从97.6%降为55.0%。项目采用的集气罩离污染源距离设计为0.2-0.3m左右，集气罩收集废气效率可达90%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所以本项目集气罩收集废气效率可达90%可行。</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outlineLvl w:val="9"/>
              <w:rPr>
                <w:rFonts w:hint="default" w:ascii="Times New Roman" w:hAnsi="Times New Roman" w:cs="Times New Roman" w:eastAsiaTheme="maj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ajorEastAsia"/>
                <w:color w:val="000000" w:themeColor="text1"/>
                <w:sz w:val="21"/>
                <w:szCs w:val="21"/>
                <w14:textFill>
                  <w14:solidFill>
                    <w14:schemeClr w14:val="tx1"/>
                  </w14:solidFill>
                </w14:textFill>
              </w:rPr>
              <mc:AlternateContent>
                <mc:Choice Requires="wpc">
                  <w:drawing>
                    <wp:inline distT="0" distB="0" distL="114300" distR="114300">
                      <wp:extent cx="5131435" cy="1743710"/>
                      <wp:effectExtent l="0" t="0" r="0" b="39370"/>
                      <wp:docPr id="18" name="画布 18"/>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图片 109" descr="QQ截图20220829142029"/>
                                <pic:cNvPicPr>
                                  <a:picLocks noChangeAspect="1"/>
                                </pic:cNvPicPr>
                              </pic:nvPicPr>
                              <pic:blipFill>
                                <a:blip r:embed="rId16"/>
                                <a:stretch>
                                  <a:fillRect/>
                                </a:stretch>
                              </pic:blipFill>
                              <pic:spPr>
                                <a:xfrm>
                                  <a:off x="1442720" y="0"/>
                                  <a:ext cx="2169795" cy="1778635"/>
                                </a:xfrm>
                                <a:prstGeom prst="rect">
                                  <a:avLst/>
                                </a:prstGeom>
                                <a:noFill/>
                                <a:ln>
                                  <a:noFill/>
                                </a:ln>
                              </pic:spPr>
                            </pic:pic>
                          </wpc:wpc>
                        </a:graphicData>
                      </a:graphic>
                    </wp:inline>
                  </w:drawing>
                </mc:Choice>
                <mc:Fallback>
                  <w:pict>
                    <v:group id="_x0000_s1026" o:spid="_x0000_s1026" o:spt="203" style="height:137.3pt;width:404.05pt;" coordsize="5131435,1743710" editas="canvas" o:gfxdata="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">
                      <o:lock v:ext="edit" aspectratio="f"/>
                      <v:shape id="_x0000_s1026" o:spid="_x0000_s1026" style="position:absolute;left:0;top:0;height:1743710;width:5131435;" filled="f" stroked="f" coordsize="21600,21600" o:gfxdata="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">
                        <v:fill on="f" focussize="0,0"/>
                        <v:stroke on="f"/>
                        <v:imagedata o:title=""/>
                        <o:lock v:ext="edit" aspectratio="f"/>
                      </v:shape>
                      <v:shape id="图片 109" o:spid="_x0000_s1026" o:spt="75" alt="QQ截图20220829142029" type="#_x0000_t75" style="position:absolute;left:1442720;top:0;height:1778635;width:2169795;" filled="f" o:preferrelative="t" stroked="f" coordsize="21600,21600" o:gfxdata="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">
                        <v:fill on="f" focussize="0,0"/>
                        <v:stroke on="f"/>
                        <v:imagedata r:id="rId16" o:title=""/>
                        <o:lock v:ext="edit" aspectratio="t"/>
                      </v:shape>
                      <w10:wrap type="none"/>
                      <w10:anchorlock/>
                    </v:group>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ajorEastAsia"/>
                <w:b/>
                <w:bCs/>
                <w:color w:val="000000" w:themeColor="text1"/>
                <w:sz w:val="24"/>
                <w:szCs w:val="24"/>
                <w:highlight w:val="none"/>
                <w:lang w:val="en-US" w:eastAsia="zh-CN"/>
                <w14:textFill>
                  <w14:solidFill>
                    <w14:schemeClr w14:val="tx1"/>
                  </w14:solidFill>
                </w14:textFill>
              </w:rPr>
              <w:t>图4-1</w:t>
            </w:r>
            <w:r>
              <w:rPr>
                <w:rFonts w:hint="default" w:ascii="Times New Roman" w:hAnsi="Times New Roman" w:cs="Times New Roman" w:eastAsiaTheme="majorEastAsia"/>
                <w:b/>
                <w:bCs/>
                <w:color w:val="000000" w:themeColor="text1"/>
                <w:sz w:val="24"/>
                <w:szCs w:val="24"/>
                <w14:textFill>
                  <w14:solidFill>
                    <w14:schemeClr w14:val="tx1"/>
                  </w14:solidFill>
                </w14:textFill>
              </w:rPr>
              <w:t>集气罩工程结构图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eastAsia="zh-CN"/>
              </w:rPr>
            </w:pPr>
            <w:r>
              <w:rPr>
                <w:rFonts w:hint="default" w:ascii="Times New Roman" w:hAnsi="Times New Roman" w:cs="Times New Roman" w:eastAsiaTheme="majorEastAsia"/>
                <w:color w:val="000000"/>
                <w:sz w:val="24"/>
                <w:szCs w:val="24"/>
                <w:lang w:val="en-US" w:eastAsia="zh-CN"/>
              </w:rPr>
              <w:t>本项目废气处理流程示意图见图4-2。</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val="0"/>
                <w:color w:val="auto"/>
                <w:kern w:val="0"/>
                <w:sz w:val="24"/>
                <w:szCs w:val="24"/>
                <w:lang w:val="en-US" w:eastAsia="zh-CN"/>
              </w:rPr>
            </w:pPr>
            <w:r>
              <w:rPr>
                <w:rFonts w:hint="default" w:ascii="Times New Roman" w:hAnsi="Times New Roman" w:cs="Times New Roman" w:eastAsiaTheme="majorEastAsia"/>
                <w:b/>
                <w:bCs/>
                <w:color w:val="000000"/>
                <w:sz w:val="24"/>
                <w:szCs w:val="24"/>
                <w:lang w:val="en-US"/>
              </w:rPr>
              <mc:AlternateContent>
                <mc:Choice Requires="wpc">
                  <w:drawing>
                    <wp:anchor distT="0" distB="0" distL="114300" distR="114300" simplePos="0" relativeHeight="251660288" behindDoc="0" locked="0" layoutInCell="1" allowOverlap="1">
                      <wp:simplePos x="0" y="0"/>
                      <wp:positionH relativeFrom="column">
                        <wp:posOffset>6350</wp:posOffset>
                      </wp:positionH>
                      <wp:positionV relativeFrom="paragraph">
                        <wp:posOffset>7620</wp:posOffset>
                      </wp:positionV>
                      <wp:extent cx="4927600" cy="2199005"/>
                      <wp:effectExtent l="0" t="0" r="0" b="0"/>
                      <wp:wrapTopAndBottom/>
                      <wp:docPr id="43" name="画布 1881"/>
                      <wp:cNvGraphicFramePr/>
                      <a:graphic xmlns:a="http://schemas.openxmlformats.org/drawingml/2006/main">
                        <a:graphicData uri="http://schemas.microsoft.com/office/word/2010/wordprocessingCanvas">
                          <wpc:wpc>
                            <wpc:bg>
                              <a:noFill/>
                            </wpc:bg>
                            <wpc:whole>
                              <a:ln>
                                <a:noFill/>
                              </a:ln>
                            </wpc:whole>
                            <wps:wsp>
                              <wps:cNvPr id="29" name="文本框 1883"/>
                              <wps:cNvSpPr txBox="1"/>
                              <wps:spPr>
                                <a:xfrm>
                                  <a:off x="1314450" y="1875790"/>
                                  <a:ext cx="2052955" cy="267335"/>
                                </a:xfrm>
                                <a:prstGeom prst="rect">
                                  <a:avLst/>
                                </a:prstGeom>
                                <a:noFill/>
                                <a:ln>
                                  <a:noFill/>
                                </a:ln>
                              </wps:spPr>
                              <wps:txbx>
                                <w:txbxContent>
                                  <w:p>
                                    <w:pPr>
                                      <w:rPr>
                                        <w:rFonts w:hint="default" w:eastAsia="宋体"/>
                                        <w:sz w:val="24"/>
                                        <w:szCs w:val="24"/>
                                        <w:lang w:val="en-US" w:eastAsia="zh-CN"/>
                                      </w:rPr>
                                    </w:pPr>
                                    <w:r>
                                      <w:rPr>
                                        <w:rFonts w:hint="eastAsia"/>
                                        <w:b/>
                                        <w:bCs/>
                                        <w:sz w:val="24"/>
                                        <w:szCs w:val="24"/>
                                        <w:lang w:eastAsia="zh-CN"/>
                                      </w:rPr>
                                      <w:t>图</w:t>
                                    </w:r>
                                    <w:r>
                                      <w:rPr>
                                        <w:rFonts w:hint="eastAsia"/>
                                        <w:b/>
                                        <w:bCs/>
                                        <w:sz w:val="24"/>
                                        <w:szCs w:val="24"/>
                                        <w:lang w:val="en-US" w:eastAsia="zh-CN"/>
                                      </w:rPr>
                                      <w:t xml:space="preserve">4-2 </w:t>
                                    </w:r>
                                    <w:r>
                                      <w:rPr>
                                        <w:rFonts w:hint="eastAsia" w:hAnsi="宋体"/>
                                        <w:b/>
                                        <w:color w:val="auto"/>
                                        <w:sz w:val="24"/>
                                        <w:szCs w:val="24"/>
                                      </w:rPr>
                                      <w:t>废气处理工艺流程图</w:t>
                                    </w:r>
                                  </w:p>
                                </w:txbxContent>
                              </wps:txbx>
                              <wps:bodyPr vert="horz" wrap="square" anchor="t" anchorCtr="0" upright="1"/>
                            </wps:wsp>
                            <wps:wsp>
                              <wps:cNvPr id="30" name="文本框 1884"/>
                              <wps:cNvSpPr txBox="1"/>
                              <wps:spPr>
                                <a:xfrm>
                                  <a:off x="276860" y="9525"/>
                                  <a:ext cx="694690" cy="434340"/>
                                </a:xfrm>
                                <a:prstGeom prst="rect">
                                  <a:avLst/>
                                </a:prstGeom>
                                <a:noFill/>
                                <a:ln>
                                  <a:noFill/>
                                </a:ln>
                              </wps:spPr>
                              <wps:txbx>
                                <w:txbxContent>
                                  <w:p>
                                    <w:pPr>
                                      <w:jc w:val="center"/>
                                      <w:rPr>
                                        <w:rFonts w:hint="default" w:eastAsia="宋体"/>
                                        <w:lang w:val="en-US" w:eastAsia="zh-CN"/>
                                      </w:rPr>
                                    </w:pPr>
                                    <w:r>
                                      <w:rPr>
                                        <w:rFonts w:hint="eastAsia"/>
                                        <w:lang w:val="en-US" w:eastAsia="zh-CN"/>
                                      </w:rPr>
                                      <w:t>挤出、熔融</w:t>
                                    </w:r>
                                    <w:r>
                                      <w:rPr>
                                        <w:rFonts w:hint="eastAsia" w:eastAsia="宋体"/>
                                        <w:lang w:val="en-US" w:eastAsia="zh-CN"/>
                                      </w:rPr>
                                      <w:t>废气</w:t>
                                    </w:r>
                                  </w:p>
                                </w:txbxContent>
                              </wps:txbx>
                              <wps:bodyPr vert="horz" wrap="square" anchor="t" anchorCtr="0" upright="1"/>
                            </wps:wsp>
                            <wps:wsp>
                              <wps:cNvPr id="31" name="文本框 1885"/>
                              <wps:cNvSpPr txBox="1"/>
                              <wps:spPr>
                                <a:xfrm>
                                  <a:off x="1351915" y="117475"/>
                                  <a:ext cx="1701164"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风冷管+二级活性炭</w:t>
                                    </w:r>
                                  </w:p>
                                </w:txbxContent>
                              </wps:txbx>
                              <wps:bodyPr vert="horz" wrap="square" anchor="t" anchorCtr="0" upright="1"/>
                            </wps:wsp>
                            <wps:wsp>
                              <wps:cNvPr id="32" name="直线 1886"/>
                              <wps:cNvCnPr/>
                              <wps:spPr>
                                <a:xfrm>
                                  <a:off x="912495" y="241300"/>
                                  <a:ext cx="441325" cy="8255"/>
                                </a:xfrm>
                                <a:prstGeom prst="line">
                                  <a:avLst/>
                                </a:prstGeom>
                                <a:ln w="9525" cap="flat" cmpd="sng">
                                  <a:solidFill>
                                    <a:srgbClr val="000000"/>
                                  </a:solidFill>
                                  <a:prstDash val="solid"/>
                                  <a:headEnd type="none" w="med" len="med"/>
                                  <a:tailEnd type="triangle" w="med" len="med"/>
                                </a:ln>
                              </wps:spPr>
                              <wps:bodyPr upright="1"/>
                            </wps:wsp>
                            <wps:wsp>
                              <wps:cNvPr id="33" name="文本框 1887"/>
                              <wps:cNvSpPr txBox="1"/>
                              <wps:spPr>
                                <a:xfrm>
                                  <a:off x="3511550" y="94615"/>
                                  <a:ext cx="1416050" cy="257810"/>
                                </a:xfrm>
                                <a:prstGeom prst="rect">
                                  <a:avLst/>
                                </a:prstGeom>
                                <a:noFill/>
                                <a:ln>
                                  <a:noFill/>
                                </a:ln>
                              </wps:spPr>
                              <wps:txbx>
                                <w:txbxContent>
                                  <w:p>
                                    <w:pPr>
                                      <w:rPr>
                                        <w:rFonts w:hint="default" w:eastAsia="宋体"/>
                                        <w:lang w:val="en-US" w:eastAsia="zh-CN"/>
                                      </w:rPr>
                                    </w:pPr>
                                    <w:r>
                                      <w:rPr>
                                        <w:rFonts w:hint="eastAsia" w:eastAsia="宋体"/>
                                        <w:lang w:val="en-US" w:eastAsia="zh-CN"/>
                                      </w:rPr>
                                      <w:t>15m排气筒（DA001）</w:t>
                                    </w:r>
                                  </w:p>
                                </w:txbxContent>
                              </wps:txbx>
                              <wps:bodyPr vert="horz" wrap="square" anchor="t" anchorCtr="0" upright="1"/>
                            </wps:wsp>
                            <wps:wsp>
                              <wps:cNvPr id="34" name="文本框 1888"/>
                              <wps:cNvSpPr txBox="1"/>
                              <wps:spPr>
                                <a:xfrm>
                                  <a:off x="281940" y="1602740"/>
                                  <a:ext cx="1043305" cy="279400"/>
                                </a:xfrm>
                                <a:prstGeom prst="rect">
                                  <a:avLst/>
                                </a:prstGeom>
                                <a:noFill/>
                                <a:ln>
                                  <a:noFill/>
                                </a:ln>
                              </wps:spPr>
                              <wps:txbx>
                                <w:txbxContent>
                                  <w:p>
                                    <w:pPr>
                                      <w:rPr>
                                        <w:rFonts w:hint="default" w:eastAsia="宋体"/>
                                        <w:lang w:val="en-US" w:eastAsia="zh-CN"/>
                                      </w:rPr>
                                    </w:pPr>
                                    <w:r>
                                      <w:rPr>
                                        <w:rFonts w:hint="eastAsia" w:eastAsia="宋体"/>
                                        <w:lang w:val="en-US" w:eastAsia="zh-CN"/>
                                      </w:rPr>
                                      <w:t>危废仓库废气</w:t>
                                    </w:r>
                                  </w:p>
                                </w:txbxContent>
                              </wps:txbx>
                              <wps:bodyPr vert="horz" wrap="square" anchor="t" anchorCtr="0" upright="1"/>
                            </wps:wsp>
                            <wps:wsp>
                              <wps:cNvPr id="36" name="文本框 1890"/>
                              <wps:cNvSpPr txBox="1"/>
                              <wps:spPr>
                                <a:xfrm>
                                  <a:off x="1351915" y="668655"/>
                                  <a:ext cx="136080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布袋除尘器</w:t>
                                    </w:r>
                                  </w:p>
                                </w:txbxContent>
                              </wps:txbx>
                              <wps:bodyPr vert="horz" wrap="square" anchor="t" anchorCtr="0" upright="1"/>
                            </wps:wsp>
                            <wps:wsp>
                              <wps:cNvPr id="37" name="直线 1891"/>
                              <wps:cNvCnPr/>
                              <wps:spPr>
                                <a:xfrm flipV="1">
                                  <a:off x="3062605" y="231140"/>
                                  <a:ext cx="570865" cy="8890"/>
                                </a:xfrm>
                                <a:prstGeom prst="line">
                                  <a:avLst/>
                                </a:prstGeom>
                                <a:ln w="9525" cap="flat" cmpd="sng">
                                  <a:solidFill>
                                    <a:srgbClr val="000000"/>
                                  </a:solidFill>
                                  <a:prstDash val="solid"/>
                                  <a:headEnd type="none" w="med" len="med"/>
                                  <a:tailEnd type="triangle" w="med" len="med"/>
                                </a:ln>
                              </wps:spPr>
                              <wps:bodyPr upright="1"/>
                            </wps:wsp>
                            <wps:wsp>
                              <wps:cNvPr id="38" name="直线 1892"/>
                              <wps:cNvCnPr/>
                              <wps:spPr>
                                <a:xfrm>
                                  <a:off x="2728595" y="815975"/>
                                  <a:ext cx="381000" cy="0"/>
                                </a:xfrm>
                                <a:prstGeom prst="line">
                                  <a:avLst/>
                                </a:prstGeom>
                                <a:ln w="9525" cap="flat" cmpd="sng">
                                  <a:solidFill>
                                    <a:srgbClr val="000000"/>
                                  </a:solidFill>
                                  <a:prstDash val="solid"/>
                                  <a:headEnd type="none" w="med" len="med"/>
                                  <a:tailEnd type="triangle" w="med" len="med"/>
                                </a:ln>
                              </wps:spPr>
                              <wps:bodyPr upright="1"/>
                            </wps:wsp>
                            <wps:wsp>
                              <wps:cNvPr id="39" name="文本框 1893"/>
                              <wps:cNvSpPr txBox="1"/>
                              <wps:spPr>
                                <a:xfrm>
                                  <a:off x="1327150" y="1189355"/>
                                  <a:ext cx="1492885" cy="284480"/>
                                </a:xfrm>
                                <a:prstGeom prst="rect">
                                  <a:avLst/>
                                </a:prstGeom>
                                <a:noFill/>
                                <a:ln>
                                  <a:noFill/>
                                </a:ln>
                              </wps:spPr>
                              <wps:txbx>
                                <w:txbxContent>
                                  <w:p>
                                    <w:pPr>
                                      <w:rPr>
                                        <w:rFonts w:hint="default" w:eastAsia="宋体"/>
                                        <w:lang w:val="en-US" w:eastAsia="zh-CN"/>
                                      </w:rPr>
                                    </w:pPr>
                                    <w:r>
                                      <w:rPr>
                                        <w:rFonts w:hint="eastAsia"/>
                                        <w:lang w:val="en-US" w:eastAsia="zh-CN"/>
                                      </w:rPr>
                                      <w:t>无组织排放</w:t>
                                    </w:r>
                                  </w:p>
                                </w:txbxContent>
                              </wps:txbx>
                              <wps:bodyPr vert="horz" wrap="square" anchor="t" anchorCtr="0" upright="1"/>
                            </wps:wsp>
                            <wps:wsp>
                              <wps:cNvPr id="41" name="文本框 1953"/>
                              <wps:cNvSpPr txBox="1"/>
                              <wps:spPr>
                                <a:xfrm>
                                  <a:off x="194310" y="676910"/>
                                  <a:ext cx="797560" cy="353695"/>
                                </a:xfrm>
                                <a:prstGeom prst="rect">
                                  <a:avLst/>
                                </a:prstGeom>
                                <a:noFill/>
                                <a:ln>
                                  <a:noFill/>
                                </a:ln>
                              </wps:spPr>
                              <wps:txbx>
                                <w:txbxContent>
                                  <w:p>
                                    <w:pPr>
                                      <w:jc w:val="center"/>
                                      <w:rPr>
                                        <w:rFonts w:hint="default" w:eastAsia="宋体"/>
                                        <w:lang w:val="en-US" w:eastAsia="zh-CN"/>
                                      </w:rPr>
                                    </w:pPr>
                                    <w:r>
                                      <w:rPr>
                                        <w:rFonts w:hint="eastAsia"/>
                                        <w:lang w:val="en-US" w:eastAsia="zh-CN"/>
                                      </w:rPr>
                                      <w:t>破碎废气</w:t>
                                    </w:r>
                                  </w:p>
                                </w:txbxContent>
                              </wps:txbx>
                              <wps:bodyPr vert="horz" wrap="square" anchor="t" anchorCtr="0" upright="1"/>
                            </wps:wsp>
                            <wps:wsp>
                              <wps:cNvPr id="10" name="文本框 1887"/>
                              <wps:cNvSpPr txBox="1"/>
                              <wps:spPr>
                                <a:xfrm>
                                  <a:off x="3133725" y="683895"/>
                                  <a:ext cx="1416050" cy="257810"/>
                                </a:xfrm>
                                <a:prstGeom prst="rect">
                                  <a:avLst/>
                                </a:prstGeom>
                                <a:noFill/>
                                <a:ln>
                                  <a:noFill/>
                                </a:ln>
                              </wps:spPr>
                              <wps:txbx>
                                <w:txbxContent>
                                  <w:p>
                                    <w:pPr>
                                      <w:rPr>
                                        <w:rFonts w:hint="default" w:eastAsia="宋体"/>
                                        <w:lang w:val="en-US" w:eastAsia="zh-CN"/>
                                      </w:rPr>
                                    </w:pPr>
                                    <w:r>
                                      <w:rPr>
                                        <w:rFonts w:hint="eastAsia"/>
                                        <w:lang w:val="en-US" w:eastAsia="zh-CN"/>
                                      </w:rPr>
                                      <w:t>无组织排放</w:t>
                                    </w:r>
                                  </w:p>
                                </w:txbxContent>
                              </wps:txbx>
                              <wps:bodyPr vert="horz" wrap="square" anchor="t" anchorCtr="0" upright="1"/>
                            </wps:wsp>
                            <wps:wsp>
                              <wps:cNvPr id="11" name="直线 1954"/>
                              <wps:cNvCnPr/>
                              <wps:spPr>
                                <a:xfrm>
                                  <a:off x="908050" y="810260"/>
                                  <a:ext cx="431800" cy="0"/>
                                </a:xfrm>
                                <a:prstGeom prst="line">
                                  <a:avLst/>
                                </a:prstGeom>
                                <a:ln w="9525" cap="flat" cmpd="sng">
                                  <a:solidFill>
                                    <a:srgbClr val="000000"/>
                                  </a:solidFill>
                                  <a:prstDash val="solid"/>
                                  <a:headEnd type="none" w="med" len="med"/>
                                  <a:tailEnd type="triangle" w="med" len="med"/>
                                </a:ln>
                              </wps:spPr>
                              <wps:bodyPr upright="1"/>
                            </wps:wsp>
                            <wps:wsp>
                              <wps:cNvPr id="12" name="直线 1892"/>
                              <wps:cNvCnPr/>
                              <wps:spPr>
                                <a:xfrm>
                                  <a:off x="972820" y="1324610"/>
                                  <a:ext cx="381000" cy="0"/>
                                </a:xfrm>
                                <a:prstGeom prst="line">
                                  <a:avLst/>
                                </a:prstGeom>
                                <a:ln w="9525" cap="flat" cmpd="sng">
                                  <a:solidFill>
                                    <a:srgbClr val="000000"/>
                                  </a:solidFill>
                                  <a:prstDash val="solid"/>
                                  <a:headEnd type="none" w="med" len="med"/>
                                  <a:tailEnd type="triangle" w="med" len="med"/>
                                </a:ln>
                              </wps:spPr>
                              <wps:bodyPr upright="1"/>
                            </wps:wsp>
                            <wps:wsp>
                              <wps:cNvPr id="14" name="直线 1954"/>
                              <wps:cNvCnPr/>
                              <wps:spPr>
                                <a:xfrm>
                                  <a:off x="1209040" y="1723390"/>
                                  <a:ext cx="431800" cy="0"/>
                                </a:xfrm>
                                <a:prstGeom prst="line">
                                  <a:avLst/>
                                </a:prstGeom>
                                <a:ln w="9525" cap="flat" cmpd="sng">
                                  <a:solidFill>
                                    <a:srgbClr val="000000"/>
                                  </a:solidFill>
                                  <a:prstDash val="solid"/>
                                  <a:headEnd type="none" w="med" len="med"/>
                                  <a:tailEnd type="triangle" w="med" len="med"/>
                                </a:ln>
                              </wps:spPr>
                              <wps:bodyPr upright="1"/>
                            </wps:wsp>
                            <wps:wsp>
                              <wps:cNvPr id="17" name="文本框 1893"/>
                              <wps:cNvSpPr txBox="1"/>
                              <wps:spPr>
                                <a:xfrm>
                                  <a:off x="1600200" y="1579880"/>
                                  <a:ext cx="1069975" cy="284480"/>
                                </a:xfrm>
                                <a:prstGeom prst="rect">
                                  <a:avLst/>
                                </a:prstGeom>
                                <a:noFill/>
                                <a:ln>
                                  <a:noFill/>
                                </a:ln>
                              </wps:spPr>
                              <wps:txbx>
                                <w:txbxContent>
                                  <w:p>
                                    <w:pPr>
                                      <w:rPr>
                                        <w:rFonts w:hint="default" w:eastAsia="宋体"/>
                                        <w:lang w:val="en-US" w:eastAsia="zh-CN"/>
                                      </w:rPr>
                                    </w:pPr>
                                    <w:r>
                                      <w:rPr>
                                        <w:rFonts w:hint="eastAsia"/>
                                        <w:lang w:val="en-US" w:eastAsia="zh-CN"/>
                                      </w:rPr>
                                      <w:t>无组织排放</w:t>
                                    </w:r>
                                  </w:p>
                                </w:txbxContent>
                              </wps:txbx>
                              <wps:bodyPr vert="horz" wrap="square" anchor="t" anchorCtr="0" upright="1"/>
                            </wps:wsp>
                            <wps:wsp>
                              <wps:cNvPr id="6" name="文本框 1888"/>
                              <wps:cNvSpPr txBox="1"/>
                              <wps:spPr>
                                <a:xfrm>
                                  <a:off x="303530" y="1179830"/>
                                  <a:ext cx="1043305" cy="279400"/>
                                </a:xfrm>
                                <a:prstGeom prst="rect">
                                  <a:avLst/>
                                </a:prstGeom>
                                <a:noFill/>
                                <a:ln>
                                  <a:noFill/>
                                </a:ln>
                              </wps:spPr>
                              <wps:txbx>
                                <w:txbxContent>
                                  <w:p>
                                    <w:pPr>
                                      <w:rPr>
                                        <w:rFonts w:hint="default" w:eastAsia="宋体"/>
                                        <w:lang w:val="en-US" w:eastAsia="zh-CN"/>
                                      </w:rPr>
                                    </w:pPr>
                                    <w:r>
                                      <w:rPr>
                                        <w:rFonts w:hint="eastAsia"/>
                                        <w:lang w:val="en-US" w:eastAsia="zh-CN"/>
                                      </w:rPr>
                                      <w:t>淋涂</w:t>
                                    </w:r>
                                    <w:r>
                                      <w:rPr>
                                        <w:rFonts w:hint="eastAsia" w:eastAsia="宋体"/>
                                        <w:lang w:val="en-US" w:eastAsia="zh-CN"/>
                                      </w:rPr>
                                      <w:t>废气</w:t>
                                    </w:r>
                                  </w:p>
                                </w:txbxContent>
                              </wps:txbx>
                              <wps:bodyPr vert="horz" wrap="square" anchor="t" anchorCtr="0" upright="1"/>
                            </wps:wsp>
                          </wpc:wpc>
                        </a:graphicData>
                      </a:graphic>
                    </wp:anchor>
                  </w:drawing>
                </mc:Choice>
                <mc:Fallback>
                  <w:pict>
                    <v:group id="画布 1881" o:spid="_x0000_s1026" o:spt="203" style="position:absolute;left:0pt;margin-left:0.5pt;margin-top:0.6pt;height:173.15pt;width:388pt;mso-wrap-distance-bottom:0pt;mso-wrap-distance-top:0pt;z-index:251660288;mso-width-relative:page;mso-height-relative:page;" coordsize="4927600,2199005" editas="canvas" o:gfxdata="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FgAAAGRycy9QSwECFAAUAAAACACHTuJAFGvzbNcA&#10;AAAHAQAADwAAAAAAAAABACAAAAA4AAAAZHJzL2Rvd25yZXYueG1sUEsBAhQAFAAAAAgAh07iQCBf&#10;OfFhBQAA7SMAAA4AAAAAAAAAAQAgAAAAPAEAAGRycy9lMm9Eb2MueG1sUEsFBgAAAAAGAAYAWQEA&#10;AA8JAAAAAA==&#10;">
                      <o:lock v:ext="edit" aspectratio="f"/>
                      <v:shape id="画布 1881" o:spid="_x0000_s1026" style="position:absolute;left:0;top:0;height:2199005;width:4927600;" filled="f" stroked="f" coordsize="21600,21600" o:gfxdata="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WAAAAZHJzL1BLAQIUABQAAAAIAIdO4kAUa/Ns1wAAAAcBAAAP&#10;AAAAAAAAAAEAIAAAADgAAABkcnMvZG93bnJldi54bWxQSwECFAAUAAAACACHTuJAlprbhCEFAABm&#10;IwAADgAAAAAAAAABACAAAAA8AQAAZHJzL2Uyb0RvYy54bWxQSwUGAAAAAAYABgBZAQAAzwgAAAAA&#10;">
                        <v:fill on="f" focussize="0,0"/>
                        <v:stroke on="f"/>
                        <v:imagedata o:title=""/>
                        <o:lock v:ext="edit" aspectratio="f"/>
                      </v:shape>
                      <v:shape id="文本框 1883" o:spid="_x0000_s1026" o:spt="202" type="#_x0000_t202" style="position:absolute;left:1314450;top:1875790;height:267335;width:2052955;"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MjaVIjUAAAABwEAAA8AAAAAAAAAAQAgAAAAOAAAAGRycy9kb3ducmV2LnhtbFBLAQIUABQAAAAI&#10;AIdO4kCLEDBY2wEAAJEDAAAOAAAAAAAAAAEAIAAAADkBAABkcnMvZTJvRG9jLnhtbFBLBQYAAAAA&#10;BgAGAFkBAACGBQAAAAA=&#10;">
                        <v:fill on="f" focussize="0,0"/>
                        <v:stroke on="f"/>
                        <v:imagedata o:title=""/>
                        <o:lock v:ext="edit" aspectratio="f"/>
                        <v:textbox>
                          <w:txbxContent>
                            <w:p>
                              <w:pPr>
                                <w:rPr>
                                  <w:rFonts w:hint="default" w:eastAsia="宋体"/>
                                  <w:sz w:val="24"/>
                                  <w:szCs w:val="24"/>
                                  <w:lang w:val="en-US" w:eastAsia="zh-CN"/>
                                </w:rPr>
                              </w:pPr>
                              <w:r>
                                <w:rPr>
                                  <w:rFonts w:hint="eastAsia"/>
                                  <w:b/>
                                  <w:bCs/>
                                  <w:sz w:val="24"/>
                                  <w:szCs w:val="24"/>
                                  <w:lang w:eastAsia="zh-CN"/>
                                </w:rPr>
                                <w:t>图</w:t>
                              </w:r>
                              <w:r>
                                <w:rPr>
                                  <w:rFonts w:hint="eastAsia"/>
                                  <w:b/>
                                  <w:bCs/>
                                  <w:sz w:val="24"/>
                                  <w:szCs w:val="24"/>
                                  <w:lang w:val="en-US" w:eastAsia="zh-CN"/>
                                </w:rPr>
                                <w:t xml:space="preserve">4-2 </w:t>
                              </w:r>
                              <w:r>
                                <w:rPr>
                                  <w:rFonts w:hint="eastAsia" w:hAnsi="宋体"/>
                                  <w:b/>
                                  <w:color w:val="auto"/>
                                  <w:sz w:val="24"/>
                                  <w:szCs w:val="24"/>
                                </w:rPr>
                                <w:t>废气处理工艺流程图</w:t>
                              </w:r>
                            </w:p>
                          </w:txbxContent>
                        </v:textbox>
                      </v:shape>
                      <v:shape id="文本框 1884" o:spid="_x0000_s1026" o:spt="202" type="#_x0000_t202" style="position:absolute;left:276860;top:9525;height:434340;width:694690;"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yNpU&#10;iNQAAAAHAQAADwAAAAAAAAABACAAAAA4AAAAZHJzL2Rvd25yZXYueG1sUEsBAhQAFAAAAAgAh07i&#10;QAsdusrXAQAAjAMAAA4AAAAAAAAAAQAgAAAAOQEAAGRycy9lMm9Eb2MueG1sUEsFBgAAAAAGAAYA&#10;WQEAAII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挤出、熔融</w:t>
                              </w:r>
                              <w:r>
                                <w:rPr>
                                  <w:rFonts w:hint="eastAsia" w:eastAsia="宋体"/>
                                  <w:lang w:val="en-US" w:eastAsia="zh-CN"/>
                                </w:rPr>
                                <w:t>废气</w:t>
                              </w:r>
                            </w:p>
                          </w:txbxContent>
                        </v:textbox>
                      </v:shape>
                      <v:shape id="文本框 1885" o:spid="_x0000_s1026" o:spt="202" type="#_x0000_t202" style="position:absolute;left:1351915;top:117475;height:283845;width:1701164;" fillcolor="#FFFFFF" filled="t" stroked="t" coordsize="21600,21600" o:gfxdata="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Pn7bPjWAAAABwEAAA8AAAAA&#10;AAAAAQAgAAAAOAAAAGRycy9kb3ducmV2LnhtbFBLAQIUABQAAAAIAIdO4kAtCoBvOQIAAHgEAAAO&#10;AAAAAAAAAAEAIAAAADsBAABkcnMvZTJvRG9jLnhtbFBLBQYAAAAABgAGAFkBAADm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风冷管+二级活性炭</w:t>
                              </w:r>
                            </w:p>
                          </w:txbxContent>
                        </v:textbox>
                      </v:shape>
                      <v:line id="直线 1886" o:spid="_x0000_s1026" o:spt="20" style="position:absolute;left:912495;top:241300;height:8255;width:441325;" filled="f" stroked="t" coordsize="21600,21600" o:gfxdata="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z49uy2AAAAAcBAAAPAAAAAAAA&#10;AAEAIAAAADgAAABkcnMvZG93bnJldi54bWxQSwECFAAUAAAACACHTuJAMIe76PwBAADvAwAADgAA&#10;AAAAAAABACAAAAA9AQAAZHJzL2Uyb0RvYy54bWxQSwUGAAAAAAYABgBZAQAAqwUAAAAA&#10;">
                        <v:fill on="f" focussize="0,0"/>
                        <v:stroke color="#000000" joinstyle="round" endarrow="block"/>
                        <v:imagedata o:title=""/>
                        <o:lock v:ext="edit" aspectratio="f"/>
                      </v:line>
                      <v:shape id="文本框 1887" o:spid="_x0000_s1026" o:spt="202" type="#_x0000_t202" style="position:absolute;left:3511550;top:94615;height:257810;width:1416050;"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yNpUiNQAAAAHAQAADwAAAAAAAAABACAAAAA4AAAAZHJzL2Rvd25yZXYueG1sUEsBAhQAFAAAAAgA&#10;h07iQON5E/jaAQAAjwMAAA4AAAAAAAAAAQAgAAAAOQEAAGRycy9lMm9Eb2MueG1sUEsFBgAAAAAG&#10;AAYAWQEAAIU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15m排气筒（DA001）</w:t>
                              </w:r>
                            </w:p>
                          </w:txbxContent>
                        </v:textbox>
                      </v:shape>
                      <v:shape id="文本框 1888" o:spid="_x0000_s1026" o:spt="202" type="#_x0000_t202" style="position:absolute;left:281940;top:1602740;height:279400;width:1043305;"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Mja&#10;VIjUAAAABwEAAA8AAAAAAAAAAQAgAAAAOAAAAGRycy9kb3ducmV2LnhtbFBLAQIUABQAAAAIAIdO&#10;4kCogpLK2AEAAJADAAAOAAAAAAAAAAEAIAAAADkBAABkcnMvZTJvRG9jLnhtbFBLBQYAAAAABgAG&#10;AFkBAACD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危废仓库废气</w:t>
                              </w:r>
                            </w:p>
                          </w:txbxContent>
                        </v:textbox>
                      </v:shape>
                      <v:shape id="文本框 1890" o:spid="_x0000_s1026" o:spt="202" type="#_x0000_t202" style="position:absolute;left:1351915;top:668655;height:273050;width:1360805;" fillcolor="#FFFFFF" filled="t" stroked="t" coordsize="21600,21600" o:gfxdata="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Pn7bPjWAAAABwEAAA8AAAAAAAAA&#10;AQAgAAAAOAAAAGRycy9kb3ducmV2LnhtbFBLAQIUABQAAAAIAIdO4kBxadPdNgIAAHgEAAAOAAAA&#10;AAAAAAEAIAAAADsBAABkcnMvZTJvRG9jLnhtbFBLBQYAAAAABgAGAFkBAADj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布袋除尘器</w:t>
                              </w:r>
                            </w:p>
                          </w:txbxContent>
                        </v:textbox>
                      </v:shape>
                      <v:line id="直线 1891" o:spid="_x0000_s1026" o:spt="20" style="position:absolute;left:3062605;top:231140;flip:y;height:8890;width:570865;" filled="f" stroked="t" coordsize="21600,21600" o:gfxdata="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KBJHy1wAA&#10;AAcBAAAPAAAAAAAAAAEAIAAAADgAAABkcnMvZG93bnJldi54bWxQSwECFAAUAAAACACHTuJAsaT4&#10;BgkCAAD6AwAADgAAAAAAAAABACAAAAA8AQAAZHJzL2Uyb0RvYy54bWxQSwUGAAAAAAYABgBZAQAA&#10;twUAAAAA&#10;">
                        <v:fill on="f" focussize="0,0"/>
                        <v:stroke color="#000000" joinstyle="round" endarrow="block"/>
                        <v:imagedata o:title=""/>
                        <o:lock v:ext="edit" aspectratio="f"/>
                      </v:line>
                      <v:line id="直线 1892" o:spid="_x0000_s1026" o:spt="20" style="position:absolute;left:2728595;top:815975;height:0;width:381000;" filled="f" stroked="t" coordsize="21600,21600" o:gfxdata="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PbstgAAAAHAQAADwAA&#10;AAAAAAABACAAAAA4AAAAZHJzL2Rvd25yZXYueG1sUEsBAhQAFAAAAAgAh07iQDFUYHoAAgAA7QMA&#10;AA4AAAAAAAAAAQAgAAAAPQEAAGRycy9lMm9Eb2MueG1sUEsFBgAAAAAGAAYAWQEAAK8FAAAAAA==&#10;">
                        <v:fill on="f" focussize="0,0"/>
                        <v:stroke color="#000000" joinstyle="round" endarrow="block"/>
                        <v:imagedata o:title=""/>
                        <o:lock v:ext="edit" aspectratio="f"/>
                      </v:line>
                      <v:shape id="文本框 1893" o:spid="_x0000_s1026" o:spt="202" type="#_x0000_t202" style="position:absolute;left:1327150;top:1189355;height:284480;width:1492885;"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yNpUiNQAAAAHAQAADwAAAAAAAAABACAAAAA4AAAAZHJzL2Rvd25yZXYueG1sUEsBAhQAFAAAAAgA&#10;h07iQJ3BE0/aAQAAkQMAAA4AAAAAAAAAAQAgAAAAOQEAAGRycy9lMm9Eb2MueG1sUEsFBgAAAAAG&#10;AAYAWQEAAIUFAAAAAA==&#10;">
                        <v:fill on="f" focussize="0,0"/>
                        <v:stroke on="f"/>
                        <v:imagedata o:title=""/>
                        <o:lock v:ext="edit" aspectratio="f"/>
                        <v:textbox>
                          <w:txbxContent>
                            <w:p>
                              <w:pPr>
                                <w:rPr>
                                  <w:rFonts w:hint="default" w:eastAsia="宋体"/>
                                  <w:lang w:val="en-US" w:eastAsia="zh-CN"/>
                                </w:rPr>
                              </w:pPr>
                              <w:r>
                                <w:rPr>
                                  <w:rFonts w:hint="eastAsia"/>
                                  <w:lang w:val="en-US" w:eastAsia="zh-CN"/>
                                </w:rPr>
                                <w:t>无组织排放</w:t>
                              </w:r>
                            </w:p>
                          </w:txbxContent>
                        </v:textbox>
                      </v:shape>
                      <v:shape id="文本框 1953" o:spid="_x0000_s1026" o:spt="202" type="#_x0000_t202" style="position:absolute;left:194310;top:676910;height:353695;width:797560;"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I&#10;2lSI1AAAAAcBAAAPAAAAAAAAAAEAIAAAADgAAABkcnMvZG93bnJldi54bWxQSwECFAAUAAAACACH&#10;TuJAe14XotkBAACOAwAADgAAAAAAAAABACAAAAA5AQAAZHJzL2Uyb0RvYy54bWxQSwUGAAAAAAYA&#10;BgBZAQAAh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破碎废气</w:t>
                              </w:r>
                            </w:p>
                          </w:txbxContent>
                        </v:textbox>
                      </v:shape>
                      <v:shape id="文本框 1887" o:spid="_x0000_s1026" o:spt="202" type="#_x0000_t202" style="position:absolute;left:3133725;top:683895;height:257810;width:1416050;"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I&#10;2lSI1AAAAAcBAAAPAAAAAAAAAAEAIAAAADgAAABkcnMvZG93bnJldi54bWxQSwECFAAUAAAACACH&#10;TuJAoBvBIdkBAACQAwAADgAAAAAAAAABACAAAAA5AQAAZHJzL2Uyb0RvYy54bWxQSwUGAAAAAAYA&#10;BgBZAQAAhAUAAAAA&#10;">
                        <v:fill on="f" focussize="0,0"/>
                        <v:stroke on="f"/>
                        <v:imagedata o:title=""/>
                        <o:lock v:ext="edit" aspectratio="f"/>
                        <v:textbox>
                          <w:txbxContent>
                            <w:p>
                              <w:pPr>
                                <w:rPr>
                                  <w:rFonts w:hint="default" w:eastAsia="宋体"/>
                                  <w:lang w:val="en-US" w:eastAsia="zh-CN"/>
                                </w:rPr>
                              </w:pPr>
                              <w:r>
                                <w:rPr>
                                  <w:rFonts w:hint="eastAsia"/>
                                  <w:lang w:val="en-US" w:eastAsia="zh-CN"/>
                                </w:rPr>
                                <w:t>无组织排放</w:t>
                              </w:r>
                            </w:p>
                          </w:txbxContent>
                        </v:textbox>
                      </v:shape>
                      <v:line id="直线 1954" o:spid="_x0000_s1026" o:spt="20" style="position:absolute;left:908050;top:810260;height:0;width:431800;" filled="f" stroked="t" coordsize="21600,21600" o:gfxdata="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PbstgAAAAHAQAADwAAAAAA&#10;AAABACAAAAA4AAAAZHJzL2Rvd25yZXYueG1sUEsBAhQAFAAAAAgAh07iQHW/VST9AQAA7AMAAA4A&#10;AAAAAAAAAQAgAAAAPQEAAGRycy9lMm9Eb2MueG1sUEsFBgAAAAAGAAYAWQEAAKwFAAAAAA==&#10;">
                        <v:fill on="f" focussize="0,0"/>
                        <v:stroke color="#000000" joinstyle="round" endarrow="block"/>
                        <v:imagedata o:title=""/>
                        <o:lock v:ext="edit" aspectratio="f"/>
                      </v:line>
                      <v:line id="直线 1892" o:spid="_x0000_s1026" o:spt="20" style="position:absolute;left:972820;top:1324610;height:0;width:381000;" filled="f" stroked="t" coordsize="21600,21600" o:gfxdata="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PbstgAAAAHAQAADwAAAAAA&#10;AAABACAAAAA4AAAAZHJzL2Rvd25yZXYueG1sUEsBAhQAFAAAAAgAh07iQI/2BIr9AQAA7QMAAA4A&#10;AAAAAAAAAQAgAAAAPQEAAGRycy9lMm9Eb2MueG1sUEsFBgAAAAAGAAYAWQEAAKwFAAAAAA==&#10;">
                        <v:fill on="f" focussize="0,0"/>
                        <v:stroke color="#000000" joinstyle="round" endarrow="block"/>
                        <v:imagedata o:title=""/>
                        <o:lock v:ext="edit" aspectratio="f"/>
                      </v:line>
                      <v:line id="直线 1954" o:spid="_x0000_s1026" o:spt="20" style="position:absolute;left:1209040;top:1723390;height:0;width:431800;" filled="f" stroked="t" coordsize="21600,21600" o:gfxdata="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Pj27LYAAAABwEAAA8AAAAA&#10;AAAAAQAgAAAAOAAAAGRycy9kb3ducmV2LnhtbFBLAQIUABQAAAAIAIdO4kCwgcp7/gEAAO4DAAAO&#10;AAAAAAAAAAEAIAAAAD0BAABkcnMvZTJvRG9jLnhtbFBLBQYAAAAABgAGAFkBAACtBQAAAAA=&#10;">
                        <v:fill on="f" focussize="0,0"/>
                        <v:stroke color="#000000" joinstyle="round" endarrow="block"/>
                        <v:imagedata o:title=""/>
                        <o:lock v:ext="edit" aspectratio="f"/>
                      </v:line>
                      <v:shape id="文本框 1893" o:spid="_x0000_s1026" o:spt="202" type="#_x0000_t202" style="position:absolute;left:1600200;top:1579880;height:284480;width:1069975;"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yNpU&#10;iNQAAAAHAQAADwAAAAAAAAABACAAAAA4AAAAZHJzL2Rvd25yZXYueG1sUEsBAhQAFAAAAAgAh07i&#10;QCMTRRzXAQAAkQMAAA4AAAAAAAAAAQAgAAAAOQEAAGRycy9lMm9Eb2MueG1sUEsFBgAAAAAGAAYA&#10;WQEAAIIFAAAAAA==&#10;">
                        <v:fill on="f" focussize="0,0"/>
                        <v:stroke on="f"/>
                        <v:imagedata o:title=""/>
                        <o:lock v:ext="edit" aspectratio="f"/>
                        <v:textbox>
                          <w:txbxContent>
                            <w:p>
                              <w:pPr>
                                <w:rPr>
                                  <w:rFonts w:hint="default" w:eastAsia="宋体"/>
                                  <w:lang w:val="en-US" w:eastAsia="zh-CN"/>
                                </w:rPr>
                              </w:pPr>
                              <w:r>
                                <w:rPr>
                                  <w:rFonts w:hint="eastAsia"/>
                                  <w:lang w:val="en-US" w:eastAsia="zh-CN"/>
                                </w:rPr>
                                <w:t>无组织排放</w:t>
                              </w:r>
                            </w:p>
                          </w:txbxContent>
                        </v:textbox>
                      </v:shape>
                      <v:shape id="文本框 1888" o:spid="_x0000_s1026" o:spt="202" type="#_x0000_t202" style="position:absolute;left:303530;top:1179830;height:279400;width:1043305;" filled="f" stroked="f" coordsize="21600,21600" o:gfxdata="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I&#10;2lSI1AAAAAcBAAAPAAAAAAAAAAEAIAAAADgAAABkcnMvZG93bnJldi54bWxQSwECFAAUAAAACACH&#10;TuJAFmd/bdkBAACPAwAADgAAAAAAAAABACAAAAA5AQAAZHJzL2Uyb0RvYy54bWxQSwUGAAAAAAYA&#10;BgBZAQAAhAUAAAAA&#10;">
                        <v:fill on="f" focussize="0,0"/>
                        <v:stroke on="f"/>
                        <v:imagedata o:title=""/>
                        <o:lock v:ext="edit" aspectratio="f"/>
                        <v:textbox>
                          <w:txbxContent>
                            <w:p>
                              <w:pPr>
                                <w:rPr>
                                  <w:rFonts w:hint="default" w:eastAsia="宋体"/>
                                  <w:lang w:val="en-US" w:eastAsia="zh-CN"/>
                                </w:rPr>
                              </w:pPr>
                              <w:r>
                                <w:rPr>
                                  <w:rFonts w:hint="eastAsia"/>
                                  <w:lang w:val="en-US" w:eastAsia="zh-CN"/>
                                </w:rPr>
                                <w:t>淋涂</w:t>
                              </w:r>
                              <w:r>
                                <w:rPr>
                                  <w:rFonts w:hint="eastAsia" w:eastAsia="宋体"/>
                                  <w:lang w:val="en-US" w:eastAsia="zh-CN"/>
                                </w:rPr>
                                <w:t>废气</w:t>
                              </w:r>
                            </w:p>
                          </w:txbxContent>
                        </v:textbox>
                      </v:shape>
                      <w10:wrap type="topAndBottom"/>
                    </v:group>
                  </w:pict>
                </mc:Fallback>
              </mc:AlternateContent>
            </w:r>
            <w:r>
              <w:rPr>
                <w:rFonts w:hint="default" w:ascii="Times New Roman" w:hAnsi="Times New Roman" w:cs="Times New Roman" w:eastAsiaTheme="majorEastAsia"/>
                <w:b/>
                <w:bCs/>
                <w:color w:val="000000"/>
                <w:sz w:val="24"/>
                <w:szCs w:val="24"/>
                <w:lang w:val="en-US" w:eastAsia="zh-CN"/>
              </w:rPr>
              <w:t>布袋除尘器</w:t>
            </w:r>
            <w:r>
              <w:rPr>
                <w:rFonts w:hint="default" w:ascii="Times New Roman" w:hAnsi="Times New Roman" w:cs="Times New Roman" w:eastAsiaTheme="majorEastAsia"/>
                <w:b/>
                <w:bCs w:val="0"/>
                <w:color w:val="auto"/>
                <w:kern w:val="0"/>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color w:val="auto"/>
                <w:kern w:val="0"/>
                <w:sz w:val="24"/>
                <w:szCs w:val="24"/>
                <w:lang w:val="en-US" w:eastAsia="zh-CN"/>
              </w:rPr>
            </w:pPr>
            <w:r>
              <w:rPr>
                <w:rFonts w:hint="default" w:ascii="Times New Roman" w:hAnsi="Times New Roman" w:cs="Times New Roman" w:eastAsiaTheme="majorEastAsia"/>
                <w:b w:val="0"/>
                <w:bCs/>
                <w:color w:val="auto"/>
                <w:kern w:val="0"/>
                <w:sz w:val="24"/>
                <w:szCs w:val="24"/>
                <w:lang w:val="en-US" w:eastAsia="zh-CN"/>
              </w:rPr>
              <w:t>布袋除尘器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粉尘进入布袋除尘器内部，气流扩散后，均匀分布在布袋除尘器内部整个进气通道内，使气流流速大大降低，大多数粉尘沉降在灰斗中，经过初级除尘分离后的废气经过气体导流均布板，均匀分布到各个袋室的整个区域，整个气流组织分布相当均匀，且气体流速控制在合理的范围之内，这个过程实现了粉尘的，粉尘被滤袋捕集，并在滤袋表面形成尘饼。布袋除尘的除尘效率可达95%以上。</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kern w:val="2"/>
                <w:sz w:val="24"/>
                <w:szCs w:val="24"/>
                <w:lang w:val="en-US" w:eastAsia="zh-CN" w:bidi="ar-SA"/>
              </w:rPr>
            </w:pPr>
            <w:r>
              <w:rPr>
                <w:rFonts w:hint="default" w:ascii="Times New Roman" w:hAnsi="Times New Roman" w:cs="Times New Roman" w:eastAsiaTheme="majorEastAsia"/>
                <w:color w:val="auto"/>
                <w:kern w:val="2"/>
                <w:sz w:val="24"/>
                <w:szCs w:val="24"/>
                <w:lang w:val="en-US" w:eastAsia="zh-CN" w:bidi="ar-SA"/>
              </w:rPr>
              <w:t>参照《排放源统计调查产排污核算方法和系数手册》附件中“33-37,431-434 机械行业系数手册、42废弃资源综合利用行业系数手册”中袋式除尘末端治理技术平均去除效率为95%。所以本项目破碎工序粉尘采用布袋除尘进行处理，处理效率按95%计较为可行。</w:t>
            </w:r>
          </w:p>
          <w:p>
            <w:pPr>
              <w:pStyle w:val="90"/>
              <w:keepNext w:val="0"/>
              <w:keepLines w:val="0"/>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ajorEastAsia"/>
                <w:b/>
                <w:bCs/>
                <w:color w:val="auto"/>
                <w:kern w:val="2"/>
                <w:sz w:val="21"/>
                <w:szCs w:val="21"/>
                <w:lang w:val="en-US" w:eastAsia="zh-CN" w:bidi="ar-SA"/>
              </w:rPr>
            </w:pPr>
            <w:r>
              <w:rPr>
                <w:rFonts w:hint="default" w:ascii="Times New Roman" w:hAnsi="Times New Roman" w:cs="Times New Roman" w:eastAsiaTheme="majorEastAsia"/>
                <w:b/>
                <w:bCs/>
                <w:color w:val="auto"/>
                <w:kern w:val="2"/>
                <w:sz w:val="24"/>
                <w:szCs w:val="24"/>
                <w:lang w:val="en-US" w:eastAsia="zh-CN" w:bidi="ar-SA"/>
              </w:rPr>
              <w:t>表4-</w:t>
            </w:r>
            <w:r>
              <w:rPr>
                <w:rFonts w:hint="eastAsia" w:ascii="Times New Roman" w:hAnsi="Times New Roman" w:cs="Times New Roman" w:eastAsiaTheme="majorEastAsia"/>
                <w:b/>
                <w:bCs/>
                <w:color w:val="auto"/>
                <w:kern w:val="2"/>
                <w:sz w:val="24"/>
                <w:szCs w:val="24"/>
                <w:lang w:val="en-US" w:eastAsia="zh-CN" w:bidi="ar-SA"/>
              </w:rPr>
              <w:t>7</w:t>
            </w:r>
            <w:r>
              <w:rPr>
                <w:rFonts w:hint="default" w:ascii="Times New Roman" w:hAnsi="Times New Roman" w:cs="Times New Roman" w:eastAsiaTheme="majorEastAsia"/>
                <w:b/>
                <w:bCs/>
                <w:color w:val="auto"/>
                <w:kern w:val="2"/>
                <w:sz w:val="24"/>
                <w:szCs w:val="24"/>
                <w:lang w:val="en-US" w:eastAsia="zh-CN" w:bidi="ar-SA"/>
              </w:rPr>
              <w:t xml:space="preserve">  袋式除尘器技术参数一览表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85" w:type="dxa"/>
                <w:bottom w:w="0" w:type="dxa"/>
                <w:right w:w="85" w:type="dxa"/>
              </w:tblCellMar>
            </w:tblPr>
            <w:tblGrid>
              <w:gridCol w:w="1174"/>
              <w:gridCol w:w="1820"/>
              <w:gridCol w:w="47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序号</w:t>
                  </w:r>
                </w:p>
              </w:tc>
              <w:tc>
                <w:tcPr>
                  <w:tcW w:w="1179"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项目</w:t>
                  </w:r>
                </w:p>
              </w:tc>
              <w:tc>
                <w:tcPr>
                  <w:tcW w:w="3060"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1</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 w:val="21"/>
                      <w:szCs w:val="21"/>
                    </w:rPr>
                    <w:t>外形尺寸</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 w:val="21"/>
                      <w:szCs w:val="21"/>
                      <w:lang w:val="en-US" w:eastAsia="zh-CN"/>
                    </w:rPr>
                    <w:t>8000</w:t>
                  </w:r>
                  <w:r>
                    <w:rPr>
                      <w:rFonts w:hint="default" w:ascii="Times New Roman" w:hAnsi="Times New Roman" w:cs="Times New Roman" w:eastAsiaTheme="majorEastAsia"/>
                      <w:color w:val="auto"/>
                      <w:sz w:val="21"/>
                      <w:szCs w:val="21"/>
                    </w:rPr>
                    <w:t>*</w:t>
                  </w:r>
                  <w:r>
                    <w:rPr>
                      <w:rFonts w:hint="default" w:ascii="Times New Roman" w:hAnsi="Times New Roman" w:cs="Times New Roman" w:eastAsiaTheme="majorEastAsia"/>
                      <w:color w:val="auto"/>
                      <w:sz w:val="21"/>
                      <w:szCs w:val="21"/>
                      <w:lang w:val="en-US" w:eastAsia="zh-CN"/>
                    </w:rPr>
                    <w:t>5000</w:t>
                  </w:r>
                  <w:r>
                    <w:rPr>
                      <w:rFonts w:hint="default" w:ascii="Times New Roman" w:hAnsi="Times New Roman" w:cs="Times New Roman" w:eastAsiaTheme="majorEastAsia"/>
                      <w:color w:val="auto"/>
                      <w:sz w:val="21"/>
                      <w:szCs w:val="21"/>
                    </w:rPr>
                    <w:t>*</w:t>
                  </w:r>
                  <w:r>
                    <w:rPr>
                      <w:rFonts w:hint="default" w:ascii="Times New Roman" w:hAnsi="Times New Roman" w:cs="Times New Roman" w:eastAsiaTheme="majorEastAsia"/>
                      <w:color w:val="auto"/>
                      <w:sz w:val="21"/>
                      <w:szCs w:val="21"/>
                      <w:lang w:val="en-US" w:eastAsia="zh-CN"/>
                    </w:rPr>
                    <w:t>9000</w:t>
                  </w:r>
                  <w:r>
                    <w:rPr>
                      <w:rFonts w:hint="default" w:ascii="Times New Roman" w:hAnsi="Times New Roman" w:cs="Times New Roman" w:eastAsiaTheme="majorEastAsia"/>
                      <w:color w:val="auto"/>
                      <w:sz w:val="21"/>
                      <w:szCs w:val="21"/>
                    </w:rPr>
                    <w:t>mm（实际按设计图纸为准）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2</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布袋尺寸</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Ø1</w:t>
                  </w:r>
                  <w:r>
                    <w:rPr>
                      <w:rFonts w:hint="default" w:ascii="Times New Roman" w:hAnsi="Times New Roman" w:cs="Times New Roman" w:eastAsiaTheme="majorEastAsia"/>
                      <w:color w:val="auto"/>
                      <w:sz w:val="21"/>
                      <w:szCs w:val="21"/>
                      <w:lang w:val="en-US" w:eastAsia="zh-CN"/>
                    </w:rPr>
                    <w:t>3</w:t>
                  </w:r>
                  <w:r>
                    <w:rPr>
                      <w:rFonts w:hint="default" w:ascii="Times New Roman" w:hAnsi="Times New Roman" w:cs="Times New Roman" w:eastAsiaTheme="majorEastAsia"/>
                      <w:color w:val="auto"/>
                      <w:sz w:val="21"/>
                      <w:szCs w:val="21"/>
                    </w:rPr>
                    <w:t>0×</w:t>
                  </w:r>
                  <w:r>
                    <w:rPr>
                      <w:rFonts w:hint="default" w:ascii="Times New Roman" w:hAnsi="Times New Roman" w:cs="Times New Roman" w:eastAsiaTheme="majorEastAsia"/>
                      <w:color w:val="auto"/>
                      <w:sz w:val="21"/>
                      <w:szCs w:val="21"/>
                      <w:lang w:val="en-US" w:eastAsia="zh-CN"/>
                    </w:rPr>
                    <w:t>60</w:t>
                  </w:r>
                  <w:r>
                    <w:rPr>
                      <w:rFonts w:hint="default" w:ascii="Times New Roman" w:hAnsi="Times New Roman" w:cs="Times New Roman" w:eastAsiaTheme="majorEastAsia"/>
                      <w:color w:val="auto"/>
                      <w:sz w:val="21"/>
                      <w:szCs w:val="21"/>
                    </w:rPr>
                    <w:t>00mm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3</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布袋数量</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lang w:val="en-US" w:eastAsia="zh-CN"/>
                    </w:rPr>
                    <w:t>252</w:t>
                  </w:r>
                  <w:r>
                    <w:rPr>
                      <w:rFonts w:hint="default" w:ascii="Times New Roman" w:hAnsi="Times New Roman" w:cs="Times New Roman" w:eastAsiaTheme="majorEastAsia"/>
                      <w:color w:val="auto"/>
                      <w:sz w:val="21"/>
                      <w:szCs w:val="21"/>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4</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布袋材质</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涤纶</w:t>
                  </w:r>
                  <w:r>
                    <w:rPr>
                      <w:rFonts w:hint="default" w:ascii="Times New Roman" w:hAnsi="Times New Roman" w:cs="Times New Roman" w:eastAsiaTheme="majorEastAsia"/>
                      <w:color w:val="auto"/>
                      <w:sz w:val="21"/>
                      <w:szCs w:val="21"/>
                      <w:lang w:eastAsia="zh-CN"/>
                    </w:rPr>
                    <w:t>针刺毡</w:t>
                  </w:r>
                  <w:r>
                    <w:rPr>
                      <w:rFonts w:hint="default" w:ascii="Times New Roman" w:hAnsi="Times New Roman" w:cs="Times New Roman" w:eastAsiaTheme="majorEastAsia"/>
                      <w:color w:val="auto"/>
                      <w:sz w:val="21"/>
                      <w:szCs w:val="21"/>
                    </w:rPr>
                    <w:t>（防静电）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5</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过滤面积</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lang w:val="en-US" w:eastAsia="zh-CN"/>
                    </w:rPr>
                    <w:t>60</w:t>
                  </w:r>
                  <w:r>
                    <w:rPr>
                      <w:rFonts w:hint="default" w:ascii="Times New Roman" w:hAnsi="Times New Roman" w:cs="Times New Roman" w:eastAsiaTheme="majorEastAsia"/>
                      <w:color w:val="auto"/>
                      <w:sz w:val="21"/>
                      <w:szCs w:val="21"/>
                    </w:rPr>
                    <w:t>0m</w:t>
                  </w:r>
                  <w:r>
                    <w:rPr>
                      <w:rFonts w:hint="default" w:ascii="Times New Roman" w:hAnsi="Times New Roman" w:cs="Times New Roman" w:eastAsiaTheme="majorEastAsia"/>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 w:val="21"/>
                      <w:szCs w:val="21"/>
                    </w:rPr>
                    <w:t>6</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过滤风速</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lang w:val="en-US" w:eastAsia="zh-CN"/>
                    </w:rPr>
                    <w:t>0.8</w:t>
                  </w:r>
                  <w:r>
                    <w:rPr>
                      <w:rFonts w:hint="default" w:ascii="Times New Roman" w:hAnsi="Times New Roman" w:cs="Times New Roman" w:eastAsiaTheme="majorEastAsia"/>
                      <w:color w:val="auto"/>
                      <w:sz w:val="21"/>
                      <w:szCs w:val="21"/>
                    </w:rPr>
                    <w:t>m/min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 w:val="21"/>
                      <w:szCs w:val="21"/>
                    </w:rPr>
                    <w:t>7</w:t>
                  </w:r>
                </w:p>
              </w:tc>
              <w:tc>
                <w:tcPr>
                  <w:tcW w:w="1179"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 w:val="21"/>
                      <w:szCs w:val="21"/>
                    </w:rPr>
                    <w:t>过滤效率</w:t>
                  </w:r>
                </w:p>
              </w:tc>
              <w:tc>
                <w:tcPr>
                  <w:tcW w:w="3060" w:type="pct"/>
                  <w:tcBorders>
                    <w:tl2br w:val="nil"/>
                    <w:tr2bl w:val="nil"/>
                  </w:tcBorders>
                  <w:noWrap w:val="0"/>
                  <w:vAlign w:val="center"/>
                </w:tcPr>
                <w:p>
                  <w:pPr>
                    <w:keepNext w:val="0"/>
                    <w:keepLines w:val="0"/>
                    <w:pageBreakBefore w:val="0"/>
                    <w:widowControl w:val="0"/>
                    <w:suppressLineNumbers w:val="0"/>
                    <w:tabs>
                      <w:tab w:val="left" w:pos="2160"/>
                    </w:tabs>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 w:val="21"/>
                      <w:szCs w:val="21"/>
                    </w:rPr>
                    <w:t>一般在</w:t>
                  </w:r>
                  <w:r>
                    <w:rPr>
                      <w:rFonts w:hint="default" w:ascii="Times New Roman" w:hAnsi="Times New Roman" w:cs="Times New Roman" w:eastAsiaTheme="majorEastAsia"/>
                      <w:color w:val="auto"/>
                      <w:sz w:val="21"/>
                      <w:szCs w:val="21"/>
                      <w:lang w:val="en-US" w:eastAsia="zh-CN"/>
                    </w:rPr>
                    <w:t>95</w:t>
                  </w:r>
                  <w:r>
                    <w:rPr>
                      <w:rFonts w:hint="default" w:ascii="Times New Roman" w:hAnsi="Times New Roman" w:cs="Times New Roman" w:eastAsiaTheme="majorEastAsia"/>
                      <w:color w:val="auto"/>
                      <w:sz w:val="21"/>
                      <w:szCs w:val="21"/>
                    </w:rPr>
                    <w:t>%以上</w:t>
                  </w:r>
                </w:p>
              </w:tc>
            </w:tr>
          </w:tbl>
          <w:p>
            <w:pPr>
              <w:pStyle w:val="90"/>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eastAsiaTheme="majorEastAsia"/>
                <w:b/>
                <w:bCs/>
                <w:color w:val="auto"/>
                <w:kern w:val="2"/>
                <w:sz w:val="24"/>
                <w:szCs w:val="24"/>
                <w:lang w:val="en-US" w:eastAsia="zh-CN" w:bidi="ar-SA"/>
              </w:rPr>
            </w:pPr>
            <w:r>
              <w:rPr>
                <w:rFonts w:hint="default" w:ascii="Times New Roman" w:hAnsi="Times New Roman" w:cs="Times New Roman" w:eastAsiaTheme="majorEastAsia"/>
                <w:b/>
                <w:bCs/>
                <w:color w:val="auto"/>
                <w:kern w:val="2"/>
                <w:sz w:val="24"/>
                <w:szCs w:val="24"/>
                <w:lang w:val="en-US" w:eastAsia="zh-CN" w:bidi="ar-SA"/>
              </w:rPr>
              <w:t>风冷设施（风冷管）：</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b w:val="0"/>
                <w:bCs w:val="0"/>
                <w:color w:val="auto"/>
                <w:kern w:val="2"/>
                <w:sz w:val="24"/>
                <w:szCs w:val="24"/>
                <w:lang w:val="en-US" w:eastAsia="zh-CN" w:bidi="ar-SA"/>
              </w:rPr>
              <w:t>风冷管通常指的是利用热管技术进行导热，并最终通过空气（风扇或自然对流） 来散热的装置。它本身的核心导热部件是热管，而其散热方式是利用风冷。</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b w:val="0"/>
                <w:bCs w:val="0"/>
                <w:color w:val="auto"/>
                <w:kern w:val="2"/>
                <w:sz w:val="24"/>
                <w:szCs w:val="24"/>
                <w:lang w:val="en-US" w:eastAsia="zh-CN" w:bidi="ar-SA"/>
              </w:rPr>
              <w:t>热管工作原理：热管是一种高效的被动传热元件，其工作原理基于相变（液体蒸发和蒸汽凝结）和毛细作用。主要组成部分包括：①密封管壳：通常是铜或铝制的真空密封管；②毛细结构：附着在管壳内壁的多孔材料，如金属烧结粉末、金属丝网或沟槽③工作液体：管壳内充有少量易挥发的液体（如纯水、丙酮、氨等，取决于工作温度范围）。</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b w:val="0"/>
                <w:bCs w:val="0"/>
                <w:color w:val="auto"/>
                <w:kern w:val="2"/>
                <w:sz w:val="24"/>
                <w:szCs w:val="24"/>
                <w:lang w:val="en-US" w:eastAsia="zh-CN" w:bidi="ar-SA"/>
              </w:rPr>
              <w:t>风冷散热工作原理：热管本身只是高效地把热量从热源（热端）传递到了另一端（冷端）。要让热量最终散发到环境中，需要在冷端进行散热。风冷就是最常用的方式。</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b w:val="0"/>
                <w:bCs w:val="0"/>
                <w:color w:val="auto"/>
                <w:kern w:val="2"/>
                <w:sz w:val="24"/>
                <w:szCs w:val="24"/>
                <w:lang w:val="en-US" w:eastAsia="zh-CN" w:bidi="ar-SA"/>
              </w:rPr>
              <w:t>对照《关于做好建设项目挥发性有机物排放管理工作的意见（试行）》（通环办[2025]32号）中项目准入要求“新建项目按照‘最优的设计、先进的设备、最严的管理’进行把关”。本项目VOCs产生浓度较低，不适用燃烧法，因此本项目VOCs处置措施最优设计为二级活性炭吸附装置。</w:t>
            </w:r>
          </w:p>
          <w:p>
            <w:pPr>
              <w:pStyle w:val="90"/>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cs="Times New Roman" w:eastAsiaTheme="majorEastAsia"/>
                <w:b/>
                <w:bCs/>
                <w:color w:val="auto"/>
                <w:kern w:val="2"/>
                <w:sz w:val="24"/>
                <w:szCs w:val="24"/>
                <w:lang w:val="en-US" w:eastAsia="zh-CN" w:bidi="ar-SA"/>
              </w:rPr>
            </w:pPr>
            <w:r>
              <w:rPr>
                <w:rFonts w:hint="default" w:ascii="Times New Roman" w:hAnsi="Times New Roman" w:cs="Times New Roman" w:eastAsiaTheme="majorEastAsia"/>
                <w:b/>
                <w:bCs/>
                <w:color w:val="auto"/>
                <w:kern w:val="2"/>
                <w:sz w:val="24"/>
                <w:szCs w:val="24"/>
                <w:lang w:val="en-US" w:eastAsia="zh-CN" w:bidi="ar-SA"/>
              </w:rPr>
              <w:t>活性炭吸附原理：</w:t>
            </w:r>
          </w:p>
          <w:p>
            <w:pPr>
              <w:pStyle w:val="90"/>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b w:val="0"/>
                <w:bCs w:val="0"/>
                <w:color w:val="auto"/>
                <w:kern w:val="2"/>
                <w:sz w:val="24"/>
                <w:szCs w:val="24"/>
                <w:lang w:val="en-US" w:eastAsia="zh-CN" w:bidi="ar-SA"/>
              </w:rPr>
              <w:t>活性炭是木材、煤、果壳等含碳物质在高温缺氧条件下活化制成，它具有巨大的比表面积（500~1700m</w:t>
            </w:r>
            <w:r>
              <w:rPr>
                <w:rFonts w:hint="default" w:ascii="Times New Roman" w:hAnsi="Times New Roman" w:cs="Times New Roman" w:eastAsiaTheme="majorEastAsia"/>
                <w:b w:val="0"/>
                <w:bCs w:val="0"/>
                <w:color w:val="auto"/>
                <w:kern w:val="2"/>
                <w:sz w:val="24"/>
                <w:szCs w:val="24"/>
                <w:vertAlign w:val="superscript"/>
                <w:lang w:val="en-US" w:eastAsia="zh-CN" w:bidi="ar-SA"/>
              </w:rPr>
              <w:t>2</w:t>
            </w:r>
            <w:r>
              <w:rPr>
                <w:rFonts w:hint="default" w:ascii="Times New Roman" w:hAnsi="Times New Roman" w:cs="Times New Roman" w:eastAsiaTheme="majorEastAsia"/>
                <w:b w:val="0"/>
                <w:bCs w:val="0"/>
                <w:color w:val="auto"/>
                <w:kern w:val="2"/>
                <w:sz w:val="24"/>
                <w:szCs w:val="24"/>
                <w:lang w:val="en-US" w:eastAsia="zh-CN" w:bidi="ar-SA"/>
              </w:rPr>
              <w:t>/g）。活性炭吸附装置是一种高效经济实用型有机废气的净化与治理装置，具有吸附效率高、适用面广、维护方便，能同时处理多种混合废气等优点。当有机废气由风机提供动力，正压或负压进入塔体，由于活性炭固体表面上存在着未平衡和未饱和的分子引力或化学键力，因此当此固体表面与气体接触时，就能吸引气体分子，使其浓聚并保持在固体表面，污染物质及气味从而被吸附，废气经活性炭吸附装置处理后，净化气体高空达标排放。根据《大气中VOCS的污染现状及治理技术研究进展》（曲茉莉，黑龙江省环境监测中心站，黑龙江哈尔滨150056）中的数据，单级活性炭吸附装置对VOCs去除率可达70%，本项目采用二级活性炭吸附装置处理，废气处理效率=1-（1-0.7）2=91%，本项目取90%。</w:t>
            </w:r>
          </w:p>
          <w:p>
            <w:pPr>
              <w:pStyle w:val="12"/>
              <w:keepNext w:val="0"/>
              <w:keepLines w:val="0"/>
              <w:suppressLineNumbers w:val="0"/>
              <w:spacing w:before="0" w:beforeAutospacing="0" w:after="0" w:afterAutospacing="0"/>
              <w:ind w:right="0"/>
              <w:jc w:val="center"/>
              <w:rPr>
                <w:rFonts w:hint="default" w:ascii="Times New Roman" w:hAnsi="Times New Roman" w:cs="Times New Roman" w:eastAsiaTheme="majorEastAsia"/>
                <w:b/>
                <w:bCs/>
                <w:sz w:val="21"/>
                <w:szCs w:val="21"/>
                <w:lang w:val="en-US" w:eastAsia="zh-CN"/>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8</w:t>
            </w:r>
            <w:r>
              <w:rPr>
                <w:rFonts w:hint="default" w:ascii="Times New Roman" w:hAnsi="Times New Roman" w:cs="Times New Roman" w:eastAsiaTheme="majorEastAsia"/>
                <w:b/>
                <w:bCs/>
                <w:color w:val="auto"/>
                <w:sz w:val="24"/>
                <w:szCs w:val="24"/>
              </w:rPr>
              <w:t xml:space="preserve"> </w:t>
            </w:r>
            <w:r>
              <w:rPr>
                <w:rFonts w:hint="default" w:ascii="Times New Roman" w:hAnsi="Times New Roman" w:cs="Times New Roman" w:eastAsiaTheme="majorEastAsia"/>
                <w:b/>
                <w:bCs/>
                <w:sz w:val="21"/>
                <w:szCs w:val="21"/>
                <w:lang w:val="en-US" w:eastAsia="zh-CN"/>
              </w:rPr>
              <w:t>二级活性炭吸附装置技术参数一览表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61"/>
              <w:gridCol w:w="1715"/>
              <w:gridCol w:w="1995"/>
              <w:gridCol w:w="1410"/>
              <w:gridCol w:w="1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rPr>
                  </w:pPr>
                  <w:r>
                    <w:rPr>
                      <w:rFonts w:hint="default" w:ascii="Times New Roman" w:hAnsi="Times New Roman" w:cs="Times New Roman" w:eastAsiaTheme="majorEastAsia"/>
                      <w:b/>
                      <w:bCs/>
                      <w:color w:val="000000"/>
                      <w:sz w:val="21"/>
                      <w:szCs w:val="21"/>
                    </w:rPr>
                    <w:t>序号</w:t>
                  </w:r>
                </w:p>
              </w:tc>
              <w:tc>
                <w:tcPr>
                  <w:tcW w:w="68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rPr>
                  </w:pPr>
                  <w:r>
                    <w:rPr>
                      <w:rFonts w:hint="default" w:ascii="Times New Roman" w:hAnsi="Times New Roman" w:cs="Times New Roman" w:eastAsiaTheme="majorEastAsia"/>
                      <w:b/>
                      <w:bCs/>
                      <w:color w:val="000000"/>
                      <w:sz w:val="21"/>
                      <w:szCs w:val="21"/>
                    </w:rPr>
                    <w:t>项目</w:t>
                  </w:r>
                </w:p>
              </w:tc>
              <w:tc>
                <w:tcPr>
                  <w:tcW w:w="111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rPr>
                  </w:pPr>
                  <w:r>
                    <w:rPr>
                      <w:rFonts w:hint="default" w:ascii="Times New Roman" w:hAnsi="Times New Roman" w:cs="Times New Roman" w:eastAsiaTheme="majorEastAsia"/>
                      <w:b/>
                      <w:bCs/>
                      <w:color w:val="000000"/>
                      <w:sz w:val="21"/>
                      <w:szCs w:val="21"/>
                    </w:rPr>
                    <w:t>技术指标</w:t>
                  </w:r>
                </w:p>
              </w:tc>
              <w:tc>
                <w:tcPr>
                  <w:tcW w:w="1291"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rPr>
                  </w:pPr>
                  <w:r>
                    <w:rPr>
                      <w:rFonts w:hint="default" w:ascii="Times New Roman" w:hAnsi="Times New Roman" w:cs="Times New Roman" w:eastAsiaTheme="majorEastAsia"/>
                      <w:b/>
                      <w:bCs/>
                      <w:color w:val="000000"/>
                      <w:sz w:val="21"/>
                      <w:szCs w:val="21"/>
                    </w:rPr>
                    <w:t>《南通市废气活性炭吸附设施专项整治实施方案》规定</w:t>
                  </w:r>
                </w:p>
              </w:tc>
              <w:tc>
                <w:tcPr>
                  <w:tcW w:w="91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eastAsia="zh-CN"/>
                    </w:rPr>
                  </w:pPr>
                  <w:r>
                    <w:rPr>
                      <w:rFonts w:hint="default" w:ascii="Times New Roman" w:hAnsi="Times New Roman" w:cs="Times New Roman" w:eastAsiaTheme="majorEastAsia"/>
                      <w:b/>
                      <w:bCs/>
                      <w:color w:val="000000"/>
                      <w:sz w:val="21"/>
                      <w:szCs w:val="21"/>
                      <w:lang w:eastAsia="zh-CN"/>
                    </w:rPr>
                    <w:t>苏环办〔2022〕218号文</w:t>
                  </w:r>
                </w:p>
              </w:tc>
              <w:tc>
                <w:tcPr>
                  <w:tcW w:w="72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eastAsia="zh-CN"/>
                    </w:rPr>
                  </w:pPr>
                  <w:r>
                    <w:rPr>
                      <w:rFonts w:hint="default" w:ascii="Times New Roman" w:hAnsi="Times New Roman" w:cs="Times New Roman" w:eastAsiaTheme="majorEastAsia"/>
                      <w:b/>
                      <w:bCs/>
                      <w:color w:val="000000"/>
                      <w:sz w:val="21"/>
                      <w:szCs w:val="21"/>
                      <w:lang w:eastAsia="zh-CN"/>
                    </w:rPr>
                    <w:t>DB32/T5030-2025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p>
              </w:tc>
              <w:tc>
                <w:tcPr>
                  <w:tcW w:w="68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DA001</w:t>
                  </w:r>
                </w:p>
              </w:tc>
              <w:tc>
                <w:tcPr>
                  <w:tcW w:w="129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c>
                <w:tcPr>
                  <w:tcW w:w="91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c>
                <w:tcPr>
                  <w:tcW w:w="72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风机风量</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20</w:t>
                  </w:r>
                  <w:r>
                    <w:rPr>
                      <w:rFonts w:hint="default" w:ascii="Times New Roman" w:hAnsi="Times New Roman" w:cs="Times New Roman" w:eastAsiaTheme="majorEastAsia"/>
                      <w:sz w:val="21"/>
                      <w:szCs w:val="21"/>
                    </w:rPr>
                    <w:t>000</w:t>
                  </w:r>
                  <w:r>
                    <w:rPr>
                      <w:rStyle w:val="34"/>
                      <w:rFonts w:hint="default" w:ascii="Times New Roman" w:hAnsi="Times New Roman" w:cs="Times New Roman" w:eastAsiaTheme="majorEastAsia"/>
                      <w:kern w:val="0"/>
                      <w:sz w:val="21"/>
                      <w:szCs w:val="21"/>
                    </w:rPr>
                    <w:t>m</w:t>
                  </w:r>
                  <w:r>
                    <w:rPr>
                      <w:rStyle w:val="34"/>
                      <w:rFonts w:hint="default" w:ascii="Times New Roman" w:hAnsi="Times New Roman" w:cs="Times New Roman" w:eastAsiaTheme="majorEastAsia"/>
                      <w:kern w:val="0"/>
                      <w:sz w:val="21"/>
                      <w:szCs w:val="21"/>
                      <w:vertAlign w:val="superscript"/>
                    </w:rPr>
                    <w:t>3</w:t>
                  </w:r>
                  <w:r>
                    <w:rPr>
                      <w:rStyle w:val="34"/>
                      <w:rFonts w:hint="default" w:ascii="Times New Roman" w:hAnsi="Times New Roman" w:cs="Times New Roman" w:eastAsiaTheme="majorEastAsia"/>
                      <w:kern w:val="0"/>
                      <w:sz w:val="21"/>
                      <w:szCs w:val="21"/>
                    </w:rPr>
                    <w:t>/h</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箱体规格</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2.7×2.4×0.7m</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炭层规格</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2.5×2.2×0.3m</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层数</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2</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级数</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2</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活性炭类型</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颗粒活性炭</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w:t>
                  </w:r>
                </w:p>
              </w:tc>
              <w:tc>
                <w:tcPr>
                  <w:tcW w:w="686"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比表面积</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900-1600</w:t>
                  </w:r>
                  <w:r>
                    <w:rPr>
                      <w:rFonts w:hint="default" w:ascii="Times New Roman" w:hAnsi="Times New Roman" w:cs="Times New Roman" w:eastAsiaTheme="majorEastAsia"/>
                      <w:sz w:val="21"/>
                      <w:szCs w:val="21"/>
                    </w:rPr>
                    <w:t>m</w:t>
                  </w:r>
                  <w:r>
                    <w:rPr>
                      <w:rFonts w:hint="default" w:ascii="Times New Roman" w:hAnsi="Times New Roman" w:cs="Times New Roman" w:eastAsiaTheme="majorEastAsia"/>
                      <w:sz w:val="21"/>
                      <w:szCs w:val="21"/>
                      <w:vertAlign w:val="superscript"/>
                      <w:lang w:val="en-US" w:eastAsia="zh-CN"/>
                    </w:rPr>
                    <w:t>2</w:t>
                  </w:r>
                  <w:r>
                    <w:rPr>
                      <w:rFonts w:hint="default" w:ascii="Times New Roman" w:hAnsi="Times New Roman" w:cs="Times New Roman" w:eastAsiaTheme="majorEastAsia"/>
                      <w:sz w:val="21"/>
                      <w:szCs w:val="21"/>
                    </w:rPr>
                    <w:t>/</w:t>
                  </w:r>
                  <w:r>
                    <w:rPr>
                      <w:rFonts w:hint="default" w:ascii="Times New Roman" w:hAnsi="Times New Roman" w:cs="Times New Roman" w:eastAsiaTheme="majorEastAsia"/>
                      <w:sz w:val="21"/>
                      <w:szCs w:val="21"/>
                      <w:lang w:val="en-US" w:eastAsia="zh-CN"/>
                    </w:rPr>
                    <w:t>g</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≥750</w:t>
                  </w:r>
                  <w:r>
                    <w:rPr>
                      <w:rFonts w:hint="default" w:ascii="Times New Roman" w:hAnsi="Times New Roman" w:cs="Times New Roman" w:eastAsiaTheme="majorEastAsia"/>
                      <w:sz w:val="21"/>
                      <w:szCs w:val="21"/>
                    </w:rPr>
                    <w:t>m</w:t>
                  </w:r>
                  <w:r>
                    <w:rPr>
                      <w:rFonts w:hint="default" w:ascii="Times New Roman" w:hAnsi="Times New Roman" w:cs="Times New Roman" w:eastAsiaTheme="majorEastAsia"/>
                      <w:sz w:val="21"/>
                      <w:szCs w:val="21"/>
                      <w:vertAlign w:val="superscript"/>
                      <w:lang w:val="en-US" w:eastAsia="zh-CN"/>
                    </w:rPr>
                    <w:t>2</w:t>
                  </w:r>
                  <w:r>
                    <w:rPr>
                      <w:rFonts w:hint="default" w:ascii="Times New Roman" w:hAnsi="Times New Roman" w:cs="Times New Roman" w:eastAsiaTheme="majorEastAsia"/>
                      <w:sz w:val="21"/>
                      <w:szCs w:val="21"/>
                    </w:rPr>
                    <w:t>/</w:t>
                  </w:r>
                  <w:r>
                    <w:rPr>
                      <w:rFonts w:hint="default" w:ascii="Times New Roman" w:hAnsi="Times New Roman" w:cs="Times New Roman" w:eastAsiaTheme="majorEastAsia"/>
                      <w:sz w:val="21"/>
                      <w:szCs w:val="21"/>
                      <w:lang w:val="en-US" w:eastAsia="zh-CN"/>
                    </w:rPr>
                    <w:t>g</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≥850</w:t>
                  </w:r>
                  <w:r>
                    <w:rPr>
                      <w:rFonts w:hint="default" w:ascii="Times New Roman" w:hAnsi="Times New Roman" w:cs="Times New Roman" w:eastAsiaTheme="majorEastAsia"/>
                      <w:sz w:val="21"/>
                      <w:szCs w:val="21"/>
                    </w:rPr>
                    <w:t>m</w:t>
                  </w:r>
                  <w:r>
                    <w:rPr>
                      <w:rFonts w:hint="default" w:ascii="Times New Roman" w:hAnsi="Times New Roman" w:cs="Times New Roman" w:eastAsiaTheme="majorEastAsia"/>
                      <w:sz w:val="21"/>
                      <w:szCs w:val="21"/>
                      <w:vertAlign w:val="superscript"/>
                      <w:lang w:val="en-US" w:eastAsia="zh-CN"/>
                    </w:rPr>
                    <w:t>2</w:t>
                  </w:r>
                  <w:r>
                    <w:rPr>
                      <w:rFonts w:hint="default" w:ascii="Times New Roman" w:hAnsi="Times New Roman" w:cs="Times New Roman" w:eastAsiaTheme="majorEastAsia"/>
                      <w:sz w:val="21"/>
                      <w:szCs w:val="21"/>
                    </w:rPr>
                    <w:t>/</w:t>
                  </w:r>
                  <w:r>
                    <w:rPr>
                      <w:rFonts w:hint="default" w:ascii="Times New Roman" w:hAnsi="Times New Roman" w:cs="Times New Roman" w:eastAsiaTheme="majorEastAsia"/>
                      <w:sz w:val="21"/>
                      <w:szCs w:val="21"/>
                      <w:lang w:val="en-US" w:eastAsia="zh-CN"/>
                    </w:rPr>
                    <w:t>g</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孔体积</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bCs/>
                      <w:color w:val="000000"/>
                      <w:sz w:val="21"/>
                      <w:szCs w:val="21"/>
                      <w:lang w:val="en-US" w:eastAsia="zh-CN" w:bidi="ar-SA"/>
                    </w:rPr>
                  </w:pPr>
                  <w:r>
                    <w:rPr>
                      <w:rFonts w:hint="default" w:ascii="Times New Roman" w:hAnsi="Times New Roman" w:cs="Times New Roman" w:eastAsiaTheme="majorEastAsia"/>
                      <w:bCs/>
                      <w:color w:val="000000"/>
                      <w:sz w:val="21"/>
                      <w:szCs w:val="21"/>
                      <w:lang w:val="en-US" w:eastAsia="zh-CN"/>
                    </w:rPr>
                    <w:t>0.63</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9</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活性炭密度</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0.45</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0.35~0.6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val="en-US" w:eastAsia="zh-CN"/>
                    </w:rPr>
                    <w:t>停留时间</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1.19</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sz w:val="21"/>
                      <w:szCs w:val="21"/>
                    </w:rPr>
                    <w:t>碘值</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bCs/>
                      <w:color w:val="000000"/>
                      <w:sz w:val="21"/>
                      <w:szCs w:val="21"/>
                      <w:lang w:val="en-US" w:eastAsia="zh-CN" w:bidi="ar-SA"/>
                    </w:rPr>
                  </w:pPr>
                  <w:r>
                    <w:rPr>
                      <w:rFonts w:hint="default" w:ascii="Times New Roman" w:hAnsi="Times New Roman" w:cs="Times New Roman" w:eastAsiaTheme="majorEastAsia"/>
                      <w:bCs/>
                      <w:color w:val="000000"/>
                      <w:sz w:val="21"/>
                      <w:szCs w:val="21"/>
                      <w:lang w:val="en-US" w:eastAsia="zh-CN"/>
                    </w:rPr>
                    <w:t>≥800</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≥800mg/g</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rPr>
                  </w:pPr>
                  <w:r>
                    <w:rPr>
                      <w:rFonts w:hint="default" w:ascii="Times New Roman" w:hAnsi="Times New Roman" w:cs="Times New Roman" w:eastAsiaTheme="majorEastAsia"/>
                      <w:sz w:val="21"/>
                      <w:szCs w:val="21"/>
                      <w:lang w:val="en-US" w:eastAsia="zh-CN"/>
                    </w:rPr>
                    <w:t>＞800mg/g</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bCs/>
                      <w:color w:val="000000"/>
                      <w:sz w:val="21"/>
                      <w:szCs w:val="21"/>
                      <w:lang w:val="en-US" w:eastAsia="zh-CN"/>
                    </w:rPr>
                    <w:t>≥800mg/g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水分</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000000"/>
                      <w:sz w:val="21"/>
                      <w:szCs w:val="21"/>
                      <w:lang w:val="en-US" w:eastAsia="zh-CN" w:bidi="ar-SA"/>
                    </w:rPr>
                  </w:pPr>
                  <w:r>
                    <w:rPr>
                      <w:rFonts w:hint="default" w:ascii="Times New Roman" w:hAnsi="Times New Roman" w:cs="Times New Roman" w:eastAsiaTheme="majorEastAsia"/>
                      <w:color w:val="000000"/>
                      <w:sz w:val="21"/>
                      <w:szCs w:val="21"/>
                      <w:lang w:val="en-US" w:eastAsia="zh-CN"/>
                    </w:rPr>
                    <w:t>≤5%</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kern w:val="0"/>
                      <w:sz w:val="21"/>
                      <w:szCs w:val="21"/>
                    </w:rPr>
                    <w:t>灰份</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000000"/>
                      <w:sz w:val="21"/>
                      <w:szCs w:val="21"/>
                      <w:lang w:val="en-US" w:eastAsia="zh-CN" w:bidi="ar-SA"/>
                    </w:rPr>
                  </w:pPr>
                  <w:r>
                    <w:rPr>
                      <w:rFonts w:hint="default" w:ascii="Times New Roman" w:hAnsi="Times New Roman" w:cs="Times New Roman" w:eastAsiaTheme="majorEastAsia"/>
                      <w:color w:val="000000"/>
                      <w:sz w:val="21"/>
                      <w:szCs w:val="21"/>
                      <w:lang w:val="en-US" w:eastAsia="zh-CN"/>
                    </w:rPr>
                    <w:t>≤15%</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lang w:val="en-US" w:eastAsia="zh-CN"/>
                    </w:rPr>
                    <w:t>≤15%</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14</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抗压强度</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bCs/>
                      <w:color w:val="000000"/>
                      <w:sz w:val="21"/>
                      <w:szCs w:val="21"/>
                      <w:lang w:val="en-US" w:eastAsia="zh-CN" w:bidi="ar-SA"/>
                    </w:rPr>
                  </w:pPr>
                  <w:r>
                    <w:rPr>
                      <w:rFonts w:hint="default" w:ascii="Times New Roman" w:hAnsi="Times New Roman" w:cs="Times New Roman" w:eastAsiaTheme="majorEastAsia"/>
                      <w:bCs/>
                      <w:color w:val="000000"/>
                      <w:sz w:val="21"/>
                      <w:szCs w:val="21"/>
                      <w:lang w:val="en-US" w:eastAsia="zh-CN"/>
                    </w:rPr>
                    <w:t>横向0.3MPa；纵向0.8MPa</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rPr>
                  </w:pPr>
                  <w:r>
                    <w:rPr>
                      <w:rFonts w:hint="default" w:ascii="Times New Roman" w:hAnsi="Times New Roman" w:cs="Times New Roman" w:eastAsiaTheme="majorEastAsia"/>
                      <w:bCs/>
                      <w:color w:val="000000"/>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15</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气流速度</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sz w:val="21"/>
                      <w:szCs w:val="21"/>
                      <w:lang w:val="en-US" w:eastAsia="zh-CN" w:bidi="ar-SA"/>
                    </w:rPr>
                  </w:pPr>
                  <w:r>
                    <w:rPr>
                      <w:rFonts w:hint="default" w:ascii="Times New Roman" w:hAnsi="Times New Roman" w:cs="Times New Roman" w:eastAsiaTheme="majorEastAsia"/>
                      <w:sz w:val="21"/>
                      <w:szCs w:val="21"/>
                      <w:lang w:val="en-US" w:eastAsia="zh-CN"/>
                    </w:rPr>
                    <w:t>0.505m/s</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≤0.6m/s</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＜0.6m/s</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16</w:t>
                  </w:r>
                </w:p>
              </w:tc>
              <w:tc>
                <w:tcPr>
                  <w:tcW w:w="68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每套填充量</w:t>
                  </w:r>
                </w:p>
              </w:tc>
              <w:tc>
                <w:tcPr>
                  <w:tcW w:w="1110"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bCs/>
                      <w:color w:val="000000"/>
                      <w:sz w:val="21"/>
                      <w:szCs w:val="21"/>
                      <w:lang w:val="en-US" w:eastAsia="zh-CN" w:bidi="ar-SA"/>
                    </w:rPr>
                  </w:pPr>
                  <w:r>
                    <w:rPr>
                      <w:rFonts w:hint="default" w:ascii="Times New Roman" w:hAnsi="Times New Roman" w:cs="Times New Roman" w:eastAsiaTheme="majorEastAsia"/>
                      <w:bCs/>
                      <w:color w:val="000000"/>
                      <w:sz w:val="21"/>
                      <w:szCs w:val="21"/>
                      <w:lang w:val="en-US" w:eastAsia="zh-CN"/>
                    </w:rPr>
                    <w:t>2.97</w:t>
                  </w:r>
                </w:p>
              </w:tc>
              <w:tc>
                <w:tcPr>
                  <w:tcW w:w="129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c>
                <w:tcPr>
                  <w:tcW w:w="72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Cs/>
                      <w:color w:val="000000"/>
                      <w:sz w:val="21"/>
                      <w:szCs w:val="21"/>
                      <w:lang w:val="en-US" w:eastAsia="zh-CN"/>
                    </w:rPr>
                  </w:pPr>
                  <w:r>
                    <w:rPr>
                      <w:rFonts w:hint="default" w:ascii="Times New Roman" w:hAnsi="Times New Roman" w:cs="Times New Roman" w:eastAsiaTheme="majorEastAsia"/>
                      <w:bCs/>
                      <w:color w:val="000000"/>
                      <w:sz w:val="21"/>
                      <w:szCs w:val="21"/>
                      <w:lang w:val="en-US" w:eastAsia="zh-CN"/>
                    </w:rPr>
                    <w:t>/</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1）活性炭技术参数合理性分析：</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bCs/>
                <w:color w:val="auto"/>
                <w:sz w:val="24"/>
                <w:szCs w:val="24"/>
                <w:lang w:val="en-US" w:eastAsia="zh-CN"/>
              </w:rPr>
            </w:pPr>
            <w:r>
              <w:rPr>
                <w:rFonts w:hint="default" w:ascii="Times New Roman" w:hAnsi="Times New Roman" w:cs="Times New Roman" w:eastAsiaTheme="majorEastAsia"/>
                <w:b/>
                <w:bCs/>
                <w:color w:val="auto"/>
                <w:sz w:val="24"/>
                <w:szCs w:val="24"/>
                <w:lang w:val="en-US" w:eastAsia="zh-CN"/>
              </w:rPr>
              <w:t>DA001装置</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气流速度V=风量Q/炭层长度L/炭层宽度W</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lang w:val="en-US" w:eastAsia="zh-CN"/>
              </w:rPr>
            </w:pPr>
            <w:r>
              <w:rPr>
                <w:rFonts w:hint="default" w:ascii="Times New Roman" w:hAnsi="Times New Roman" w:cs="Times New Roman" w:eastAsiaTheme="majorEastAsia"/>
                <w:b w:val="0"/>
                <w:bCs w:val="0"/>
                <w:color w:val="auto"/>
                <w:sz w:val="24"/>
                <w:szCs w:val="24"/>
                <w:lang w:val="en-US" w:eastAsia="zh-CN"/>
              </w:rPr>
              <w:t>=（20000/3600）/2.5/2.2/2=0.505m/s；</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停留时间T=炭层厚度H/气体流速V</w:t>
            </w:r>
            <w:r>
              <w:rPr>
                <w:rFonts w:hint="default" w:ascii="Times New Roman" w:hAnsi="Times New Roman" w:cs="Times New Roman" w:eastAsiaTheme="majorEastAsia"/>
                <w:sz w:val="24"/>
                <w:szCs w:val="24"/>
                <w:lang w:val="en-US" w:eastAsia="zh-CN"/>
              </w:rPr>
              <w:t>×活性炭级数=0.3/0.505×2=1.19s；</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活性炭有效容积V=L炭层</w:t>
            </w:r>
            <w:r>
              <w:rPr>
                <w:rFonts w:hint="default" w:ascii="Times New Roman" w:hAnsi="Times New Roman" w:cs="Times New Roman" w:eastAsiaTheme="majorEastAsia"/>
                <w:sz w:val="24"/>
                <w:szCs w:val="24"/>
                <w:lang w:val="en-US" w:eastAsia="zh-CN"/>
              </w:rPr>
              <w:t>×W炭层×H炭层×层数=2.5×2.2×0.6=3.3m</w:t>
            </w:r>
            <w:r>
              <w:rPr>
                <w:rFonts w:hint="default" w:ascii="Times New Roman" w:hAnsi="Times New Roman" w:cs="Times New Roman" w:eastAsiaTheme="majorEastAsia"/>
                <w:sz w:val="24"/>
                <w:szCs w:val="24"/>
                <w:vertAlign w:val="superscript"/>
                <w:lang w:val="en-US" w:eastAsia="zh-CN"/>
              </w:rPr>
              <w:t>3</w:t>
            </w:r>
            <w:r>
              <w:rPr>
                <w:rFonts w:hint="default" w:ascii="Times New Roman" w:hAnsi="Times New Roman" w:cs="Times New Roman" w:eastAsiaTheme="majorEastAsia"/>
                <w:sz w:val="24"/>
                <w:szCs w:val="24"/>
                <w:lang w:val="en-US" w:eastAsia="zh-CN"/>
              </w:rPr>
              <w:t>；</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单套活性炭填充量M=活性炭密度ρ</w:t>
            </w:r>
            <w:r>
              <w:rPr>
                <w:rFonts w:hint="default" w:ascii="Times New Roman" w:hAnsi="Times New Roman" w:cs="Times New Roman" w:eastAsiaTheme="majorEastAsia"/>
                <w:sz w:val="24"/>
                <w:szCs w:val="24"/>
                <w:lang w:val="en-US" w:eastAsia="zh-CN"/>
              </w:rPr>
              <w:t>×容积V=0.45×3.3=1.485t，总填装量为2.97t。</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技术参数合理性分析：与《吸附法工业有机废气治理工程技术规范》（HJ2026-2013）、《工业有机废气治理用活性炭通用技术要求》（DB32/T5030-2025）相符性分析见表4-</w:t>
            </w:r>
            <w:r>
              <w:rPr>
                <w:rFonts w:hint="eastAsia" w:ascii="Times New Roman" w:hAnsi="Times New Roman" w:cs="Times New Roman" w:eastAsiaTheme="majorEastAsia"/>
                <w:b w:val="0"/>
                <w:bCs w:val="0"/>
                <w:color w:val="auto"/>
                <w:sz w:val="24"/>
                <w:szCs w:val="24"/>
                <w:lang w:val="en-US" w:eastAsia="zh-CN"/>
              </w:rPr>
              <w:t>9</w:t>
            </w:r>
            <w:r>
              <w:rPr>
                <w:rFonts w:hint="default" w:ascii="Times New Roman" w:hAnsi="Times New Roman" w:cs="Times New Roman" w:eastAsiaTheme="majorEastAsia"/>
                <w:b w:val="0"/>
                <w:bCs w:val="0"/>
                <w:color w:val="auto"/>
                <w:sz w:val="24"/>
                <w:szCs w:val="24"/>
                <w:lang w:val="en-US" w:eastAsia="zh-CN"/>
              </w:rPr>
              <w:t>、4-</w:t>
            </w:r>
            <w:r>
              <w:rPr>
                <w:rFonts w:hint="eastAsia" w:ascii="Times New Roman" w:hAnsi="Times New Roman" w:cs="Times New Roman" w:eastAsiaTheme="majorEastAsia"/>
                <w:b w:val="0"/>
                <w:bCs w:val="0"/>
                <w:color w:val="auto"/>
                <w:sz w:val="24"/>
                <w:szCs w:val="24"/>
                <w:lang w:val="en-US" w:eastAsia="zh-CN"/>
              </w:rPr>
              <w:t>10</w:t>
            </w:r>
            <w:r>
              <w:rPr>
                <w:rFonts w:hint="default" w:ascii="Times New Roman" w:hAnsi="Times New Roman" w:cs="Times New Roman" w:eastAsiaTheme="majorEastAsia"/>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ajorEastAsia"/>
                <w:b/>
                <w:color w:val="auto"/>
                <w:sz w:val="24"/>
                <w:szCs w:val="24"/>
              </w:rPr>
            </w:pPr>
            <w:r>
              <w:rPr>
                <w:rFonts w:hint="default" w:ascii="Times New Roman" w:hAnsi="Times New Roman" w:cs="Times New Roman" w:eastAsiaTheme="majorEastAsia"/>
                <w:b/>
                <w:bCs/>
                <w:color w:val="auto"/>
                <w:sz w:val="24"/>
                <w:szCs w:val="24"/>
                <w:highlight w:val="none"/>
              </w:rPr>
              <w:t>表</w:t>
            </w:r>
            <w:r>
              <w:rPr>
                <w:rFonts w:hint="default" w:ascii="Times New Roman" w:hAnsi="Times New Roman" w:cs="Times New Roman" w:eastAsiaTheme="majorEastAsia"/>
                <w:b/>
                <w:bCs/>
                <w:color w:val="auto"/>
                <w:sz w:val="24"/>
                <w:szCs w:val="24"/>
                <w:highlight w:val="none"/>
                <w:lang w:val="en-US" w:eastAsia="zh-CN"/>
              </w:rPr>
              <w:t>4-</w:t>
            </w:r>
            <w:r>
              <w:rPr>
                <w:rFonts w:hint="eastAsia" w:ascii="Times New Roman" w:hAnsi="Times New Roman" w:cs="Times New Roman" w:eastAsiaTheme="majorEastAsia"/>
                <w:b/>
                <w:bCs/>
                <w:color w:val="auto"/>
                <w:sz w:val="24"/>
                <w:szCs w:val="24"/>
                <w:highlight w:val="none"/>
                <w:lang w:val="en-US" w:eastAsia="zh-CN"/>
              </w:rPr>
              <w:t>9</w:t>
            </w:r>
            <w:r>
              <w:rPr>
                <w:rFonts w:hint="default" w:ascii="Times New Roman" w:hAnsi="Times New Roman" w:cs="Times New Roman" w:eastAsiaTheme="majorEastAsia"/>
                <w:b/>
                <w:bCs/>
                <w:color w:val="auto"/>
                <w:sz w:val="24"/>
                <w:szCs w:val="24"/>
                <w:highlight w:val="none"/>
              </w:rPr>
              <w:t xml:space="preserve"> 与《吸附法工业有机废气治理工程技术规范》（HJ2026-2013）相符性</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33"/>
              <w:gridCol w:w="33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
                      <w:bCs w:val="0"/>
                      <w:color w:val="auto"/>
                      <w:sz w:val="21"/>
                      <w:szCs w:val="21"/>
                    </w:rPr>
                  </w:pPr>
                  <w:r>
                    <w:rPr>
                      <w:rFonts w:hint="default" w:ascii="Times New Roman" w:hAnsi="Times New Roman" w:cs="Times New Roman" w:eastAsiaTheme="majorEastAsia"/>
                      <w:b/>
                      <w:bCs w:val="0"/>
                      <w:color w:val="auto"/>
                      <w:sz w:val="21"/>
                      <w:szCs w:val="21"/>
                    </w:rPr>
                    <w:t>相关要求</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
                      <w:bCs w:val="0"/>
                      <w:color w:val="auto"/>
                      <w:sz w:val="21"/>
                      <w:szCs w:val="21"/>
                    </w:rPr>
                  </w:pPr>
                  <w:r>
                    <w:rPr>
                      <w:rFonts w:hint="default" w:ascii="Times New Roman" w:hAnsi="Times New Roman" w:cs="Times New Roman" w:eastAsiaTheme="majorEastAsia"/>
                      <w:b/>
                      <w:bCs w:val="0"/>
                      <w:color w:val="auto"/>
                      <w:sz w:val="21"/>
                      <w:szCs w:val="21"/>
                    </w:rPr>
                    <w:t>项目相符性分析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一般规定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进行工艺路线选择之前，根据废气中有机物的回收价值和处理费用进行经济核算，优先选用回收工艺</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本项目有机废气无法回收利用</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治理工程的处理能力应根据废气的处理量确定，设计风量宜按照最大废气排放量的120%进行设计</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经与环保设备设计单位核实，设计风量考虑风损等因素，</w:t>
                  </w:r>
                  <w:r>
                    <w:rPr>
                      <w:rFonts w:hint="default" w:ascii="Times New Roman" w:hAnsi="Times New Roman" w:cs="Times New Roman" w:eastAsiaTheme="majorEastAsia"/>
                      <w:bCs/>
                      <w:color w:val="auto"/>
                      <w:sz w:val="21"/>
                      <w:szCs w:val="21"/>
                      <w:lang w:eastAsia="zh-CN"/>
                    </w:rPr>
                    <w:t>按照</w:t>
                  </w:r>
                  <w:r>
                    <w:rPr>
                      <w:rFonts w:hint="default" w:ascii="Times New Roman" w:hAnsi="Times New Roman" w:cs="Times New Roman" w:eastAsiaTheme="majorEastAsia"/>
                      <w:bCs/>
                      <w:color w:val="auto"/>
                      <w:sz w:val="21"/>
                      <w:szCs w:val="21"/>
                    </w:rPr>
                    <w:t>最大废气排放量的110%~120%进行设计</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吸附装置的净化效率不得低于90%</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本项目设置二级活性炭，保证二级活性炭吸附效率达90%，符合</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排气筒的设计应满足GB 50051的规定</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000" w:type="pct"/>
                  <w:gridSpan w:val="2"/>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工艺设计要求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废气收集系统设计应符合GB 50019的规定</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应尽可能利用主体生产装置本身的集气系统进行收集。集气罩的配置应与生产工艺协调一致，不影响工艺操作。在保证收集能力的前提下，应结构简单，便于安装和维护管理</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经与环保设备设计单位核实，集气罩的配置应与生产工艺协调一致，不影响工艺操作，便于操作和维护</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确定集气罩的吸气口位置、结构和风速时，应使罩口呈微负压状态，且罩内负压均匀</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经与环保设备设计单位核实，本项目使用负压集气罩</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集气罩的吸气方向应尽可能与污染气流运动方向一致，防止吸气罩周围气流紊乱，避免或减弱干扰气流和送风气流等对吸气气流的影响</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经与环保设备设计单位核实，本项目集气罩设计与其相符</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当废气产生点较多、彼此距离较远时，应适当分设多套收集系统</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本项目各产污点分别设置集气罩，设置多套收集系统</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蜂窝活性炭和蜂窝分子筛的横向强度应不低于0.3MPa，纵向强度应不低于0.8MPa，蜂窝活性的BET比表面积应不低于750m</w:t>
                  </w:r>
                  <w:r>
                    <w:rPr>
                      <w:rFonts w:hint="default" w:ascii="Times New Roman" w:hAnsi="Times New Roman" w:cs="Times New Roman" w:eastAsiaTheme="majorEastAsia"/>
                      <w:bCs/>
                      <w:color w:val="auto"/>
                      <w:sz w:val="21"/>
                      <w:szCs w:val="21"/>
                      <w:vertAlign w:val="superscript"/>
                    </w:rPr>
                    <w:t>2</w:t>
                  </w:r>
                  <w:r>
                    <w:rPr>
                      <w:rFonts w:hint="default" w:ascii="Times New Roman" w:hAnsi="Times New Roman" w:cs="Times New Roman" w:eastAsiaTheme="majorEastAsia"/>
                      <w:bCs/>
                      <w:color w:val="auto"/>
                      <w:sz w:val="21"/>
                      <w:szCs w:val="21"/>
                    </w:rPr>
                    <w:t>/g，蜂窝分子筛的BET比表面积应不低于35m</w:t>
                  </w:r>
                  <w:r>
                    <w:rPr>
                      <w:rFonts w:hint="default" w:ascii="Times New Roman" w:hAnsi="Times New Roman" w:cs="Times New Roman" w:eastAsiaTheme="majorEastAsia"/>
                      <w:bCs/>
                      <w:color w:val="auto"/>
                      <w:sz w:val="21"/>
                      <w:szCs w:val="21"/>
                      <w:vertAlign w:val="superscript"/>
                    </w:rPr>
                    <w:t>2</w:t>
                  </w:r>
                  <w:r>
                    <w:rPr>
                      <w:rFonts w:hint="default" w:ascii="Times New Roman" w:hAnsi="Times New Roman" w:cs="Times New Roman" w:eastAsiaTheme="majorEastAsia"/>
                      <w:bCs/>
                      <w:color w:val="auto"/>
                      <w:sz w:val="21"/>
                      <w:szCs w:val="21"/>
                    </w:rPr>
                    <w:t>/g</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经与环保设备设计单位核实，本项目使用的</w:t>
                  </w:r>
                  <w:r>
                    <w:rPr>
                      <w:rFonts w:hint="default" w:ascii="Times New Roman" w:hAnsi="Times New Roman" w:cs="Times New Roman" w:eastAsiaTheme="majorEastAsia"/>
                      <w:bCs/>
                      <w:color w:val="auto"/>
                      <w:sz w:val="21"/>
                      <w:szCs w:val="21"/>
                      <w:lang w:val="en-US" w:eastAsia="zh-CN"/>
                    </w:rPr>
                    <w:t>颗粒</w:t>
                  </w:r>
                  <w:r>
                    <w:rPr>
                      <w:rFonts w:hint="default" w:ascii="Times New Roman" w:hAnsi="Times New Roman" w:cs="Times New Roman" w:eastAsiaTheme="majorEastAsia"/>
                      <w:bCs/>
                      <w:color w:val="auto"/>
                      <w:sz w:val="21"/>
                      <w:szCs w:val="21"/>
                    </w:rPr>
                    <w:t>活性炭比表面积</w:t>
                  </w:r>
                  <w:r>
                    <w:rPr>
                      <w:rFonts w:hint="default" w:ascii="Times New Roman" w:hAnsi="Times New Roman" w:cs="Times New Roman" w:eastAsiaTheme="majorEastAsia"/>
                      <w:bCs/>
                      <w:color w:val="auto"/>
                      <w:sz w:val="21"/>
                      <w:szCs w:val="21"/>
                      <w:lang w:val="en-US" w:eastAsia="zh-CN"/>
                    </w:rPr>
                    <w:t>900</w:t>
                  </w:r>
                  <w:r>
                    <w:rPr>
                      <w:rFonts w:hint="default" w:ascii="Times New Roman" w:hAnsi="Times New Roman" w:cs="Times New Roman" w:eastAsiaTheme="majorEastAsia"/>
                      <w:bCs/>
                      <w:color w:val="auto"/>
                      <w:sz w:val="21"/>
                      <w:szCs w:val="21"/>
                    </w:rPr>
                    <w:t>~1600m</w:t>
                  </w:r>
                  <w:r>
                    <w:rPr>
                      <w:rFonts w:hint="default" w:ascii="Times New Roman" w:hAnsi="Times New Roman" w:cs="Times New Roman" w:eastAsiaTheme="majorEastAsia"/>
                      <w:bCs/>
                      <w:color w:val="auto"/>
                      <w:sz w:val="21"/>
                      <w:szCs w:val="21"/>
                      <w:vertAlign w:val="superscript"/>
                    </w:rPr>
                    <w:t>2</w:t>
                  </w:r>
                  <w:r>
                    <w:rPr>
                      <w:rFonts w:hint="default" w:ascii="Times New Roman" w:hAnsi="Times New Roman" w:cs="Times New Roman" w:eastAsiaTheme="majorEastAsia"/>
                      <w:bCs/>
                      <w:color w:val="auto"/>
                      <w:sz w:val="21"/>
                      <w:szCs w:val="21"/>
                    </w:rPr>
                    <w:t>/g，符合要求</w:t>
                  </w:r>
                  <w:r>
                    <w:rPr>
                      <w:rFonts w:hint="default" w:ascii="Times New Roman" w:hAnsi="Times New Roman" w:cs="Times New Roman" w:eastAsiaTheme="majorEastAsia"/>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80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固定床吸附装置吸附层的气体流速应根据吸附剂的形态确定。采用颗粒状吸附剂时，气体流速宜低于0.60m/s；采用纤维状吸附剂</w:t>
                  </w:r>
                  <w:r>
                    <w:rPr>
                      <w:rFonts w:hint="default" w:ascii="Times New Roman" w:hAnsi="Times New Roman" w:cs="Times New Roman" w:eastAsiaTheme="majorEastAsia"/>
                      <w:bCs/>
                      <w:color w:val="auto"/>
                      <w:sz w:val="21"/>
                      <w:szCs w:val="21"/>
                      <w:lang w:eastAsia="zh-CN"/>
                    </w:rPr>
                    <w:t>（</w:t>
                  </w:r>
                  <w:r>
                    <w:rPr>
                      <w:rFonts w:hint="default" w:ascii="Times New Roman" w:hAnsi="Times New Roman" w:cs="Times New Roman" w:eastAsiaTheme="majorEastAsia"/>
                      <w:bCs/>
                      <w:color w:val="auto"/>
                      <w:sz w:val="21"/>
                      <w:szCs w:val="21"/>
                    </w:rPr>
                    <w:t>活性炭纤维毡</w:t>
                  </w:r>
                  <w:r>
                    <w:rPr>
                      <w:rFonts w:hint="default" w:ascii="Times New Roman" w:hAnsi="Times New Roman" w:cs="Times New Roman" w:eastAsiaTheme="majorEastAsia"/>
                      <w:bCs/>
                      <w:color w:val="auto"/>
                      <w:sz w:val="21"/>
                      <w:szCs w:val="21"/>
                      <w:lang w:eastAsia="zh-CN"/>
                    </w:rPr>
                    <w:t>）</w:t>
                  </w:r>
                  <w:r>
                    <w:rPr>
                      <w:rFonts w:hint="default" w:ascii="Times New Roman" w:hAnsi="Times New Roman" w:cs="Times New Roman" w:eastAsiaTheme="majorEastAsia"/>
                      <w:bCs/>
                      <w:color w:val="auto"/>
                      <w:sz w:val="21"/>
                      <w:szCs w:val="21"/>
                    </w:rPr>
                    <w:t>时，气体流速宜低于0.15m/s；采用蜂窝状吸附剂时，气体流速宜低于1.20m/s</w:t>
                  </w:r>
                </w:p>
              </w:tc>
              <w:tc>
                <w:tcPr>
                  <w:tcW w:w="219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本项目活性炭吸附装置过滤风速低于</w:t>
                  </w:r>
                  <w:r>
                    <w:rPr>
                      <w:rFonts w:hint="default" w:ascii="Times New Roman" w:hAnsi="Times New Roman" w:cs="Times New Roman" w:eastAsiaTheme="majorEastAsia"/>
                      <w:bCs/>
                      <w:color w:val="auto"/>
                      <w:sz w:val="21"/>
                      <w:szCs w:val="21"/>
                      <w:lang w:val="en-US" w:eastAsia="zh-CN"/>
                    </w:rPr>
                    <w:t>0.6</w:t>
                  </w:r>
                  <w:r>
                    <w:rPr>
                      <w:rFonts w:hint="default" w:ascii="Times New Roman" w:hAnsi="Times New Roman" w:cs="Times New Roman" w:eastAsiaTheme="majorEastAsia"/>
                      <w:bCs/>
                      <w:color w:val="auto"/>
                      <w:sz w:val="21"/>
                      <w:szCs w:val="21"/>
                    </w:rPr>
                    <w:t>m/s，符合要求</w:t>
                  </w:r>
                  <w:r>
                    <w:rPr>
                      <w:rFonts w:hint="default" w:ascii="Times New Roman" w:hAnsi="Times New Roman" w:cs="Times New Roman" w:eastAsiaTheme="majorEastAsia"/>
                      <w:bCs/>
                      <w:color w:val="auto"/>
                      <w:sz w:val="21"/>
                      <w:szCs w:val="21"/>
                      <w:lang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ajorEastAsia"/>
                <w:b/>
                <w:bCs/>
                <w:color w:val="auto"/>
                <w:sz w:val="24"/>
                <w:szCs w:val="24"/>
                <w:highlight w:val="none"/>
              </w:rPr>
            </w:pPr>
            <w:r>
              <w:rPr>
                <w:rFonts w:hint="default" w:ascii="Times New Roman" w:hAnsi="Times New Roman" w:cs="Times New Roman" w:eastAsiaTheme="majorEastAsia"/>
                <w:b/>
                <w:bCs/>
                <w:color w:val="auto"/>
                <w:sz w:val="24"/>
                <w:szCs w:val="24"/>
                <w:highlight w:val="none"/>
              </w:rPr>
              <w:t>表</w:t>
            </w:r>
            <w:r>
              <w:rPr>
                <w:rFonts w:hint="default" w:ascii="Times New Roman" w:hAnsi="Times New Roman" w:cs="Times New Roman" w:eastAsiaTheme="majorEastAsia"/>
                <w:b/>
                <w:bCs/>
                <w:color w:val="auto"/>
                <w:sz w:val="24"/>
                <w:szCs w:val="24"/>
                <w:highlight w:val="none"/>
                <w:lang w:val="en-US" w:eastAsia="zh-CN"/>
              </w:rPr>
              <w:t>4-</w:t>
            </w:r>
            <w:r>
              <w:rPr>
                <w:rFonts w:hint="eastAsia" w:ascii="Times New Roman" w:hAnsi="Times New Roman" w:cs="Times New Roman" w:eastAsiaTheme="majorEastAsia"/>
                <w:b/>
                <w:bCs/>
                <w:color w:val="auto"/>
                <w:sz w:val="24"/>
                <w:szCs w:val="24"/>
                <w:highlight w:val="none"/>
                <w:lang w:val="en-US" w:eastAsia="zh-CN"/>
              </w:rPr>
              <w:t>10</w:t>
            </w:r>
            <w:r>
              <w:rPr>
                <w:rFonts w:hint="default" w:ascii="Times New Roman" w:hAnsi="Times New Roman" w:cs="Times New Roman" w:eastAsiaTheme="majorEastAsia"/>
                <w:b/>
                <w:bCs/>
                <w:color w:val="auto"/>
                <w:sz w:val="24"/>
                <w:szCs w:val="24"/>
                <w:highlight w:val="none"/>
              </w:rPr>
              <w:t xml:space="preserve"> 与《工业有机废气治理用活性炭通用技术要求》（DB32/T5030-2025）相符性分析</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78"/>
              <w:gridCol w:w="2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
                      <w:bCs w:val="0"/>
                      <w:color w:val="auto"/>
                      <w:sz w:val="21"/>
                      <w:szCs w:val="21"/>
                    </w:rPr>
                  </w:pPr>
                  <w:r>
                    <w:rPr>
                      <w:rFonts w:hint="default" w:ascii="Times New Roman" w:hAnsi="Times New Roman" w:cs="Times New Roman" w:eastAsiaTheme="majorEastAsia"/>
                      <w:b/>
                      <w:bCs w:val="0"/>
                      <w:color w:val="auto"/>
                      <w:sz w:val="21"/>
                      <w:szCs w:val="21"/>
                    </w:rPr>
                    <w:t>相关要求</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
                      <w:bCs w:val="0"/>
                      <w:color w:val="auto"/>
                      <w:sz w:val="21"/>
                      <w:szCs w:val="21"/>
                    </w:rPr>
                  </w:pPr>
                  <w:r>
                    <w:rPr>
                      <w:rFonts w:hint="default" w:ascii="Times New Roman" w:hAnsi="Times New Roman" w:cs="Times New Roman" w:eastAsiaTheme="majorEastAsia"/>
                      <w:b/>
                      <w:bCs w:val="0"/>
                      <w:color w:val="auto"/>
                      <w:sz w:val="21"/>
                      <w:szCs w:val="21"/>
                    </w:rPr>
                    <w:t>项目相符性分析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lang w:val="en-US" w:eastAsia="zh-CN"/>
                    </w:rPr>
                    <w:t>一、设计风量</w:t>
                  </w:r>
                </w:p>
                <w:p>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lang w:val="en-US" w:eastAsia="zh-CN"/>
                    </w:rPr>
                    <w:t>涉VOCs排放工序应在密闭空间中操作或采用全密闭集气罩收集，无法密闭采用局部集气罩的，应根据废气排放特点合理选择收集点位，按《排风罩的分类和技术条件》（GB/T 16758）规定，设置能有效收集废气的集气罩，距集气罩开口面最远处的VOCs无组织排放位置，控制风速不低于0.3米/秒。</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lang w:val="en-US" w:eastAsia="zh-CN"/>
                    </w:rPr>
                    <w:t>活性炭吸附装置风机应满足依据车间集气罩形状、大小数量及控制风速等测算的风量所需，达不到要求的通过更换大功率风机、增设烟道风机、增加垂帘等方式进行改造</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rPr>
                    <w:t>本项目</w:t>
                  </w:r>
                  <w:r>
                    <w:rPr>
                      <w:rFonts w:hint="default" w:ascii="Times New Roman" w:hAnsi="Times New Roman" w:cs="Times New Roman" w:eastAsiaTheme="majorEastAsia"/>
                      <w:bCs/>
                      <w:color w:val="auto"/>
                      <w:sz w:val="21"/>
                      <w:szCs w:val="21"/>
                      <w:lang w:val="en-US" w:eastAsia="zh-CN"/>
                    </w:rPr>
                    <w:t>规范设置废气采用通风橱收集，废气收集率达到90%，符合要求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lang w:val="en-US" w:eastAsia="zh-CN"/>
                    </w:rPr>
                    <w:t>二、设备质量</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lang w:val="en-US" w:eastAsia="zh-CN"/>
                    </w:rPr>
                    <w:t>无论是卧式活性炭罐还是箱式活性炭罐内部结构应设计合理（参见附件1），气体流通顺畅、无短路、无死角。活性炭吸附装置的门、焊缝、管道连接处等均应严密，不得漏气，所有螺栓、螺母均应经过表面处理，连接牢固。金属材质装置外壳应采用不锈钢或防腐处理，表面光洁不得有锈蚀、毛刺、凹凸不平等缺陷。</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lang w:val="en-US" w:eastAsia="zh-CN"/>
                    </w:rPr>
                  </w:pPr>
                  <w:r>
                    <w:rPr>
                      <w:rFonts w:hint="default" w:ascii="Times New Roman" w:hAnsi="Times New Roman" w:cs="Times New Roman" w:eastAsiaTheme="majorEastAsia"/>
                      <w:bCs/>
                      <w:color w:val="auto"/>
                      <w:sz w:val="21"/>
                      <w:szCs w:val="21"/>
                      <w:lang w:val="en-US" w:eastAsia="zh-CN"/>
                    </w:rPr>
                    <w:t>排放风机宜安装在吸附装置后端，使装置形成负压，尽量保证无污染气体泄漏到设备箱罐体体外。</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lang w:val="en-US" w:eastAsia="zh-CN"/>
                    </w:rPr>
                    <w:t xml:space="preserve">应在活性炭吸附装置进气和出气管道上设置采样口，采样口设置应符合《环境保护产品技术要求工业废气吸附净化装置HJ/T 386-2007》的要求，便于日常监测活性炭吸附效率。根据活性炭更换周期及时更换活性炭，更换下来的活性炭按危险废物处理。 采用活性炭吸附装置的企业应配备VOCs快速监测设备。 </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rPr>
                    <w:t>本项目</w:t>
                  </w:r>
                  <w:r>
                    <w:rPr>
                      <w:rFonts w:hint="default" w:ascii="Times New Roman" w:hAnsi="Times New Roman" w:cs="Times New Roman" w:eastAsiaTheme="majorEastAsia"/>
                      <w:bCs/>
                      <w:color w:val="auto"/>
                      <w:sz w:val="21"/>
                      <w:szCs w:val="21"/>
                      <w:lang w:val="en-US" w:eastAsia="zh-CN"/>
                    </w:rPr>
                    <w:t>向正规厂家采购全新活性炭装置，根据</w:t>
                  </w:r>
                  <w:r>
                    <w:rPr>
                      <w:rFonts w:hint="default" w:ascii="Times New Roman" w:hAnsi="Times New Roman" w:cs="Times New Roman" w:eastAsiaTheme="majorEastAsia"/>
                      <w:bCs/>
                      <w:color w:val="auto"/>
                      <w:sz w:val="21"/>
                      <w:szCs w:val="21"/>
                    </w:rPr>
                    <w:t>《省生态环境厅关于将排污单位活性炭使用更换纳入排污许可管理的通知》（苏环办〔2021〕218号）</w:t>
                  </w:r>
                  <w:r>
                    <w:rPr>
                      <w:rFonts w:hint="default" w:ascii="Times New Roman" w:hAnsi="Times New Roman" w:cs="Times New Roman" w:eastAsiaTheme="majorEastAsia"/>
                      <w:bCs/>
                      <w:color w:val="auto"/>
                      <w:sz w:val="21"/>
                      <w:szCs w:val="21"/>
                      <w:lang w:eastAsia="zh-CN"/>
                    </w:rPr>
                    <w:t>要求更换活性炭</w:t>
                  </w:r>
                  <w:r>
                    <w:rPr>
                      <w:rFonts w:hint="default" w:ascii="Times New Roman" w:hAnsi="Times New Roman" w:cs="Times New Roman" w:eastAsiaTheme="majorEastAsia"/>
                      <w:bCs/>
                      <w:color w:val="auto"/>
                      <w:sz w:val="21"/>
                      <w:szCs w:val="21"/>
                      <w:lang w:val="en-US" w:eastAsia="zh-CN"/>
                    </w:rPr>
                    <w:t>，更换下来的活性炭委托有资质单位处理，配备VOCs快速监测设备，符合要求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三、气体流速</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吸附装置吸附层的气体流速应根据吸附剂的形态确定。采用颗粒活性炭时，气体流速宜低于0.60m/s，装填厚度不得低于0.4m。活性炭应装填齐整，避免气流短路；采用活性炭纤维时，气体流速宜低于0.15m/s；采用蜂窝活性炭时，气体流速宜低于1.20m/s。</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本项目活性炭吸附装置过滤风速低于</w:t>
                  </w:r>
                  <w:r>
                    <w:rPr>
                      <w:rFonts w:hint="default" w:ascii="Times New Roman" w:hAnsi="Times New Roman" w:cs="Times New Roman" w:eastAsiaTheme="majorEastAsia"/>
                      <w:bCs/>
                      <w:color w:val="auto"/>
                      <w:sz w:val="21"/>
                      <w:szCs w:val="21"/>
                      <w:lang w:val="en-US" w:eastAsia="zh-CN"/>
                    </w:rPr>
                    <w:t>0.6</w:t>
                  </w:r>
                  <w:r>
                    <w:rPr>
                      <w:rFonts w:hint="default" w:ascii="Times New Roman" w:hAnsi="Times New Roman" w:cs="Times New Roman" w:eastAsiaTheme="majorEastAsia"/>
                      <w:bCs/>
                      <w:color w:val="auto"/>
                      <w:sz w:val="21"/>
                      <w:szCs w:val="21"/>
                    </w:rPr>
                    <w:t>m/s，符合要求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四、废气预处理</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进入吸附设备的废气颗粒物含量和温度应分别低于1mg/m</w:t>
                  </w:r>
                  <w:r>
                    <w:rPr>
                      <w:rFonts w:hint="default" w:ascii="Times New Roman" w:hAnsi="Times New Roman" w:cs="Times New Roman" w:eastAsiaTheme="majorEastAsia"/>
                      <w:bCs/>
                      <w:color w:val="auto"/>
                      <w:sz w:val="21"/>
                      <w:szCs w:val="21"/>
                      <w:vertAlign w:val="superscript"/>
                      <w:lang w:val="en-US" w:eastAsia="zh-CN"/>
                    </w:rPr>
                    <w:t>3</w:t>
                  </w:r>
                  <w:r>
                    <w:rPr>
                      <w:rFonts w:hint="default" w:ascii="Times New Roman" w:hAnsi="Times New Roman" w:cs="Times New Roman" w:eastAsiaTheme="majorEastAsia"/>
                      <w:bCs/>
                      <w:color w:val="auto"/>
                      <w:sz w:val="21"/>
                      <w:szCs w:val="21"/>
                    </w:rPr>
                    <w:t>和40℃，若颗粒物含量超过1mg</w:t>
                  </w:r>
                  <w:r>
                    <w:rPr>
                      <w:rFonts w:hint="default" w:ascii="Times New Roman" w:hAnsi="Times New Roman" w:cs="Times New Roman" w:eastAsiaTheme="majorEastAsia"/>
                      <w:bCs/>
                      <w:color w:val="auto"/>
                      <w:sz w:val="21"/>
                      <w:szCs w:val="21"/>
                      <w:lang w:val="en-US" w:eastAsia="zh-CN"/>
                    </w:rPr>
                    <w:t>/</w:t>
                  </w:r>
                  <w:r>
                    <w:rPr>
                      <w:rFonts w:hint="default" w:ascii="Times New Roman" w:hAnsi="Times New Roman" w:cs="Times New Roman" w:eastAsiaTheme="majorEastAsia"/>
                      <w:bCs/>
                      <w:color w:val="auto"/>
                      <w:sz w:val="21"/>
                      <w:szCs w:val="21"/>
                    </w:rPr>
                    <w:t>m</w:t>
                  </w:r>
                  <w:r>
                    <w:rPr>
                      <w:rFonts w:hint="default" w:ascii="Times New Roman" w:hAnsi="Times New Roman" w:cs="Times New Roman" w:eastAsiaTheme="majorEastAsia"/>
                      <w:bCs/>
                      <w:color w:val="auto"/>
                      <w:sz w:val="21"/>
                      <w:szCs w:val="21"/>
                      <w:vertAlign w:val="superscript"/>
                      <w:lang w:val="en-US" w:eastAsia="zh-CN"/>
                    </w:rPr>
                    <w:t>3</w:t>
                  </w:r>
                  <w:r>
                    <w:rPr>
                      <w:rFonts w:hint="default" w:ascii="Times New Roman" w:hAnsi="Times New Roman" w:cs="Times New Roman" w:eastAsiaTheme="majorEastAsia"/>
                      <w:bCs/>
                      <w:color w:val="auto"/>
                      <w:sz w:val="21"/>
                      <w:szCs w:val="21"/>
                    </w:rPr>
                    <w:t>时，应先采用过滤或洗涤等方式进行预处理。</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活性炭对酸性废气吸附效果较差，且酸性气体易对设备本体造成腐蚀，应先采用洗涤进行预处理。</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企业应制订定期更换过滤材料的设备运行维护规程，保障活性炭在低颗粒物、低含水率条件下使用。</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lang w:eastAsia="zh-CN"/>
                    </w:rPr>
                    <w:t>本项目活性炭吸附装置前先采用</w:t>
                  </w:r>
                  <w:r>
                    <w:rPr>
                      <w:rFonts w:hint="default" w:ascii="Times New Roman" w:hAnsi="Times New Roman" w:cs="Times New Roman" w:eastAsiaTheme="majorEastAsia"/>
                      <w:bCs/>
                      <w:color w:val="auto"/>
                      <w:sz w:val="21"/>
                      <w:szCs w:val="21"/>
                      <w:lang w:val="en-US" w:eastAsia="zh-CN"/>
                    </w:rPr>
                    <w:t>风冷管降低废气温度</w:t>
                  </w:r>
                  <w:r>
                    <w:rPr>
                      <w:rFonts w:hint="default" w:ascii="Times New Roman" w:hAnsi="Times New Roman" w:cs="Times New Roman" w:eastAsiaTheme="majorEastAsia"/>
                      <w:bCs/>
                      <w:color w:val="auto"/>
                      <w:sz w:val="21"/>
                      <w:szCs w:val="21"/>
                      <w:lang w:eastAsia="zh-CN"/>
                    </w:rPr>
                    <w:t>，，本项目不涉及酸性废气，符合要求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五、活性炭质量</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颗粒活性炭碘吸附值≥800mg/g，比表面积≥850m</w:t>
                  </w:r>
                  <w:r>
                    <w:rPr>
                      <w:rFonts w:hint="default" w:ascii="Times New Roman" w:hAnsi="Times New Roman" w:cs="Times New Roman" w:eastAsiaTheme="majorEastAsia"/>
                      <w:bCs/>
                      <w:color w:val="auto"/>
                      <w:sz w:val="21"/>
                      <w:szCs w:val="21"/>
                      <w:vertAlign w:val="superscript"/>
                    </w:rPr>
                    <w:t>2</w:t>
                  </w:r>
                  <w:r>
                    <w:rPr>
                      <w:rFonts w:hint="default" w:ascii="Times New Roman" w:hAnsi="Times New Roman" w:cs="Times New Roman" w:eastAsiaTheme="majorEastAsia"/>
                      <w:bCs/>
                      <w:color w:val="auto"/>
                      <w:sz w:val="21"/>
                      <w:szCs w:val="21"/>
                    </w:rPr>
                    <w:t>/g；蜂窝活性炭横向抗压强度应不低于0.9MPa，纵向强度应不低于0.4MPa，碘吸附值≥650mg/g，比表面积≥750m</w:t>
                  </w:r>
                  <w:r>
                    <w:rPr>
                      <w:rFonts w:hint="default" w:ascii="Times New Roman" w:hAnsi="Times New Roman" w:cs="Times New Roman" w:eastAsiaTheme="majorEastAsia"/>
                      <w:bCs/>
                      <w:color w:val="auto"/>
                      <w:sz w:val="21"/>
                      <w:szCs w:val="21"/>
                      <w:vertAlign w:val="superscript"/>
                    </w:rPr>
                    <w:t>2</w:t>
                  </w:r>
                  <w:r>
                    <w:rPr>
                      <w:rFonts w:hint="default" w:ascii="Times New Roman" w:hAnsi="Times New Roman" w:cs="Times New Roman" w:eastAsiaTheme="majorEastAsia"/>
                      <w:bCs/>
                      <w:color w:val="auto"/>
                      <w:sz w:val="21"/>
                      <w:szCs w:val="21"/>
                    </w:rPr>
                    <w:t>/g。工业有机废气治理用活性炭常规及推荐技术指标详见附件2。</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企业应备好所购活性炭厂家关于活性炭碘值、比表面积等相关证明材料。</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本项目</w:t>
                  </w:r>
                  <w:r>
                    <w:rPr>
                      <w:rFonts w:hint="default" w:ascii="Times New Roman" w:hAnsi="Times New Roman" w:cs="Times New Roman" w:eastAsiaTheme="majorEastAsia"/>
                      <w:bCs/>
                      <w:color w:val="auto"/>
                      <w:sz w:val="21"/>
                      <w:szCs w:val="21"/>
                      <w:lang w:eastAsia="zh-CN"/>
                    </w:rPr>
                    <w:t>符合</w:t>
                  </w:r>
                  <w:r>
                    <w:rPr>
                      <w:rFonts w:hint="default" w:ascii="Times New Roman" w:hAnsi="Times New Roman" w:cs="Times New Roman" w:eastAsiaTheme="majorEastAsia"/>
                      <w:bCs/>
                      <w:color w:val="auto"/>
                      <w:sz w:val="21"/>
                      <w:szCs w:val="21"/>
                      <w:lang w:val="en-US" w:eastAsia="zh-CN"/>
                    </w:rPr>
                    <w:t>《吸附法工业有机废气治理工程技术规范》（HJ 2026-2013）规定。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3"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六、活性炭填充量</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cs="Times New Roman" w:eastAsiaTheme="majorEastAsia"/>
                      <w:bCs/>
                      <w:color w:val="auto"/>
                      <w:sz w:val="21"/>
                      <w:szCs w:val="21"/>
                    </w:rPr>
                  </w:pPr>
                  <w:r>
                    <w:rPr>
                      <w:rFonts w:hint="default" w:ascii="Times New Roman" w:hAnsi="Times New Roman" w:cs="Times New Roman" w:eastAsiaTheme="majorEastAsia"/>
                      <w:bCs/>
                      <w:color w:val="auto"/>
                      <w:sz w:val="21"/>
                      <w:szCs w:val="21"/>
                    </w:rPr>
                    <w:t>采用一次性颗粒状活性炭处理VOCs废气，年活性炭使用量不应低于VOCs产生量的5倍，即1吨VOCs产生量，需5吨活性炭用于吸附。活性炭更换周期一般不应超过累计运行500小时或3个月，更换周期计算按《省生态环境厅关于将排污单位活性炭使用更换纳入排污许可管理的通知》有关要求执行。</w:t>
                  </w:r>
                </w:p>
              </w:tc>
              <w:tc>
                <w:tcPr>
                  <w:tcW w:w="1776" w:type="pct"/>
                  <w:tcBorders>
                    <w:tl2br w:val="nil"/>
                    <w:tr2bl w:val="nil"/>
                  </w:tcBorders>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Cs/>
                      <w:color w:val="auto"/>
                      <w:sz w:val="21"/>
                      <w:szCs w:val="21"/>
                      <w:lang w:eastAsia="zh-CN"/>
                    </w:rPr>
                  </w:pPr>
                  <w:r>
                    <w:rPr>
                      <w:rFonts w:hint="default" w:ascii="Times New Roman" w:hAnsi="Times New Roman" w:cs="Times New Roman" w:eastAsiaTheme="majorEastAsia"/>
                      <w:bCs/>
                      <w:color w:val="auto"/>
                      <w:sz w:val="21"/>
                      <w:szCs w:val="21"/>
                      <w:lang w:eastAsia="zh-CN"/>
                    </w:rPr>
                    <w:t>本项目活性炭填充量满足</w:t>
                  </w:r>
                  <w:r>
                    <w:rPr>
                      <w:rFonts w:hint="default" w:ascii="Times New Roman" w:hAnsi="Times New Roman" w:cs="Times New Roman" w:eastAsiaTheme="majorEastAsia"/>
                      <w:bCs/>
                      <w:color w:val="auto"/>
                      <w:sz w:val="21"/>
                      <w:szCs w:val="21"/>
                    </w:rPr>
                    <w:t>《省生态环境厅关于将排污单位活性炭使用更换纳入排污许可管理的通知》（苏环办〔2021〕218号）</w:t>
                  </w:r>
                  <w:r>
                    <w:rPr>
                      <w:rFonts w:hint="default" w:ascii="Times New Roman" w:hAnsi="Times New Roman" w:cs="Times New Roman" w:eastAsiaTheme="majorEastAsia"/>
                      <w:bCs/>
                      <w:color w:val="auto"/>
                      <w:sz w:val="21"/>
                      <w:szCs w:val="21"/>
                      <w:lang w:eastAsia="zh-CN"/>
                    </w:rPr>
                    <w:t>要求</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lang w:val="en-US" w:eastAsia="zh-CN"/>
              </w:rPr>
            </w:pPr>
            <w:r>
              <w:rPr>
                <w:rFonts w:hint="default" w:ascii="Times New Roman" w:hAnsi="Times New Roman" w:cs="Times New Roman" w:eastAsiaTheme="majorEastAsia"/>
                <w:b w:val="0"/>
                <w:bCs w:val="0"/>
                <w:color w:val="auto"/>
                <w:sz w:val="24"/>
                <w:szCs w:val="24"/>
                <w:lang w:val="en-US" w:eastAsia="zh-CN"/>
              </w:rPr>
              <w:t>2）活性炭更换时间计算：</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根据《省生态环境厅关于将排污单位活性炭使用更换纳入排污许可管理的通知》</w:t>
            </w:r>
            <w:r>
              <w:rPr>
                <w:rFonts w:hint="default" w:ascii="Times New Roman" w:hAnsi="Times New Roman" w:cs="Times New Roman" w:eastAsiaTheme="majorEastAsia"/>
                <w:color w:val="auto"/>
                <w:kern w:val="2"/>
                <w:sz w:val="24"/>
                <w:szCs w:val="24"/>
                <w:lang w:eastAsia="zh-CN"/>
              </w:rPr>
              <w:t>（</w:t>
            </w:r>
            <w:r>
              <w:rPr>
                <w:rFonts w:hint="default" w:ascii="Times New Roman" w:hAnsi="Times New Roman" w:cs="Times New Roman" w:eastAsiaTheme="majorEastAsia"/>
                <w:color w:val="auto"/>
                <w:kern w:val="2"/>
                <w:sz w:val="24"/>
                <w:szCs w:val="24"/>
                <w:lang w:val="en-US" w:eastAsia="zh-CN"/>
              </w:rPr>
              <w:t>苏环办[2021]218号</w:t>
            </w:r>
            <w:r>
              <w:rPr>
                <w:rFonts w:hint="default" w:ascii="Times New Roman" w:hAnsi="Times New Roman" w:cs="Times New Roman" w:eastAsiaTheme="majorEastAsia"/>
                <w:color w:val="auto"/>
                <w:kern w:val="2"/>
                <w:sz w:val="24"/>
                <w:szCs w:val="24"/>
                <w:lang w:eastAsia="zh-CN"/>
              </w:rPr>
              <w:t>）</w:t>
            </w:r>
            <w:r>
              <w:rPr>
                <w:rFonts w:hint="default" w:ascii="Times New Roman" w:hAnsi="Times New Roman" w:cs="Times New Roman" w:eastAsiaTheme="majorEastAsia"/>
                <w:color w:val="auto"/>
                <w:kern w:val="2"/>
                <w:sz w:val="24"/>
                <w:szCs w:val="24"/>
              </w:rPr>
              <w:t>，</w:t>
            </w:r>
            <w:r>
              <w:rPr>
                <w:rFonts w:hint="default" w:ascii="Times New Roman" w:hAnsi="Times New Roman" w:cs="Times New Roman" w:eastAsiaTheme="majorEastAsia"/>
                <w:color w:val="auto"/>
                <w:kern w:val="2"/>
                <w:sz w:val="24"/>
                <w:szCs w:val="24"/>
                <w:lang w:val="en-US" w:eastAsia="zh-CN"/>
              </w:rPr>
              <w:t>根据以下公示计算活性炭</w:t>
            </w:r>
            <w:r>
              <w:rPr>
                <w:rFonts w:hint="default" w:ascii="Times New Roman" w:hAnsi="Times New Roman" w:cs="Times New Roman" w:eastAsiaTheme="majorEastAsia"/>
                <w:color w:val="auto"/>
                <w:kern w:val="2"/>
                <w:sz w:val="24"/>
                <w:szCs w:val="24"/>
              </w:rPr>
              <w:t>更换周期：</w:t>
            </w:r>
          </w:p>
          <w:p>
            <w:pPr>
              <w:pStyle w:val="11"/>
              <w:keepNext w:val="0"/>
              <w:keepLines w:val="0"/>
              <w:suppressLineNumbers w:val="0"/>
              <w:spacing w:before="0" w:beforeAutospacing="0" w:after="0" w:afterAutospacing="0" w:line="360" w:lineRule="auto"/>
              <w:ind w:left="0" w:right="0" w:firstLine="480"/>
              <w:jc w:val="center"/>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T=m×s÷（c×10</w:t>
            </w:r>
            <w:r>
              <w:rPr>
                <w:rFonts w:hint="default" w:ascii="Times New Roman" w:hAnsi="Times New Roman" w:cs="Times New Roman" w:eastAsiaTheme="majorEastAsia"/>
                <w:color w:val="auto"/>
                <w:kern w:val="2"/>
                <w:sz w:val="24"/>
                <w:szCs w:val="24"/>
                <w:vertAlign w:val="superscript"/>
              </w:rPr>
              <w:t>-6</w:t>
            </w:r>
            <w:r>
              <w:rPr>
                <w:rFonts w:hint="default" w:ascii="Times New Roman" w:hAnsi="Times New Roman" w:cs="Times New Roman" w:eastAsiaTheme="majorEastAsia"/>
                <w:color w:val="auto"/>
                <w:kern w:val="2"/>
                <w:sz w:val="24"/>
                <w:szCs w:val="24"/>
              </w:rPr>
              <w:t>×Q×t）</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式中：</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T—更换周期，天；</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m—活性炭的用量，kg；</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s—动态吸附量，%；（一般取值10%）</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c—活性炭削减的VOCs浓度，mg/m</w:t>
            </w:r>
            <w:r>
              <w:rPr>
                <w:rFonts w:hint="default" w:ascii="Times New Roman" w:hAnsi="Times New Roman" w:cs="Times New Roman" w:eastAsiaTheme="majorEastAsia"/>
                <w:color w:val="auto"/>
                <w:kern w:val="2"/>
                <w:sz w:val="24"/>
                <w:szCs w:val="24"/>
                <w:vertAlign w:val="superscript"/>
              </w:rPr>
              <w:t>3</w:t>
            </w:r>
            <w:r>
              <w:rPr>
                <w:rFonts w:hint="default" w:ascii="Times New Roman" w:hAnsi="Times New Roman" w:cs="Times New Roman" w:eastAsiaTheme="majorEastAsia"/>
                <w:color w:val="auto"/>
                <w:kern w:val="2"/>
                <w:sz w:val="24"/>
                <w:szCs w:val="24"/>
              </w:rPr>
              <w:t>；</w:t>
            </w:r>
          </w:p>
          <w:p>
            <w:pPr>
              <w:pStyle w:val="11"/>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auto"/>
                <w:kern w:val="2"/>
                <w:sz w:val="24"/>
                <w:szCs w:val="24"/>
              </w:rPr>
            </w:pPr>
            <w:r>
              <w:rPr>
                <w:rFonts w:hint="default" w:ascii="Times New Roman" w:hAnsi="Times New Roman" w:cs="Times New Roman" w:eastAsiaTheme="majorEastAsia"/>
                <w:color w:val="auto"/>
                <w:kern w:val="2"/>
                <w:sz w:val="24"/>
                <w:szCs w:val="24"/>
              </w:rPr>
              <w:t>Q—风量，单位m</w:t>
            </w:r>
            <w:r>
              <w:rPr>
                <w:rFonts w:hint="default" w:ascii="Times New Roman" w:hAnsi="Times New Roman" w:cs="Times New Roman" w:eastAsiaTheme="majorEastAsia"/>
                <w:color w:val="auto"/>
                <w:kern w:val="2"/>
                <w:sz w:val="24"/>
                <w:szCs w:val="24"/>
                <w:vertAlign w:val="superscript"/>
              </w:rPr>
              <w:t>3</w:t>
            </w:r>
            <w:r>
              <w:rPr>
                <w:rFonts w:hint="default" w:ascii="Times New Roman" w:hAnsi="Times New Roman" w:cs="Times New Roman" w:eastAsiaTheme="majorEastAsia"/>
                <w:color w:val="auto"/>
                <w:kern w:val="2"/>
                <w:sz w:val="24"/>
                <w:szCs w:val="24"/>
              </w:rPr>
              <w:t>/h；</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val="0"/>
                <w:bCs w:val="0"/>
                <w:color w:val="auto"/>
                <w:sz w:val="24"/>
                <w:szCs w:val="24"/>
              </w:rPr>
            </w:pPr>
            <w:r>
              <w:rPr>
                <w:rFonts w:hint="default" w:ascii="Times New Roman" w:hAnsi="Times New Roman" w:cs="Times New Roman" w:eastAsiaTheme="majorEastAsia"/>
                <w:color w:val="auto"/>
                <w:kern w:val="2"/>
                <w:sz w:val="24"/>
                <w:szCs w:val="24"/>
              </w:rPr>
              <w:t>t—运行时间，单位h/d。</w:t>
            </w:r>
          </w:p>
          <w:p>
            <w:pPr>
              <w:pStyle w:val="22"/>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11</w:t>
            </w:r>
            <w:r>
              <w:rPr>
                <w:rFonts w:hint="default" w:ascii="Times New Roman" w:hAnsi="Times New Roman" w:cs="Times New Roman" w:eastAsiaTheme="majorEastAsia"/>
                <w:b/>
                <w:bCs/>
                <w:color w:val="auto"/>
                <w:sz w:val="24"/>
                <w:szCs w:val="24"/>
              </w:rPr>
              <w:t xml:space="preserve"> 活性炭更换周期计算一览表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89"/>
              <w:gridCol w:w="617"/>
              <w:gridCol w:w="748"/>
              <w:gridCol w:w="878"/>
              <w:gridCol w:w="878"/>
              <w:gridCol w:w="878"/>
              <w:gridCol w:w="878"/>
              <w:gridCol w:w="878"/>
              <w:gridCol w:w="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705"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位置</w:t>
                  </w:r>
                </w:p>
              </w:tc>
              <w:tc>
                <w:tcPr>
                  <w:tcW w:w="399"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活性炭填充量（kg）</w:t>
                  </w:r>
                </w:p>
              </w:tc>
              <w:tc>
                <w:tcPr>
                  <w:tcW w:w="484"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bCs/>
                      <w:color w:val="auto"/>
                      <w:kern w:val="2"/>
                      <w:sz w:val="24"/>
                      <w:szCs w:val="24"/>
                    </w:rPr>
                    <w:t>动态吸附量</w:t>
                  </w:r>
                  <w:r>
                    <w:rPr>
                      <w:rFonts w:hint="default" w:ascii="Times New Roman" w:hAnsi="Times New Roman" w:cs="Times New Roman" w:eastAsiaTheme="majorEastAsia"/>
                      <w:b/>
                      <w:color w:val="auto"/>
                      <w:szCs w:val="21"/>
                    </w:rPr>
                    <w:t xml:space="preserve"> （%）</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削减浓度 （mg/m</w:t>
                  </w:r>
                  <w:r>
                    <w:rPr>
                      <w:rFonts w:hint="default" w:ascii="Times New Roman" w:hAnsi="Times New Roman" w:cs="Times New Roman" w:eastAsiaTheme="majorEastAsia"/>
                      <w:b/>
                      <w:color w:val="auto"/>
                      <w:szCs w:val="21"/>
                      <w:vertAlign w:val="superscript"/>
                    </w:rPr>
                    <w:t>3</w:t>
                  </w:r>
                  <w:r>
                    <w:rPr>
                      <w:rFonts w:hint="default" w:ascii="Times New Roman" w:hAnsi="Times New Roman" w:cs="Times New Roman" w:eastAsiaTheme="majorEastAsia"/>
                      <w:b/>
                      <w:color w:val="auto"/>
                      <w:szCs w:val="21"/>
                    </w:rPr>
                    <w:t>）</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风量（m</w:t>
                  </w:r>
                  <w:r>
                    <w:rPr>
                      <w:rFonts w:hint="default" w:ascii="Times New Roman" w:hAnsi="Times New Roman" w:cs="Times New Roman" w:eastAsiaTheme="majorEastAsia"/>
                      <w:b/>
                      <w:color w:val="auto"/>
                      <w:szCs w:val="21"/>
                      <w:vertAlign w:val="superscript"/>
                    </w:rPr>
                    <w:t>3</w:t>
                  </w:r>
                  <w:r>
                    <w:rPr>
                      <w:rFonts w:hint="default" w:ascii="Times New Roman" w:hAnsi="Times New Roman" w:cs="Times New Roman" w:eastAsiaTheme="majorEastAsia"/>
                      <w:b/>
                      <w:color w:val="auto"/>
                      <w:szCs w:val="21"/>
                    </w:rPr>
                    <w:t>/h）</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工作时间（h/d）</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lang w:val="en-US" w:eastAsia="zh-CN"/>
                    </w:rPr>
                  </w:pPr>
                  <w:r>
                    <w:rPr>
                      <w:rFonts w:hint="default" w:ascii="Times New Roman" w:hAnsi="Times New Roman" w:cs="Times New Roman" w:eastAsiaTheme="majorEastAsia"/>
                      <w:b/>
                      <w:color w:val="auto"/>
                      <w:szCs w:val="21"/>
                      <w:lang w:val="en-US" w:eastAsia="zh-CN"/>
                    </w:rPr>
                    <w:t>更换周期（天）</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lang w:val="en-US" w:eastAsia="zh-CN"/>
                    </w:rPr>
                  </w:pPr>
                  <w:r>
                    <w:rPr>
                      <w:rFonts w:hint="default" w:ascii="Times New Roman" w:hAnsi="Times New Roman" w:cs="Times New Roman" w:eastAsiaTheme="majorEastAsia"/>
                      <w:b/>
                      <w:color w:val="auto"/>
                      <w:szCs w:val="21"/>
                      <w:lang w:val="en-US" w:eastAsia="zh-CN"/>
                    </w:rPr>
                    <w:t>年更换频次（次）</w:t>
                  </w:r>
                </w:p>
              </w:tc>
              <w:tc>
                <w:tcPr>
                  <w:tcW w:w="568" w:type="pct"/>
                  <w:tcBorders>
                    <w:tl2br w:val="nil"/>
                    <w:tr2bl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color w:val="auto"/>
                      <w:szCs w:val="21"/>
                      <w:lang w:val="en-US" w:eastAsia="zh-CN"/>
                    </w:rPr>
                  </w:pPr>
                  <w:r>
                    <w:rPr>
                      <w:rFonts w:hint="default" w:ascii="Times New Roman" w:hAnsi="Times New Roman" w:cs="Times New Roman" w:eastAsiaTheme="majorEastAsia"/>
                      <w:b/>
                      <w:color w:val="auto"/>
                      <w:szCs w:val="21"/>
                      <w:lang w:val="en-US" w:eastAsia="zh-CN"/>
                    </w:rPr>
                    <w:t>活性炭更换量（kg/a）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70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rPr>
                    <w:t>DA00</w:t>
                  </w:r>
                  <w:r>
                    <w:rPr>
                      <w:rFonts w:hint="default" w:ascii="Times New Roman" w:hAnsi="Times New Roman" w:cs="Times New Roman" w:eastAsiaTheme="majorEastAsia"/>
                      <w:color w:val="auto"/>
                      <w:szCs w:val="21"/>
                      <w:lang w:val="en-US" w:eastAsia="zh-CN"/>
                    </w:rPr>
                    <w:t>1</w:t>
                  </w:r>
                </w:p>
              </w:tc>
              <w:tc>
                <w:tcPr>
                  <w:tcW w:w="39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2970</w:t>
                  </w:r>
                </w:p>
              </w:tc>
              <w:tc>
                <w:tcPr>
                  <w:tcW w:w="4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10</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16.7355</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20000</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24</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36</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9</w:t>
                  </w:r>
                </w:p>
              </w:tc>
              <w:tc>
                <w:tcPr>
                  <w:tcW w:w="56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default" w:ascii="Times New Roman" w:hAnsi="Times New Roman" w:cs="Times New Roman" w:eastAsiaTheme="majorEastAsia"/>
                      <w:color w:val="auto"/>
                      <w:szCs w:val="21"/>
                      <w:lang w:val="en-US" w:eastAsia="zh-CN"/>
                    </w:rPr>
                    <w:t>26730</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b/>
                <w:bCs/>
                <w:color w:val="000000"/>
                <w:sz w:val="24"/>
                <w:szCs w:val="24"/>
                <w:shd w:val="clear" w:color="auto" w:fill="auto"/>
                <w:lang w:val="en-US" w:eastAsia="zh-CN"/>
              </w:rPr>
            </w:pPr>
            <w:r>
              <w:rPr>
                <w:rFonts w:hint="default" w:ascii="Times New Roman" w:hAnsi="Times New Roman" w:cs="Times New Roman" w:eastAsiaTheme="majorEastAsia"/>
                <w:b/>
                <w:bCs/>
                <w:color w:val="000000"/>
                <w:sz w:val="24"/>
                <w:szCs w:val="24"/>
                <w:lang w:val="en-US" w:eastAsia="zh-CN"/>
              </w:rPr>
              <w:t>（4）</w:t>
            </w:r>
            <w:r>
              <w:rPr>
                <w:rFonts w:hint="default" w:ascii="Times New Roman" w:hAnsi="Times New Roman" w:cs="Times New Roman" w:eastAsiaTheme="majorEastAsia"/>
                <w:b/>
                <w:bCs/>
                <w:color w:val="000000"/>
                <w:sz w:val="24"/>
                <w:szCs w:val="24"/>
                <w:shd w:val="clear" w:color="auto" w:fill="auto"/>
                <w:lang w:val="en-US" w:eastAsia="zh-CN"/>
              </w:rPr>
              <w:t>生产设施非正常工况分析</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本项目非正常工况主要是生产运行阶段的开、停车、检修、操作不正常或设备故障等，不包括事故排放。在车间开工时，首先运行所有的废气处理装置，然后再开启车间的工艺流程，使在生产中所使用的各类化学品所产生的废气都能及时得到处理。车间停工时，所有的废气处理装置继续运转，待工艺中的废气没有排出之后才逐台关闭。这样，车间在开、停车时排出污染物均得到有效处理，经排气简排出的污染物浓度和正常生产时基本一致。废气处理系统和排风机均设有保安电源。各种状态下均能保证正常运行。</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本工程排风系统均设有安全保护电源和报警系统，设备每年检修一次，基本上能保证无故障运行。日常运行中，若出现故障，检修人员可立即到现场进行维修，一般操作在10分钟内基本上可以完成，预计最长不会超过 30分钟。因此，企业在加强管理的情况下可避免非正常工况污染物排放的影响。</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b/>
                <w:bCs/>
                <w:color w:val="000000"/>
                <w:sz w:val="24"/>
                <w:szCs w:val="24"/>
              </w:rPr>
              <w:t>表</w:t>
            </w:r>
            <w:r>
              <w:rPr>
                <w:rFonts w:hint="default" w:ascii="Times New Roman" w:hAnsi="Times New Roman" w:cs="Times New Roman" w:eastAsiaTheme="majorEastAsia"/>
                <w:b/>
                <w:bCs/>
                <w:color w:val="000000"/>
                <w:sz w:val="24"/>
                <w:szCs w:val="24"/>
                <w:lang w:val="en-US" w:eastAsia="zh-CN"/>
              </w:rPr>
              <w:t>4-</w:t>
            </w:r>
            <w:r>
              <w:rPr>
                <w:rFonts w:hint="eastAsia" w:ascii="Times New Roman" w:hAnsi="Times New Roman" w:cs="Times New Roman" w:eastAsiaTheme="majorEastAsia"/>
                <w:b/>
                <w:bCs/>
                <w:color w:val="000000"/>
                <w:sz w:val="24"/>
                <w:szCs w:val="24"/>
                <w:lang w:val="en-US" w:eastAsia="zh-CN"/>
              </w:rPr>
              <w:t>12</w:t>
            </w:r>
            <w:r>
              <w:rPr>
                <w:rFonts w:hint="default" w:ascii="Times New Roman" w:hAnsi="Times New Roman" w:cs="Times New Roman" w:eastAsiaTheme="majorEastAsia"/>
                <w:b/>
                <w:bCs/>
                <w:color w:val="000000"/>
                <w:sz w:val="24"/>
                <w:szCs w:val="24"/>
              </w:rPr>
              <w:t xml:space="preserve"> </w:t>
            </w:r>
            <w:r>
              <w:rPr>
                <w:rFonts w:hint="default" w:ascii="Times New Roman" w:hAnsi="Times New Roman" w:cs="Times New Roman" w:eastAsiaTheme="majorEastAsia"/>
                <w:b/>
                <w:bCs/>
                <w:color w:val="000000"/>
                <w:sz w:val="24"/>
                <w:szCs w:val="24"/>
                <w:lang w:val="en-US" w:eastAsia="zh-CN"/>
              </w:rPr>
              <w:t>本项目废气非正常排放源强等参数一览表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277"/>
              <w:gridCol w:w="428"/>
              <w:gridCol w:w="431"/>
              <w:gridCol w:w="1204"/>
              <w:gridCol w:w="1034"/>
              <w:gridCol w:w="1321"/>
              <w:gridCol w:w="10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非正常排放源</w:t>
                  </w:r>
                </w:p>
              </w:tc>
              <w:tc>
                <w:tcPr>
                  <w:tcW w:w="82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非正常排放原因</w:t>
                  </w:r>
                </w:p>
              </w:tc>
              <w:tc>
                <w:tcPr>
                  <w:tcW w:w="556"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污染物</w:t>
                  </w:r>
                </w:p>
              </w:tc>
              <w:tc>
                <w:tcPr>
                  <w:tcW w:w="7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非正常排放浓度（mg/m</w:t>
                  </w:r>
                  <w:r>
                    <w:rPr>
                      <w:rFonts w:hint="default" w:ascii="Times New Roman" w:hAnsi="Times New Roman" w:cs="Times New Roman" w:eastAsiaTheme="majorEastAsia"/>
                      <w:b/>
                      <w:bCs/>
                      <w:color w:val="000000"/>
                      <w:sz w:val="21"/>
                      <w:szCs w:val="21"/>
                      <w:vertAlign w:val="superscript"/>
                      <w:lang w:val="en-US" w:eastAsia="zh-CN"/>
                    </w:rPr>
                    <w:t>3</w:t>
                  </w:r>
                  <w:r>
                    <w:rPr>
                      <w:rFonts w:hint="default" w:ascii="Times New Roman" w:hAnsi="Times New Roman" w:cs="Times New Roman" w:eastAsiaTheme="majorEastAsia"/>
                      <w:b/>
                      <w:bCs/>
                      <w:color w:val="000000"/>
                      <w:sz w:val="21"/>
                      <w:szCs w:val="21"/>
                      <w:lang w:val="en-US" w:eastAsia="zh-CN"/>
                    </w:rPr>
                    <w:t>）</w:t>
                  </w:r>
                </w:p>
              </w:tc>
              <w:tc>
                <w:tcPr>
                  <w:tcW w:w="66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单次持续时间（h）</w:t>
                  </w: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单次非正常排放量（kg）</w:t>
                  </w:r>
                </w:p>
              </w:tc>
              <w:tc>
                <w:tcPr>
                  <w:tcW w:w="65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000000"/>
                      <w:sz w:val="21"/>
                      <w:szCs w:val="21"/>
                      <w:lang w:val="en-US" w:eastAsia="zh-CN"/>
                    </w:rPr>
                  </w:pPr>
                  <w:r>
                    <w:rPr>
                      <w:rFonts w:hint="default" w:ascii="Times New Roman" w:hAnsi="Times New Roman" w:cs="Times New Roman" w:eastAsiaTheme="majorEastAsia"/>
                      <w:b/>
                      <w:bCs/>
                      <w:color w:val="000000"/>
                      <w:sz w:val="21"/>
                      <w:szCs w:val="21"/>
                      <w:lang w:val="en-US" w:eastAsia="zh-CN"/>
                    </w:rPr>
                    <w:t>年发生频次（次）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DA001</w:t>
                  </w:r>
                </w:p>
              </w:tc>
              <w:tc>
                <w:tcPr>
                  <w:tcW w:w="82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活性炭堵塞，处理效率降低至10%</w:t>
                  </w:r>
                </w:p>
              </w:tc>
              <w:tc>
                <w:tcPr>
                  <w:tcW w:w="556"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非甲烷总烃</w:t>
                  </w:r>
                </w:p>
              </w:tc>
              <w:tc>
                <w:tcPr>
                  <w:tcW w:w="77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18.595</w:t>
                  </w:r>
                </w:p>
              </w:tc>
              <w:tc>
                <w:tcPr>
                  <w:tcW w:w="66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0.5</w:t>
                  </w: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0.186</w:t>
                  </w:r>
                </w:p>
              </w:tc>
              <w:tc>
                <w:tcPr>
                  <w:tcW w:w="65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val="0"/>
                      <w:bCs/>
                      <w:color w:val="000000"/>
                      <w:kern w:val="0"/>
                      <w:sz w:val="21"/>
                      <w:szCs w:val="21"/>
                      <w:lang w:bidi="ar"/>
                    </w:rPr>
                  </w:pPr>
                  <w:r>
                    <w:rPr>
                      <w:rFonts w:hint="default" w:ascii="Times New Roman" w:hAnsi="Times New Roman" w:cs="Times New Roman" w:eastAsiaTheme="majorEastAsia"/>
                      <w:b w:val="0"/>
                      <w:bCs/>
                      <w:color w:val="000000"/>
                      <w:kern w:val="0"/>
                      <w:sz w:val="21"/>
                      <w:szCs w:val="21"/>
                      <w:lang w:bidi="ar"/>
                    </w:rPr>
                    <w:t>年发生</w:t>
                  </w:r>
                  <w:r>
                    <w:rPr>
                      <w:rFonts w:hint="default" w:ascii="Times New Roman" w:hAnsi="Times New Roman" w:cs="Times New Roman" w:eastAsiaTheme="majorEastAsia"/>
                      <w:b w:val="0"/>
                      <w:bCs/>
                      <w:color w:val="000000"/>
                      <w:kern w:val="0"/>
                      <w:sz w:val="21"/>
                      <w:szCs w:val="21"/>
                      <w:lang w:eastAsia="zh-CN" w:bidi="ar"/>
                    </w:rPr>
                    <w:t>频次</w:t>
                  </w:r>
                  <w:r>
                    <w:rPr>
                      <w:rFonts w:hint="default" w:ascii="Times New Roman" w:hAnsi="Times New Roman" w:cs="Times New Roman" w:eastAsiaTheme="majorEastAsia"/>
                      <w:b w:val="0"/>
                      <w:bCs/>
                      <w:color w:val="000000"/>
                      <w:sz w:val="21"/>
                      <w:szCs w:val="21"/>
                    </w:rPr>
                    <w:t>不超过2次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82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277"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其中</w:t>
                  </w:r>
                </w:p>
              </w:tc>
              <w:tc>
                <w:tcPr>
                  <w:tcW w:w="2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酚类</w:t>
                  </w:r>
                </w:p>
              </w:tc>
              <w:tc>
                <w:tcPr>
                  <w:tcW w:w="77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3.45</w:t>
                  </w:r>
                </w:p>
              </w:tc>
              <w:tc>
                <w:tcPr>
                  <w:tcW w:w="66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0.0345</w:t>
                  </w:r>
                </w:p>
              </w:tc>
              <w:tc>
                <w:tcPr>
                  <w:tcW w:w="65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82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27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2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氯苯类</w:t>
                  </w:r>
                </w:p>
              </w:tc>
              <w:tc>
                <w:tcPr>
                  <w:tcW w:w="779"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spacing w:before="0" w:after="0" w:line="240" w:lineRule="exact"/>
                    <w:ind w:left="0" w:leftChars="0" w:right="0" w:rightChars="0" w:firstLine="0" w:firstLineChars="0"/>
                    <w:jc w:val="center"/>
                    <w:textAlignment w:val="auto"/>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0.865</w:t>
                  </w:r>
                </w:p>
              </w:tc>
              <w:tc>
                <w:tcPr>
                  <w:tcW w:w="66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0.0085</w:t>
                  </w:r>
                </w:p>
              </w:tc>
              <w:tc>
                <w:tcPr>
                  <w:tcW w:w="65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val="0"/>
                      <w:bCs/>
                      <w:color w:val="000000"/>
                      <w:kern w:val="0"/>
                      <w:sz w:val="21"/>
                      <w:szCs w:val="21"/>
                      <w:lang w:bidi="ar"/>
                    </w:rPr>
                  </w:pPr>
                </w:p>
              </w:tc>
            </w:tr>
          </w:tbl>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val="en-US" w:eastAsia="zh-CN"/>
              </w:rPr>
              <w:t>由上表可知，本项目非正常工况下有组织排放浓度未超标，但对周边大气环境会造成较大影响。因此，要求企业必须做好污染治理设施的日常维护与事故性排放的防护措施，避免事故排放的发生，一旦发生事故时，立即停止生产，及时维修并采取相应的防护措施，将污染影响降到最小，建议建设单位做好以下防范工作：</w:t>
            </w:r>
          </w:p>
          <w:p>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113"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val="en-US" w:eastAsia="zh-CN"/>
              </w:rPr>
              <w:t>①平时注意废气处理设施的维护，及时发现处理设施的隐患，确保废气处理系统正常运行；开、停、检修要有预案，有严密周全的计划，确保不发生非正常排放，或使影响最小。</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val="en-US" w:eastAsia="zh-CN"/>
              </w:rPr>
              <w:t>②应设有备用电源和备用处理设备和零件，以备停电或设备出现故障时保障及时更换使废气做到达标排放。</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val="en-US" w:eastAsia="zh-CN"/>
              </w:rPr>
              <w:t>③对员工进行岗位培训，做好值班记录，实行岗位责任制。</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ajorEastAsia"/>
                <w:bCs/>
                <w:color w:val="auto"/>
                <w:spacing w:val="-10"/>
                <w:sz w:val="24"/>
                <w:szCs w:val="24"/>
              </w:rPr>
            </w:pP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szCs w:val="24"/>
                <w:lang w:val="en-US" w:eastAsia="zh-CN"/>
              </w:rPr>
              <w:t>5</w:t>
            </w: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lang w:val="en-US" w:eastAsia="zh-CN"/>
              </w:rPr>
              <w:t>异味影响</w:t>
            </w:r>
            <w:r>
              <w:rPr>
                <w:rFonts w:hint="default" w:ascii="Times New Roman" w:hAnsi="Times New Roman" w:cs="Times New Roman" w:eastAsiaTheme="majorEastAsia"/>
                <w:b/>
                <w:bCs/>
                <w:color w:val="000000"/>
                <w:sz w:val="24"/>
              </w:rPr>
              <w:t>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本项目在生产过程中</w:t>
            </w:r>
            <w:r>
              <w:rPr>
                <w:rFonts w:hint="eastAsia"/>
                <w:color w:val="000000"/>
                <w:sz w:val="24"/>
                <w:lang w:val="en-US" w:eastAsia="zh-CN"/>
              </w:rPr>
              <w:t>有机废气</w:t>
            </w:r>
            <w:r>
              <w:rPr>
                <w:rFonts w:hint="default"/>
                <w:color w:val="000000"/>
                <w:sz w:val="24"/>
              </w:rPr>
              <w:t>中的</w:t>
            </w:r>
            <w:r>
              <w:rPr>
                <w:rFonts w:hint="eastAsia"/>
                <w:color w:val="000000"/>
                <w:sz w:val="24"/>
                <w:lang w:val="en-US" w:eastAsia="zh-CN"/>
              </w:rPr>
              <w:t>酚类</w:t>
            </w:r>
            <w:r>
              <w:rPr>
                <w:rFonts w:hint="default"/>
                <w:color w:val="000000"/>
                <w:sz w:val="24"/>
              </w:rPr>
              <w:t>等无法捕集的废气会散发出一定异味，该无组织废气对外环境的影响带有较强的主观性。</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000000"/>
                <w:sz w:val="24"/>
                <w:lang w:eastAsia="zh-CN"/>
              </w:rPr>
            </w:pPr>
            <w:r>
              <w:rPr>
                <w:rFonts w:hint="default"/>
                <w:color w:val="000000"/>
                <w:sz w:val="24"/>
              </w:rPr>
              <w:t>根据《大气环境影响评价技术导则（HJ2.2-2018）》导则推荐的估算模式ARESCREEN，选取</w:t>
            </w:r>
            <w:r>
              <w:rPr>
                <w:rFonts w:hint="eastAsia"/>
                <w:color w:val="000000"/>
                <w:sz w:val="24"/>
                <w:highlight w:val="none"/>
                <w:lang w:val="en-US" w:eastAsia="zh-CN"/>
              </w:rPr>
              <w:t>酚类</w:t>
            </w:r>
            <w:r>
              <w:rPr>
                <w:rFonts w:hint="default"/>
                <w:color w:val="000000"/>
                <w:sz w:val="24"/>
              </w:rPr>
              <w:t>进行大气环境影响预测</w:t>
            </w:r>
            <w:r>
              <w:rPr>
                <w:rFonts w:hint="eastAsia"/>
                <w:color w:val="000000"/>
                <w:sz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估算模型参数</w:t>
            </w:r>
          </w:p>
          <w:p>
            <w:pPr>
              <w:keepNext w:val="0"/>
              <w:keepLines w:val="0"/>
              <w:suppressLineNumbers w:val="0"/>
              <w:adjustRightInd w:val="0"/>
              <w:snapToGrid w:val="0"/>
              <w:spacing w:before="0" w:beforeAutospacing="0" w:after="0" w:afterAutospacing="0"/>
              <w:ind w:left="0" w:right="0" w:firstLine="482" w:firstLineChars="200"/>
              <w:jc w:val="center"/>
              <w:rPr>
                <w:rFonts w:hint="default"/>
                <w:b/>
                <w:bCs/>
                <w:color w:val="000000"/>
                <w:sz w:val="24"/>
              </w:rPr>
            </w:pPr>
            <w:r>
              <w:rPr>
                <w:rFonts w:hint="default"/>
                <w:b/>
                <w:bCs/>
                <w:color w:val="000000"/>
                <w:sz w:val="24"/>
              </w:rPr>
              <w:t>表4-</w:t>
            </w:r>
            <w:r>
              <w:rPr>
                <w:rFonts w:hint="eastAsia"/>
                <w:b/>
                <w:bCs/>
                <w:color w:val="000000"/>
                <w:sz w:val="24"/>
                <w:lang w:val="en-US" w:eastAsia="zh-CN"/>
              </w:rPr>
              <w:t>13</w:t>
            </w:r>
            <w:r>
              <w:rPr>
                <w:rFonts w:hint="default"/>
                <w:b/>
                <w:bCs/>
                <w:color w:val="000000"/>
                <w:sz w:val="24"/>
              </w:rPr>
              <w:t xml:space="preserve"> 估算模型参数</w:t>
            </w:r>
          </w:p>
          <w:tbl>
            <w:tblPr>
              <w:tblStyle w:val="26"/>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45"/>
              <w:gridCol w:w="2853"/>
              <w:gridCol w:w="272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4997"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kern w:val="0"/>
                      <w:szCs w:val="21"/>
                    </w:rPr>
                  </w:pPr>
                  <w:r>
                    <w:rPr>
                      <w:rFonts w:hint="default"/>
                      <w:b/>
                      <w:color w:val="000000"/>
                      <w:kern w:val="0"/>
                      <w:szCs w:val="21"/>
                    </w:rPr>
                    <w:t>参数</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kern w:val="0"/>
                      <w:szCs w:val="21"/>
                    </w:rPr>
                  </w:pPr>
                  <w:r>
                    <w:rPr>
                      <w:rFonts w:hint="default"/>
                      <w:b/>
                      <w:color w:val="000000"/>
                      <w:kern w:val="0"/>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城市/农村选项</w:t>
                  </w: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城市/农村</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农村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rPr>
                  </w:pP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人口数（城市选项时）</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4997"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最高环境温度/℃</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eastAsia"/>
                      <w:color w:val="000000"/>
                      <w:kern w:val="0"/>
                      <w:szCs w:val="21"/>
                    </w:rPr>
                    <w:t>40.5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4997"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最低环境温度/℃</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eastAsia"/>
                      <w:color w:val="000000"/>
                      <w:kern w:val="0"/>
                      <w:szCs w:val="21"/>
                    </w:rPr>
                    <w:t>-10.8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4997"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土地利用类型</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eastAsia"/>
                      <w:color w:val="000000"/>
                      <w:kern w:val="0"/>
                      <w:szCs w:val="21"/>
                    </w:rPr>
                    <w:t>农村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4997"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区域湿度条件</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潮湿气候</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　</w:t>
                  </w: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地形数据分辨率</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是否考虑海岸线熏烟</w:t>
                  </w: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是/否</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rPr>
                  </w:pP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海岸线距离/m</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144"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kern w:val="0"/>
                      <w:szCs w:val="21"/>
                    </w:rPr>
                  </w:pPr>
                </w:p>
              </w:tc>
              <w:tc>
                <w:tcPr>
                  <w:tcW w:w="285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海岸线方向/°</w:t>
                  </w:r>
                </w:p>
              </w:tc>
              <w:tc>
                <w:tcPr>
                  <w:tcW w:w="272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kern w:val="0"/>
                      <w:szCs w:val="21"/>
                    </w:rPr>
                  </w:pPr>
                  <w:r>
                    <w:rPr>
                      <w:rFonts w:hint="default"/>
                      <w:color w:val="000000"/>
                      <w:kern w:val="0"/>
                      <w:szCs w:val="21"/>
                    </w:rPr>
                    <w:t>/</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预测结果</w:t>
            </w:r>
          </w:p>
          <w:p>
            <w:pPr>
              <w:keepNext w:val="0"/>
              <w:keepLines w:val="0"/>
              <w:suppressLineNumbers w:val="0"/>
              <w:adjustRightInd w:val="0"/>
              <w:snapToGrid w:val="0"/>
              <w:spacing w:before="0" w:beforeAutospacing="0" w:after="0" w:afterAutospacing="0"/>
              <w:ind w:left="0" w:right="0" w:firstLine="482" w:firstLineChars="200"/>
              <w:jc w:val="center"/>
              <w:rPr>
                <w:rFonts w:hint="default"/>
                <w:b/>
                <w:bCs/>
                <w:color w:val="000000"/>
                <w:sz w:val="24"/>
              </w:rPr>
            </w:pPr>
            <w:r>
              <w:rPr>
                <w:rFonts w:hint="default"/>
                <w:b/>
                <w:bCs/>
                <w:color w:val="000000"/>
                <w:sz w:val="24"/>
              </w:rPr>
              <w:t>表4-</w:t>
            </w:r>
            <w:r>
              <w:rPr>
                <w:rFonts w:hint="eastAsia"/>
                <w:b/>
                <w:bCs/>
                <w:color w:val="000000"/>
                <w:sz w:val="24"/>
                <w:lang w:val="en-US" w:eastAsia="zh-CN"/>
              </w:rPr>
              <w:t>14</w:t>
            </w:r>
            <w:r>
              <w:rPr>
                <w:rFonts w:hint="default"/>
                <w:b/>
                <w:bCs/>
                <w:color w:val="000000"/>
                <w:sz w:val="24"/>
              </w:rPr>
              <w:t xml:space="preserve"> 恶臭因子预测结果</w:t>
            </w:r>
          </w:p>
          <w:tbl>
            <w:tblPr>
              <w:tblStyle w:val="2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502"/>
              <w:gridCol w:w="1502"/>
              <w:gridCol w:w="3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4"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default"/>
                      <w:b/>
                      <w:color w:val="000000"/>
                      <w:szCs w:val="21"/>
                    </w:rPr>
                    <w:t>点位</w:t>
                  </w:r>
                </w:p>
              </w:tc>
              <w:tc>
                <w:tcPr>
                  <w:tcW w:w="1946" w:type="pct"/>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eastAsia"/>
                      <w:b/>
                      <w:color w:val="000000"/>
                      <w:szCs w:val="21"/>
                    </w:rPr>
                    <w:t>苯乙烯</w:t>
                  </w:r>
                </w:p>
              </w:tc>
              <w:tc>
                <w:tcPr>
                  <w:tcW w:w="1948"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eastAsia"/>
                      <w:b/>
                      <w:color w:val="000000"/>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p>
              </w:tc>
              <w:tc>
                <w:tcPr>
                  <w:tcW w:w="97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default"/>
                      <w:b/>
                      <w:color w:val="000000"/>
                      <w:szCs w:val="21"/>
                    </w:rPr>
                    <w:t>预测浓度</w:t>
                  </w:r>
                </w:p>
              </w:tc>
              <w:tc>
                <w:tcPr>
                  <w:tcW w:w="97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default"/>
                      <w:b/>
                      <w:color w:val="000000"/>
                      <w:szCs w:val="21"/>
                    </w:rPr>
                    <w:t>嗅阈值</w:t>
                  </w:r>
                </w:p>
              </w:tc>
              <w:tc>
                <w:tcPr>
                  <w:tcW w:w="19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4"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szCs w:val="21"/>
                    </w:rPr>
                  </w:pPr>
                  <w:r>
                    <w:rPr>
                      <w:rFonts w:hint="default"/>
                      <w:color w:val="000000"/>
                      <w:szCs w:val="21"/>
                    </w:rPr>
                    <w:t>厂界处</w:t>
                  </w:r>
                </w:p>
              </w:tc>
              <w:tc>
                <w:tcPr>
                  <w:tcW w:w="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3.0747</w:t>
                  </w:r>
                  <w:r>
                    <w:rPr>
                      <w:rFonts w:hint="default"/>
                      <w:bCs/>
                      <w:color w:val="000000"/>
                      <w:szCs w:val="21"/>
                    </w:rPr>
                    <w:t>μg/m</w:t>
                  </w:r>
                  <w:r>
                    <w:rPr>
                      <w:rFonts w:hint="default"/>
                      <w:bCs/>
                      <w:color w:val="000000"/>
                      <w:szCs w:val="21"/>
                      <w:vertAlign w:val="superscript"/>
                    </w:rPr>
                    <w:t>3</w:t>
                  </w:r>
                </w:p>
              </w:tc>
              <w:tc>
                <w:tcPr>
                  <w:tcW w:w="97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21.6</w:t>
                  </w:r>
                  <w:r>
                    <w:rPr>
                      <w:rFonts w:hint="default"/>
                      <w:bCs/>
                      <w:color w:val="000000"/>
                      <w:szCs w:val="21"/>
                    </w:rPr>
                    <w:t>μg/m</w:t>
                  </w:r>
                  <w:r>
                    <w:rPr>
                      <w:rFonts w:hint="default"/>
                      <w:bCs/>
                      <w:color w:val="000000"/>
                      <w:szCs w:val="21"/>
                      <w:vertAlign w:val="superscript"/>
                    </w:rPr>
                    <w:t>3</w:t>
                  </w:r>
                  <w:r>
                    <w:rPr>
                      <w:rFonts w:hint="eastAsia"/>
                      <w:bCs/>
                      <w:color w:val="000000"/>
                      <w:szCs w:val="21"/>
                      <w:vertAlign w:val="baseline"/>
                      <w:lang w:eastAsia="zh-CN"/>
                    </w:rPr>
                    <w:t>（</w:t>
                  </w:r>
                  <w:r>
                    <w:rPr>
                      <w:rFonts w:hint="eastAsia"/>
                      <w:bCs/>
                      <w:color w:val="000000"/>
                      <w:szCs w:val="21"/>
                      <w:vertAlign w:val="baseline"/>
                      <w:lang w:val="en-US" w:eastAsia="zh-CN"/>
                    </w:rPr>
                    <w:t>参照苯酚</w:t>
                  </w:r>
                  <w:r>
                    <w:rPr>
                      <w:rFonts w:hint="eastAsia"/>
                      <w:bCs/>
                      <w:color w:val="000000"/>
                      <w:szCs w:val="21"/>
                      <w:vertAlign w:val="baseline"/>
                      <w:lang w:eastAsia="zh-CN"/>
                    </w:rPr>
                    <w:t>）</w:t>
                  </w:r>
                </w:p>
              </w:tc>
              <w:tc>
                <w:tcPr>
                  <w:tcW w:w="1948"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《关于淮安市建设项目环境影响评价中增加嗅阈值评价内容的通知》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4"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最近宗家庄</w:t>
                  </w:r>
                  <w:r>
                    <w:rPr>
                      <w:rFonts w:hint="eastAsia"/>
                      <w:color w:val="000000"/>
                      <w:szCs w:val="21"/>
                    </w:rPr>
                    <w:t>居民</w:t>
                  </w:r>
                </w:p>
              </w:tc>
              <w:tc>
                <w:tcPr>
                  <w:tcW w:w="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bCs/>
                      <w:color w:val="000000"/>
                      <w:szCs w:val="21"/>
                      <w:lang w:val="en-US" w:eastAsia="zh-CN"/>
                    </w:rPr>
                    <w:t>2.3226</w:t>
                  </w:r>
                  <w:r>
                    <w:rPr>
                      <w:rFonts w:hint="default"/>
                      <w:bCs/>
                      <w:color w:val="000000"/>
                      <w:szCs w:val="21"/>
                    </w:rPr>
                    <w:t>μg/m</w:t>
                  </w:r>
                  <w:r>
                    <w:rPr>
                      <w:rFonts w:hint="default"/>
                      <w:bCs/>
                      <w:color w:val="000000"/>
                      <w:szCs w:val="21"/>
                      <w:vertAlign w:val="superscript"/>
                    </w:rPr>
                    <w:t>3</w:t>
                  </w:r>
                </w:p>
              </w:tc>
              <w:tc>
                <w:tcPr>
                  <w:tcW w:w="97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c>
                <w:tcPr>
                  <w:tcW w:w="1948"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因</w:t>
            </w:r>
            <w:r>
              <w:rPr>
                <w:rFonts w:hint="eastAsia"/>
                <w:color w:val="000000"/>
                <w:sz w:val="24"/>
                <w:lang w:val="en-US" w:eastAsia="zh-CN"/>
              </w:rPr>
              <w:t>酚类</w:t>
            </w:r>
            <w:r>
              <w:rPr>
                <w:rFonts w:hint="default"/>
                <w:color w:val="000000"/>
                <w:sz w:val="24"/>
              </w:rPr>
              <w:t>具有刺激性气味，以臭气浓度计，引用张欢等在《恶臭污染评价分级方法》中基于韦伯-费希纳公式所建立的臭气强度与臭气浓度的关系，将国外臭气强度6级法与我国《恶臭污染物排放标准》（GB14554-93）结合，该分级法以臭气强度的嗅觉感觉和实验经验为分级依据，对臭气浓度进行等级划分，提高了分级的准确程度臭气浓度在国际上通常根据嗅觉判别标准，将臭气强度划分为6级，臭气强度分级、恶臭浓度与臭气强度的关系分别见下表。</w:t>
            </w:r>
          </w:p>
          <w:p>
            <w:pPr>
              <w:pStyle w:val="22"/>
              <w:keepNext w:val="0"/>
              <w:keepLines w:val="0"/>
              <w:suppressLineNumbers w:val="0"/>
              <w:spacing w:before="0" w:beforeAutospacing="0" w:after="0" w:afterAutospacing="0"/>
              <w:ind w:left="0" w:right="0"/>
              <w:jc w:val="center"/>
              <w:rPr>
                <w:rFonts w:hint="default" w:ascii="Times New Roman" w:hAnsi="Times New Roman"/>
                <w:b/>
                <w:kern w:val="2"/>
                <w:szCs w:val="24"/>
              </w:rPr>
            </w:pPr>
            <w:r>
              <w:rPr>
                <w:rFonts w:hint="default" w:ascii="Times New Roman" w:hAnsi="Times New Roman"/>
                <w:b/>
                <w:kern w:val="2"/>
                <w:szCs w:val="24"/>
              </w:rPr>
              <w:t>表4-</w:t>
            </w:r>
            <w:r>
              <w:rPr>
                <w:rFonts w:hint="eastAsia" w:ascii="Times New Roman" w:hAnsi="Times New Roman"/>
                <w:b/>
                <w:kern w:val="2"/>
                <w:szCs w:val="24"/>
                <w:lang w:val="en-US" w:eastAsia="zh-CN"/>
              </w:rPr>
              <w:t>15</w:t>
            </w:r>
            <w:r>
              <w:rPr>
                <w:rFonts w:hint="default" w:ascii="Times New Roman" w:hAnsi="Times New Roman"/>
                <w:b/>
                <w:kern w:val="2"/>
                <w:szCs w:val="24"/>
              </w:rPr>
              <w:t xml:space="preserve"> 臭气强度分级</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93"/>
              <w:gridCol w:w="6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967"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b/>
                      <w:bCs/>
                      <w:szCs w:val="21"/>
                    </w:rPr>
                    <w:t>强度等级</w:t>
                  </w:r>
                </w:p>
              </w:tc>
              <w:tc>
                <w:tcPr>
                  <w:tcW w:w="4032"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嗅觉判别标准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无臭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微有臭气感觉（仪器检知）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略有臭味的感觉（嗅觉感知）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臭味明显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臭气较强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c>
                <w:tcPr>
                  <w:tcW w:w="40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强烈恶臭</w:t>
                  </w:r>
                </w:p>
              </w:tc>
            </w:tr>
          </w:tbl>
          <w:p>
            <w:pPr>
              <w:pStyle w:val="22"/>
              <w:keepNext w:val="0"/>
              <w:keepLines w:val="0"/>
              <w:suppressLineNumbers w:val="0"/>
              <w:spacing w:before="0" w:beforeAutospacing="0" w:after="0" w:afterAutospacing="0"/>
              <w:ind w:left="0" w:right="0"/>
              <w:jc w:val="center"/>
              <w:rPr>
                <w:rFonts w:hint="default" w:ascii="Times New Roman" w:hAnsi="Times New Roman"/>
                <w:b/>
                <w:kern w:val="2"/>
                <w:szCs w:val="24"/>
              </w:rPr>
            </w:pPr>
            <w:r>
              <w:rPr>
                <w:rFonts w:hint="default" w:ascii="Times New Roman" w:hAnsi="Times New Roman"/>
                <w:b/>
                <w:kern w:val="2"/>
                <w:szCs w:val="24"/>
              </w:rPr>
              <w:t>表4-</w:t>
            </w:r>
            <w:r>
              <w:rPr>
                <w:rFonts w:hint="eastAsia" w:ascii="Times New Roman" w:hAnsi="Times New Roman"/>
                <w:b/>
                <w:kern w:val="2"/>
                <w:szCs w:val="24"/>
                <w:lang w:val="en-US" w:eastAsia="zh-CN"/>
              </w:rPr>
              <w:t>16</w:t>
            </w:r>
            <w:r>
              <w:rPr>
                <w:rFonts w:hint="default" w:ascii="Times New Roman" w:hAnsi="Times New Roman"/>
                <w:b/>
                <w:kern w:val="2"/>
                <w:szCs w:val="24"/>
              </w:rPr>
              <w:t xml:space="preserve"> 恶臭污染程度初步划分</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95"/>
              <w:gridCol w:w="62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tblHeader/>
                <w:jc w:val="center"/>
              </w:trPr>
              <w:tc>
                <w:tcPr>
                  <w:tcW w:w="968"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b/>
                      <w:bCs/>
                      <w:szCs w:val="21"/>
                    </w:rPr>
                    <w:t>强度等级</w:t>
                  </w:r>
                </w:p>
              </w:tc>
              <w:tc>
                <w:tcPr>
                  <w:tcW w:w="4031" w:type="pc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szCs w:val="21"/>
                    </w:rPr>
                  </w:pPr>
                  <w:r>
                    <w:rPr>
                      <w:rFonts w:hint="default"/>
                      <w:b/>
                      <w:bCs/>
                      <w:szCs w:val="21"/>
                    </w:rPr>
                    <w:t>臭气浓度（无量纲）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w:t>
                  </w:r>
                </w:p>
              </w:tc>
              <w:tc>
                <w:tcPr>
                  <w:tcW w:w="40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0-3</w:t>
                  </w:r>
                </w:p>
              </w:tc>
              <w:tc>
                <w:tcPr>
                  <w:tcW w:w="40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3-4</w:t>
                  </w:r>
                </w:p>
              </w:tc>
              <w:tc>
                <w:tcPr>
                  <w:tcW w:w="40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100-300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4-5</w:t>
                  </w:r>
                </w:p>
              </w:tc>
              <w:tc>
                <w:tcPr>
                  <w:tcW w:w="40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300-600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9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c>
                <w:tcPr>
                  <w:tcW w:w="403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≥600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rPr>
            </w:pPr>
            <w:r>
              <w:rPr>
                <w:rFonts w:hint="default"/>
                <w:color w:val="000000"/>
                <w:sz w:val="24"/>
              </w:rPr>
              <w:t>根据以上表格，项目臭气浓度对应臭气强度约为4级的阈值范围，当臭气强度为4级时，臭气浓度约为300（无量纲）。</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sz w:val="24"/>
                <w:lang w:val="en-US" w:eastAsia="zh-CN"/>
              </w:rPr>
            </w:pPr>
            <w:r>
              <w:rPr>
                <w:rFonts w:hint="default"/>
                <w:color w:val="000000"/>
                <w:sz w:val="24"/>
              </w:rPr>
              <w:t>根据对同行业同类型企业生产过程恶臭污染物产排情况以及根据ARESCREEN估算模型预算可知，本项目原料储存及使用过程产生的臭气浓度较少，厂界</w:t>
            </w:r>
            <w:r>
              <w:rPr>
                <w:rFonts w:hint="eastAsia"/>
                <w:color w:val="000000"/>
                <w:sz w:val="24"/>
                <w:lang w:val="en-US" w:eastAsia="zh-CN"/>
              </w:rPr>
              <w:t>及最近敏感点</w:t>
            </w:r>
            <w:r>
              <w:rPr>
                <w:rFonts w:hint="default"/>
                <w:color w:val="000000"/>
                <w:sz w:val="24"/>
              </w:rPr>
              <w:t>处</w:t>
            </w:r>
            <w:r>
              <w:rPr>
                <w:rFonts w:hint="eastAsia"/>
                <w:color w:val="000000"/>
                <w:sz w:val="24"/>
                <w:lang w:val="en-US" w:eastAsia="zh-CN"/>
              </w:rPr>
              <w:t>苯乙烯</w:t>
            </w:r>
            <w:r>
              <w:rPr>
                <w:rFonts w:hint="default"/>
                <w:color w:val="000000"/>
                <w:sz w:val="24"/>
              </w:rPr>
              <w:t>落地浓度远低于嗅阈值，因此本项目异味气体</w:t>
            </w:r>
            <w:r>
              <w:rPr>
                <w:rFonts w:hint="default"/>
                <w:color w:val="000000"/>
                <w:sz w:val="24"/>
                <w:highlight w:val="none"/>
              </w:rPr>
              <w:t>（</w:t>
            </w:r>
            <w:r>
              <w:rPr>
                <w:rFonts w:hint="eastAsia"/>
                <w:color w:val="000000"/>
                <w:sz w:val="24"/>
                <w:highlight w:val="none"/>
                <w:lang w:val="en-US" w:eastAsia="zh-CN"/>
              </w:rPr>
              <w:t>酚类</w:t>
            </w:r>
            <w:r>
              <w:rPr>
                <w:rFonts w:hint="default"/>
                <w:color w:val="000000"/>
                <w:sz w:val="24"/>
                <w:highlight w:val="none"/>
              </w:rPr>
              <w:t>）</w:t>
            </w:r>
            <w:r>
              <w:rPr>
                <w:rFonts w:hint="default"/>
                <w:color w:val="000000"/>
                <w:sz w:val="24"/>
              </w:rPr>
              <w:t>对周边环境影响较小。</w:t>
            </w:r>
          </w:p>
          <w:p>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val="en-US" w:eastAsia="zh-CN"/>
              </w:rPr>
              <w:t>大气环境防护距离计算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ajorEastAsia"/>
                <w:sz w:val="24"/>
                <w:lang w:val="en-US" w:eastAsia="zh-CN"/>
              </w:rPr>
            </w:pPr>
            <w:r>
              <w:rPr>
                <w:rFonts w:hint="default" w:ascii="Times New Roman" w:hAnsi="Times New Roman" w:cs="Times New Roman" w:eastAsiaTheme="majorEastAsia"/>
                <w:color w:val="000000"/>
                <w:sz w:val="24"/>
                <w:lang w:val="en-US" w:eastAsia="zh-CN"/>
              </w:rPr>
              <w:t>根据《环境影响评价技术导则 大气环境》（HJ2.2-2018）中推荐的大气环境防护距离计算得出建设项目无组织排放的废气均无超标点，即废气可满足厂界达标排放，不需设置大气环境防护距离</w:t>
            </w:r>
            <w:r>
              <w:rPr>
                <w:rFonts w:hint="default" w:ascii="Times New Roman" w:hAnsi="Times New Roman" w:cs="Times New Roman" w:eastAsiaTheme="majorEastAsia"/>
                <w:color w:val="000000"/>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szCs w:val="24"/>
                <w:lang w:val="en-US" w:eastAsia="zh-CN"/>
              </w:rPr>
              <w:t>7</w:t>
            </w: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szCs w:val="24"/>
                <w:lang w:val="en-US" w:eastAsia="zh-CN"/>
              </w:rPr>
              <w:t>卫生防护距离</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根据《大气有害物质无组织排放卫生防护距离推导技术导则》（GB/T39499-2020）中要求：“在选取特征大气有害物质时，应首先考虑其对人体健康损害毒性特点，并根据目标行业企业的产品产量及其原辅材料、工艺特征、中间产物、产排污特点等情况，确定单个大气有害物质的无组织排放量及等标排放量（Qc/Cm），最终确定卫生防护距离相关的主要特征大气有害物质1种～2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b w:val="0"/>
                <w:bCs w:val="0"/>
                <w:sz w:val="24"/>
                <w:szCs w:val="24"/>
                <w:lang w:eastAsia="zh-CN"/>
              </w:rPr>
            </w:pPr>
            <w:r>
              <w:rPr>
                <w:rFonts w:hint="default" w:ascii="Times New Roman" w:hAnsi="Times New Roman" w:cs="Times New Roman" w:eastAsiaTheme="majorEastAsia"/>
                <w:b w:val="0"/>
                <w:bCs w:val="0"/>
                <w:sz w:val="24"/>
                <w:szCs w:val="24"/>
              </w:rPr>
              <w:t>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r>
              <w:rPr>
                <w:rFonts w:hint="default" w:ascii="Times New Roman" w:hAnsi="Times New Roman" w:cs="Times New Roman" w:eastAsiaTheme="majorEastAsia"/>
                <w:b w:val="0"/>
                <w:bCs w:val="0"/>
                <w:sz w:val="24"/>
                <w:szCs w:val="24"/>
                <w:lang w:eastAsia="zh-CN"/>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eastAsiaTheme="majorEastAsia"/>
                <w:sz w:val="24"/>
                <w:szCs w:val="24"/>
                <w:lang w:val="en-US" w:eastAsia="zh-CN"/>
              </w:rPr>
            </w:pPr>
            <w:r>
              <w:rPr>
                <w:rFonts w:hint="default" w:ascii="Times New Roman" w:hAnsi="Times New Roman" w:cs="Times New Roman" w:eastAsiaTheme="majorEastAsia"/>
                <w:b/>
                <w:bCs/>
                <w:sz w:val="24"/>
                <w:szCs w:val="24"/>
              </w:rPr>
              <w:t>等标排放量计算：</w:t>
            </w:r>
          </w:p>
          <w:p>
            <w:pPr>
              <w:pStyle w:val="9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eastAsiaTheme="majorEastAsia"/>
                <w:b/>
                <w:bCs/>
                <w:color w:val="auto"/>
                <w:lang w:val="en-US" w:eastAsia="zh-CN"/>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17</w:t>
            </w:r>
            <w:r>
              <w:rPr>
                <w:rFonts w:hint="default" w:ascii="Times New Roman" w:hAnsi="Times New Roman" w:cs="Times New Roman" w:eastAsiaTheme="majorEastAsia"/>
                <w:b/>
                <w:bCs/>
                <w:color w:val="auto"/>
                <w:sz w:val="24"/>
                <w:szCs w:val="24"/>
              </w:rPr>
              <w:t xml:space="preserve"> </w:t>
            </w:r>
            <w:r>
              <w:rPr>
                <w:rFonts w:hint="default" w:ascii="Times New Roman" w:hAnsi="Times New Roman" w:cs="Times New Roman" w:eastAsiaTheme="majorEastAsia"/>
                <w:b/>
                <w:bCs/>
                <w:color w:val="auto"/>
                <w:sz w:val="24"/>
                <w:szCs w:val="24"/>
                <w:lang w:val="en-US" w:eastAsia="zh-CN"/>
              </w:rPr>
              <w:t>各车间</w:t>
            </w:r>
            <w:r>
              <w:rPr>
                <w:rFonts w:hint="eastAsia" w:ascii="Times New Roman" w:hAnsi="Times New Roman" w:cs="Times New Roman" w:eastAsiaTheme="majorEastAsia"/>
                <w:b/>
                <w:bCs/>
                <w:color w:val="auto"/>
                <w:sz w:val="24"/>
                <w:szCs w:val="24"/>
                <w:lang w:val="en-US" w:eastAsia="zh-CN"/>
              </w:rPr>
              <w:t>无组织废气等标排放量一览表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9"/>
              <w:gridCol w:w="1678"/>
              <w:gridCol w:w="1621"/>
              <w:gridCol w:w="1607"/>
              <w:gridCol w:w="16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82" w:type="pct"/>
                  <w:tcBorders>
                    <w:tl2br w:val="nil"/>
                    <w:tr2bl w:val="nil"/>
                  </w:tcBorders>
                  <w:noWrap w:val="0"/>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default" w:ascii="Times New Roman" w:hAnsi="Times New Roman" w:cs="Times New Roman" w:eastAsiaTheme="majorEastAsia"/>
                      <w:b/>
                      <w:bCs/>
                      <w:color w:val="auto"/>
                      <w:szCs w:val="21"/>
                      <w:lang w:val="en-US" w:eastAsia="zh-CN"/>
                    </w:rPr>
                    <w:t>车间名称</w:t>
                  </w:r>
                </w:p>
              </w:tc>
              <w:tc>
                <w:tcPr>
                  <w:tcW w:w="1086"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eastAsia" w:ascii="Times New Roman" w:hAnsi="Times New Roman" w:cs="Times New Roman" w:eastAsiaTheme="majorEastAsia"/>
                      <w:b/>
                      <w:bCs/>
                      <w:color w:val="auto"/>
                      <w:szCs w:val="21"/>
                      <w:lang w:val="en-US" w:eastAsia="zh-CN"/>
                    </w:rPr>
                    <w:t>污染物名称</w:t>
                  </w:r>
                </w:p>
              </w:tc>
              <w:tc>
                <w:tcPr>
                  <w:tcW w:w="1049"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szCs w:val="21"/>
                      <w:lang w:val="en-US" w:eastAsia="zh-CN"/>
                    </w:rPr>
                  </w:pPr>
                  <w:r>
                    <w:rPr>
                      <w:rFonts w:hint="eastAsia" w:ascii="Times New Roman" w:hAnsi="Times New Roman" w:cs="Times New Roman" w:eastAsiaTheme="majorEastAsia"/>
                      <w:b/>
                      <w:bCs/>
                      <w:color w:val="auto"/>
                      <w:szCs w:val="21"/>
                      <w:lang w:val="en-US" w:eastAsia="zh-CN"/>
                    </w:rPr>
                    <w:t>Qc</w:t>
                  </w:r>
                </w:p>
              </w:tc>
              <w:tc>
                <w:tcPr>
                  <w:tcW w:w="1040"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eastAsia" w:ascii="Times New Roman" w:hAnsi="Times New Roman" w:cs="Times New Roman" w:eastAsiaTheme="majorEastAsia"/>
                      <w:b/>
                      <w:bCs/>
                      <w:color w:val="auto"/>
                      <w:kern w:val="0"/>
                      <w:sz w:val="21"/>
                      <w:szCs w:val="21"/>
                      <w:lang w:val="en-US" w:eastAsia="zh-CN" w:bidi="ar-SA"/>
                    </w:rPr>
                    <w:t>Cm</w:t>
                  </w:r>
                </w:p>
              </w:tc>
              <w:tc>
                <w:tcPr>
                  <w:tcW w:w="1040" w:type="pct"/>
                  <w:tcBorders>
                    <w:tl2br w:val="nil"/>
                    <w:tr2bl w:val="nil"/>
                  </w:tcBorders>
                  <w:noWrap w:val="0"/>
                  <w:tcMar>
                    <w:left w:w="0" w:type="dxa"/>
                    <w:right w:w="0" w:type="dxa"/>
                  </w:tcMar>
                  <w:vAlign w:val="center"/>
                </w:tcPr>
                <w:p>
                  <w:pPr>
                    <w:pStyle w:val="55"/>
                    <w:keepNext w:val="0"/>
                    <w:keepLines w:val="0"/>
                    <w:widowControl/>
                    <w:suppressLineNumbers w:val="0"/>
                    <w:spacing w:before="24" w:beforeAutospacing="0" w:after="24" w:afterAutospacing="0" w:line="240" w:lineRule="auto"/>
                    <w:ind w:left="0" w:right="0"/>
                    <w:rPr>
                      <w:rFonts w:hint="default" w:ascii="Times New Roman" w:hAnsi="Times New Roman" w:cs="Times New Roman" w:eastAsiaTheme="majorEastAsia"/>
                      <w:b/>
                      <w:bCs/>
                      <w:color w:val="auto"/>
                      <w:kern w:val="0"/>
                      <w:sz w:val="21"/>
                      <w:szCs w:val="21"/>
                      <w:lang w:val="en-US" w:eastAsia="zh-CN" w:bidi="ar-SA"/>
                    </w:rPr>
                  </w:pPr>
                  <w:r>
                    <w:rPr>
                      <w:rFonts w:hint="eastAsia" w:ascii="Times New Roman" w:hAnsi="Times New Roman" w:cs="Times New Roman" w:eastAsiaTheme="majorEastAsia"/>
                      <w:b/>
                      <w:bCs/>
                      <w:color w:val="auto"/>
                      <w:kern w:val="0"/>
                      <w:sz w:val="21"/>
                      <w:szCs w:val="21"/>
                      <w:lang w:val="en-US" w:eastAsia="zh-CN" w:bidi="ar-SA"/>
                    </w:rPr>
                    <w:t>Qc/Cm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车间三</w:t>
                  </w: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非甲烷总烃</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0.0269</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0.01345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782"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酚类</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0.005</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0.2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氯苯类</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0.0013</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0.15</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eastAsia" w:ascii="Times New Roman" w:hAnsi="Times New Roman" w:cs="Times New Roman" w:eastAsiaTheme="majorEastAsia"/>
                      <w:color w:val="auto"/>
                      <w:kern w:val="2"/>
                      <w:sz w:val="21"/>
                      <w:szCs w:val="21"/>
                      <w:lang w:val="en-US" w:eastAsia="zh-CN" w:bidi="ar-SA"/>
                    </w:rPr>
                    <w:t>0.0087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车间四</w:t>
                  </w: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非甲烷总烃</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0.0144</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酚类</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0.0027</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氯苯类</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0.0007</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0.15</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颗粒物</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0.0054</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0.9</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车间一</w:t>
                  </w: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非甲烷总烃</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0.0518</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78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kern w:val="0"/>
                      <w:szCs w:val="21"/>
                      <w:lang w:val="en-US" w:eastAsia="zh-CN"/>
                    </w:rPr>
                  </w:pPr>
                  <w:r>
                    <w:rPr>
                      <w:rFonts w:hint="default" w:ascii="Times New Roman" w:hAnsi="Times New Roman" w:cs="Times New Roman" w:eastAsiaTheme="majorEastAsia"/>
                      <w:color w:val="auto"/>
                      <w:kern w:val="0"/>
                      <w:szCs w:val="21"/>
                      <w:lang w:val="en-US" w:eastAsia="zh-CN"/>
                    </w:rPr>
                    <w:t>车间二</w:t>
                  </w:r>
                </w:p>
              </w:tc>
              <w:tc>
                <w:tcPr>
                  <w:tcW w:w="1086"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非甲烷总烃</w:t>
                  </w:r>
                </w:p>
              </w:tc>
              <w:tc>
                <w:tcPr>
                  <w:tcW w:w="1049" w:type="pct"/>
                  <w:tcBorders>
                    <w:tl2br w:val="nil"/>
                    <w:tr2bl w:val="nil"/>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0.0009</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w:t>
                  </w:r>
                </w:p>
              </w:tc>
              <w:tc>
                <w:tcPr>
                  <w:tcW w:w="1040" w:type="pc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0.00045</w:t>
                  </w:r>
                </w:p>
              </w:tc>
            </w:tr>
          </w:tbl>
          <w:p>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2"/>
                <w:sz w:val="24"/>
                <w:szCs w:val="24"/>
                <w:highlight w:val="none"/>
                <w:lang w:eastAsia="zh-CN"/>
              </w:rPr>
            </w:pPr>
            <w:r>
              <w:rPr>
                <w:rFonts w:hint="default" w:ascii="Times New Roman" w:hAnsi="Times New Roman" w:cs="Times New Roman" w:eastAsiaTheme="majorEastAsia"/>
                <w:sz w:val="24"/>
                <w:szCs w:val="24"/>
                <w:lang w:val="en-US" w:eastAsia="zh-CN"/>
              </w:rPr>
              <w:t>因此</w:t>
            </w:r>
            <w:r>
              <w:rPr>
                <w:rFonts w:hint="default" w:ascii="Times New Roman" w:hAnsi="Times New Roman" w:cs="Times New Roman" w:eastAsiaTheme="majorEastAsia"/>
                <w:sz w:val="24"/>
                <w:szCs w:val="24"/>
              </w:rPr>
              <w:t>选择</w:t>
            </w:r>
            <w:r>
              <w:rPr>
                <w:rFonts w:hint="eastAsia" w:ascii="Times New Roman" w:hAnsi="Times New Roman" w:cs="Times New Roman" w:eastAsiaTheme="majorEastAsia"/>
                <w:sz w:val="24"/>
                <w:szCs w:val="24"/>
                <w:lang w:val="en-US" w:eastAsia="zh-CN"/>
              </w:rPr>
              <w:t>车间三、车间四均</w:t>
            </w:r>
            <w:r>
              <w:rPr>
                <w:rFonts w:hint="default" w:ascii="Times New Roman" w:hAnsi="Times New Roman" w:cs="Times New Roman" w:eastAsiaTheme="majorEastAsia"/>
                <w:sz w:val="24"/>
                <w:szCs w:val="24"/>
                <w:lang w:val="en-US" w:eastAsia="zh-CN"/>
              </w:rPr>
              <w:t>以</w:t>
            </w:r>
            <w:r>
              <w:rPr>
                <w:rFonts w:hint="default" w:ascii="Times New Roman" w:hAnsi="Times New Roman" w:cs="Times New Roman" w:eastAsiaTheme="majorEastAsia"/>
                <w:sz w:val="24"/>
                <w:szCs w:val="24"/>
              </w:rPr>
              <w:t>无组织排放的</w:t>
            </w:r>
            <w:r>
              <w:rPr>
                <w:rFonts w:hint="default" w:ascii="Times New Roman" w:hAnsi="Times New Roman" w:cs="Times New Roman" w:eastAsiaTheme="majorEastAsia"/>
                <w:sz w:val="24"/>
                <w:szCs w:val="24"/>
                <w:lang w:val="en-US" w:eastAsia="zh-CN"/>
              </w:rPr>
              <w:t>酚类</w:t>
            </w:r>
            <w:r>
              <w:rPr>
                <w:rFonts w:hint="default" w:ascii="Times New Roman" w:hAnsi="Times New Roman" w:cs="Times New Roman" w:eastAsiaTheme="majorEastAsia"/>
                <w:sz w:val="24"/>
                <w:szCs w:val="24"/>
              </w:rPr>
              <w:t>作为计算卫生防护距离的特征污染物</w:t>
            </w:r>
            <w:r>
              <w:rPr>
                <w:rFonts w:hint="eastAsia" w:ascii="Times New Roman" w:hAnsi="Times New Roman" w:cs="Times New Roman" w:eastAsiaTheme="majorEastAsia"/>
                <w:sz w:val="24"/>
                <w:szCs w:val="24"/>
                <w:lang w:eastAsia="zh-CN"/>
              </w:rPr>
              <w:t>，</w:t>
            </w:r>
            <w:r>
              <w:rPr>
                <w:rFonts w:hint="eastAsia" w:ascii="Times New Roman" w:hAnsi="Times New Roman" w:cs="Times New Roman" w:eastAsiaTheme="majorEastAsia"/>
                <w:sz w:val="24"/>
                <w:szCs w:val="24"/>
                <w:lang w:val="en-US" w:eastAsia="zh-CN"/>
              </w:rPr>
              <w:t>车间一、车间二均</w:t>
            </w:r>
            <w:r>
              <w:rPr>
                <w:rFonts w:hint="default" w:ascii="Times New Roman" w:hAnsi="Times New Roman" w:cs="Times New Roman" w:eastAsiaTheme="majorEastAsia"/>
                <w:sz w:val="24"/>
                <w:szCs w:val="24"/>
                <w:lang w:val="en-US" w:eastAsia="zh-CN"/>
              </w:rPr>
              <w:t>以</w:t>
            </w:r>
            <w:r>
              <w:rPr>
                <w:rFonts w:hint="default" w:ascii="Times New Roman" w:hAnsi="Times New Roman" w:cs="Times New Roman" w:eastAsiaTheme="majorEastAsia"/>
                <w:sz w:val="24"/>
                <w:szCs w:val="24"/>
              </w:rPr>
              <w:t>无组织排放的</w:t>
            </w:r>
            <w:r>
              <w:rPr>
                <w:rFonts w:hint="eastAsia" w:ascii="Times New Roman" w:hAnsi="Times New Roman" w:cs="Times New Roman" w:eastAsiaTheme="majorEastAsia"/>
                <w:sz w:val="24"/>
                <w:szCs w:val="24"/>
                <w:lang w:val="en-US" w:eastAsia="zh-CN"/>
              </w:rPr>
              <w:t>非甲烷总烃</w:t>
            </w:r>
            <w:r>
              <w:rPr>
                <w:rFonts w:hint="default" w:ascii="Times New Roman" w:hAnsi="Times New Roman" w:cs="Times New Roman" w:eastAsiaTheme="majorEastAsia"/>
                <w:sz w:val="24"/>
                <w:szCs w:val="24"/>
              </w:rPr>
              <w:t>作为计算卫生防护距离的特征污染物</w:t>
            </w:r>
            <w:r>
              <w:rPr>
                <w:rFonts w:hint="default" w:ascii="Times New Roman" w:hAnsi="Times New Roman" w:cs="Times New Roman" w:eastAsiaTheme="majorEastAsia"/>
                <w:sz w:val="24"/>
                <w:szCs w:val="24"/>
                <w:lang w:eastAsia="zh-CN"/>
              </w:rPr>
              <w:t>。</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《大气有害物质物质无组织排放卫生防护距离推导技术导则》（GB/T39499-2020），核算卫生防护距离。卫生防护距离初值计算公式如下：</w:t>
            </w:r>
          </w:p>
          <w:p>
            <w:pPr>
              <w:keepNext w:val="0"/>
              <w:keepLines w:val="0"/>
              <w:widowControl w:val="0"/>
              <w:suppressLineNumbers w:val="0"/>
              <w:spacing w:before="0" w:beforeAutospacing="0" w:after="0" w:afterAutospacing="0" w:line="360" w:lineRule="auto"/>
              <w:ind w:left="0" w:right="0" w:firstLine="480"/>
              <w:jc w:val="center"/>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position w:val="-30"/>
                <w:sz w:val="24"/>
                <w:szCs w:val="24"/>
                <w:highlight w:val="none"/>
              </w:rPr>
              <w:drawing>
                <wp:inline distT="0" distB="0" distL="114300" distR="114300">
                  <wp:extent cx="1828800" cy="457200"/>
                  <wp:effectExtent l="0" t="0" r="0" b="0"/>
                  <wp:docPr id="5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0"/>
                          <pic:cNvPicPr>
                            <a:picLocks noChangeAspect="1"/>
                          </pic:cNvPicPr>
                        </pic:nvPicPr>
                        <pic:blipFill>
                          <a:blip r:embed="rId17"/>
                          <a:stretch>
                            <a:fillRect/>
                          </a:stretch>
                        </pic:blipFill>
                        <pic:spPr>
                          <a:xfrm>
                            <a:off x="0" y="0"/>
                            <a:ext cx="1828800" cy="4572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式中：</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Cm—为环境一次浓度标准限值（mg/m</w:t>
            </w:r>
            <w:r>
              <w:rPr>
                <w:rFonts w:hint="default" w:ascii="Times New Roman" w:hAnsi="Times New Roman" w:cs="Times New Roman" w:eastAsiaTheme="majorEastAsia"/>
                <w:color w:val="auto"/>
                <w:kern w:val="2"/>
                <w:sz w:val="24"/>
                <w:szCs w:val="24"/>
                <w:highlight w:val="none"/>
                <w:vertAlign w:val="superscript"/>
              </w:rPr>
              <w:t>3</w:t>
            </w:r>
            <w:r>
              <w:rPr>
                <w:rFonts w:hint="default" w:ascii="Times New Roman" w:hAnsi="Times New Roman" w:cs="Times New Roman" w:eastAsiaTheme="majorEastAsia"/>
                <w:color w:val="auto"/>
                <w:kern w:val="2"/>
                <w:sz w:val="24"/>
                <w:szCs w:val="24"/>
                <w:highlight w:val="none"/>
              </w:rPr>
              <w:t>）；</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L—工业企业所需的防护距离（m）；</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Qc—有害气体无组织排放量可以达到的控制水平（kg/h）；</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r—有害气体无组织排放源所在单元的等效半径（m）；</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color w:val="auto"/>
                <w:kern w:val="2"/>
                <w:sz w:val="24"/>
                <w:szCs w:val="24"/>
                <w:highlight w:val="none"/>
              </w:rPr>
              <w:t>A、B、C、D为计算系数。</w:t>
            </w:r>
          </w:p>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eastAsiaTheme="majorEastAsia"/>
                <w:color w:val="auto"/>
                <w:kern w:val="2"/>
                <w:sz w:val="24"/>
                <w:szCs w:val="24"/>
                <w:highlight w:val="none"/>
              </w:rPr>
            </w:pPr>
            <w:r>
              <w:rPr>
                <w:rFonts w:hint="default" w:ascii="Times New Roman" w:hAnsi="Times New Roman" w:cs="Times New Roman" w:eastAsiaTheme="majorEastAsia"/>
                <w:b/>
                <w:color w:val="auto"/>
                <w:kern w:val="2"/>
                <w:sz w:val="24"/>
                <w:szCs w:val="24"/>
                <w:highlight w:val="none"/>
              </w:rPr>
              <w:t>表</w:t>
            </w:r>
            <w:r>
              <w:rPr>
                <w:rFonts w:hint="default" w:ascii="Times New Roman" w:hAnsi="Times New Roman" w:cs="Times New Roman" w:eastAsiaTheme="majorEastAsia"/>
                <w:b/>
                <w:color w:val="auto"/>
                <w:kern w:val="2"/>
                <w:sz w:val="24"/>
                <w:szCs w:val="24"/>
                <w:highlight w:val="none"/>
                <w:lang w:val="en-US" w:eastAsia="zh-CN"/>
              </w:rPr>
              <w:t>4-</w:t>
            </w:r>
            <w:r>
              <w:rPr>
                <w:rFonts w:hint="eastAsia" w:ascii="Times New Roman" w:hAnsi="Times New Roman" w:cs="Times New Roman" w:eastAsiaTheme="majorEastAsia"/>
                <w:b/>
                <w:color w:val="auto"/>
                <w:kern w:val="2"/>
                <w:sz w:val="24"/>
                <w:szCs w:val="24"/>
                <w:highlight w:val="none"/>
                <w:lang w:val="en-US" w:eastAsia="zh-CN"/>
              </w:rPr>
              <w:t>18</w:t>
            </w:r>
            <w:r>
              <w:rPr>
                <w:rFonts w:hint="default" w:ascii="Times New Roman" w:hAnsi="Times New Roman" w:cs="Times New Roman" w:eastAsiaTheme="majorEastAsia"/>
                <w:b/>
                <w:color w:val="auto"/>
                <w:kern w:val="2"/>
                <w:sz w:val="24"/>
                <w:szCs w:val="24"/>
                <w:highlight w:val="none"/>
              </w:rPr>
              <w:t xml:space="preserve"> 卫生防护距离计算</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97"/>
              <w:gridCol w:w="945"/>
              <w:gridCol w:w="584"/>
              <w:gridCol w:w="757"/>
              <w:gridCol w:w="640"/>
              <w:gridCol w:w="640"/>
              <w:gridCol w:w="1140"/>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0" w:type="pct"/>
                  <w:gridSpan w:val="2"/>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污染物</w:t>
                  </w:r>
                </w:p>
              </w:tc>
              <w:tc>
                <w:tcPr>
                  <w:tcW w:w="612"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Qc（kg/h）</w:t>
                  </w:r>
                </w:p>
              </w:tc>
              <w:tc>
                <w:tcPr>
                  <w:tcW w:w="37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A</w:t>
                  </w:r>
                </w:p>
              </w:tc>
              <w:tc>
                <w:tcPr>
                  <w:tcW w:w="490"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B</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C</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D</w:t>
                  </w:r>
                </w:p>
              </w:tc>
              <w:tc>
                <w:tcPr>
                  <w:tcW w:w="73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卫生防护距离计算值（m）</w:t>
                  </w:r>
                </w:p>
              </w:tc>
              <w:tc>
                <w:tcPr>
                  <w:tcW w:w="581"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b/>
                      <w:color w:val="auto"/>
                      <w:kern w:val="0"/>
                      <w:sz w:val="21"/>
                      <w:szCs w:val="21"/>
                      <w:highlight w:val="none"/>
                      <w:lang w:val="en-US" w:eastAsia="zh-CN" w:bidi="ar-SA"/>
                    </w:rPr>
                  </w:pPr>
                  <w:r>
                    <w:rPr>
                      <w:rFonts w:hint="default" w:ascii="Times New Roman" w:hAnsi="Times New Roman" w:cs="Times New Roman" w:eastAsiaTheme="majorEastAsia"/>
                      <w:b/>
                      <w:color w:val="auto"/>
                      <w:kern w:val="0"/>
                      <w:sz w:val="21"/>
                      <w:szCs w:val="21"/>
                      <w:highlight w:val="none"/>
                      <w:lang w:val="en-US" w:eastAsia="zh-CN" w:bidi="ar-SA"/>
                    </w:rPr>
                    <w:t>卫生防护距离（m）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center"/>
                    <w:outlineLvl w:val="9"/>
                    <w:rPr>
                      <w:rFonts w:hint="default" w:ascii="Times New Roman" w:hAnsi="Times New Roman" w:cs="Times New Roman" w:eastAsiaTheme="majorEastAsia"/>
                      <w:color w:val="auto"/>
                      <w:kern w:val="2"/>
                      <w:sz w:val="21"/>
                      <w:szCs w:val="21"/>
                      <w:highlight w:val="none"/>
                      <w:lang w:val="en-US" w:eastAsia="zh-CN" w:bidi="ar-SA"/>
                    </w:rPr>
                  </w:pPr>
                  <w:r>
                    <w:rPr>
                      <w:rFonts w:hint="eastAsia" w:ascii="Times New Roman" w:hAnsi="Times New Roman" w:cs="Times New Roman" w:eastAsiaTheme="majorEastAsia"/>
                      <w:color w:val="auto"/>
                      <w:kern w:val="2"/>
                      <w:sz w:val="21"/>
                      <w:szCs w:val="21"/>
                      <w:highlight w:val="none"/>
                      <w:lang w:val="en-US" w:eastAsia="zh-CN"/>
                    </w:rPr>
                    <w:t>车间三</w:t>
                  </w:r>
                </w:p>
              </w:tc>
              <w:tc>
                <w:tcPr>
                  <w:tcW w:w="840"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ajorEastAsia"/>
                      <w:color w:val="auto"/>
                      <w:kern w:val="2"/>
                      <w:sz w:val="21"/>
                      <w:szCs w:val="21"/>
                      <w:highlight w:val="none"/>
                      <w:lang w:val="zh-CN" w:eastAsia="zh-CN" w:bidi="ar-SA"/>
                    </w:rPr>
                  </w:pPr>
                  <w:r>
                    <w:rPr>
                      <w:rFonts w:hint="default" w:ascii="Times New Roman" w:hAnsi="Times New Roman" w:cs="Times New Roman" w:eastAsiaTheme="majorEastAsia"/>
                      <w:color w:val="auto"/>
                      <w:sz w:val="21"/>
                      <w:szCs w:val="21"/>
                      <w:highlight w:val="none"/>
                      <w:lang w:val="en-US" w:eastAsia="zh-CN"/>
                    </w:rPr>
                    <w:t>酚类</w:t>
                  </w:r>
                </w:p>
              </w:tc>
              <w:tc>
                <w:tcPr>
                  <w:tcW w:w="61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0.005</w:t>
                  </w:r>
                </w:p>
              </w:tc>
              <w:tc>
                <w:tcPr>
                  <w:tcW w:w="37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470</w:t>
                  </w:r>
                </w:p>
              </w:tc>
              <w:tc>
                <w:tcPr>
                  <w:tcW w:w="490"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default" w:ascii="Times New Roman" w:hAnsi="Times New Roman" w:cs="Times New Roman" w:eastAsiaTheme="majorEastAsia"/>
                      <w:color w:val="auto"/>
                      <w:kern w:val="0"/>
                      <w:sz w:val="21"/>
                      <w:szCs w:val="21"/>
                      <w:highlight w:val="none"/>
                      <w:lang w:val="en-US" w:eastAsia="zh-CN" w:bidi="ar-SA"/>
                    </w:rPr>
                    <w:t>0.021</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default" w:ascii="Times New Roman" w:hAnsi="Times New Roman" w:cs="Times New Roman" w:eastAsiaTheme="majorEastAsia"/>
                      <w:color w:val="auto"/>
                      <w:kern w:val="0"/>
                      <w:sz w:val="21"/>
                      <w:szCs w:val="21"/>
                      <w:highlight w:val="none"/>
                      <w:lang w:val="en-US" w:eastAsia="zh-CN" w:bidi="ar-SA"/>
                    </w:rPr>
                    <w:t>1.85</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default" w:ascii="Times New Roman" w:hAnsi="Times New Roman" w:cs="Times New Roman" w:eastAsiaTheme="majorEastAsia"/>
                      <w:color w:val="auto"/>
                      <w:kern w:val="0"/>
                      <w:sz w:val="21"/>
                      <w:szCs w:val="21"/>
                      <w:highlight w:val="none"/>
                      <w:lang w:val="en-US" w:eastAsia="zh-CN" w:bidi="ar-SA"/>
                    </w:rPr>
                    <w:t>0.84</w:t>
                  </w:r>
                </w:p>
              </w:tc>
              <w:tc>
                <w:tcPr>
                  <w:tcW w:w="73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1.025</w:t>
                  </w:r>
                </w:p>
              </w:tc>
              <w:tc>
                <w:tcPr>
                  <w:tcW w:w="581"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default" w:ascii="Times New Roman" w:hAnsi="Times New Roman" w:cs="Times New Roman" w:eastAsiaTheme="majorEastAsia"/>
                      <w:color w:val="auto"/>
                      <w:kern w:val="0"/>
                      <w:sz w:val="21"/>
                      <w:szCs w:val="21"/>
                      <w:highlight w:val="non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center"/>
                    <w:outlineLvl w:val="9"/>
                    <w:rPr>
                      <w:rFonts w:hint="default" w:ascii="Times New Roman" w:hAnsi="Times New Roman" w:cs="Times New Roman" w:eastAsiaTheme="majorEastAsia"/>
                      <w:color w:val="auto"/>
                      <w:kern w:val="2"/>
                      <w:sz w:val="21"/>
                      <w:szCs w:val="21"/>
                      <w:highlight w:val="none"/>
                      <w:lang w:val="en-US" w:eastAsia="zh-CN"/>
                    </w:rPr>
                  </w:pPr>
                  <w:r>
                    <w:rPr>
                      <w:rFonts w:hint="eastAsia" w:ascii="Times New Roman" w:hAnsi="Times New Roman" w:cs="Times New Roman" w:eastAsiaTheme="majorEastAsia"/>
                      <w:color w:val="auto"/>
                      <w:kern w:val="2"/>
                      <w:sz w:val="21"/>
                      <w:szCs w:val="21"/>
                      <w:highlight w:val="none"/>
                      <w:lang w:val="en-US" w:eastAsia="zh-CN"/>
                    </w:rPr>
                    <w:t>车间四</w:t>
                  </w:r>
                </w:p>
              </w:tc>
              <w:tc>
                <w:tcPr>
                  <w:tcW w:w="840"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酚类</w:t>
                  </w:r>
                </w:p>
              </w:tc>
              <w:tc>
                <w:tcPr>
                  <w:tcW w:w="61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0.0027</w:t>
                  </w:r>
                </w:p>
              </w:tc>
              <w:tc>
                <w:tcPr>
                  <w:tcW w:w="37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470</w:t>
                  </w:r>
                </w:p>
              </w:tc>
              <w:tc>
                <w:tcPr>
                  <w:tcW w:w="490"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0.021</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1.85</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0.84</w:t>
                  </w:r>
                </w:p>
              </w:tc>
              <w:tc>
                <w:tcPr>
                  <w:tcW w:w="73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0.515</w:t>
                  </w:r>
                </w:p>
              </w:tc>
              <w:tc>
                <w:tcPr>
                  <w:tcW w:w="581"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center"/>
                    <w:outlineLvl w:val="9"/>
                    <w:rPr>
                      <w:rFonts w:hint="default" w:ascii="Times New Roman" w:hAnsi="Times New Roman" w:cs="Times New Roman" w:eastAsiaTheme="majorEastAsia"/>
                      <w:color w:val="auto"/>
                      <w:kern w:val="2"/>
                      <w:sz w:val="21"/>
                      <w:szCs w:val="21"/>
                      <w:highlight w:val="none"/>
                      <w:lang w:val="en-US" w:eastAsia="zh-CN"/>
                    </w:rPr>
                  </w:pPr>
                  <w:r>
                    <w:rPr>
                      <w:rFonts w:hint="eastAsia" w:ascii="Times New Roman" w:hAnsi="Times New Roman" w:cs="Times New Roman" w:eastAsiaTheme="majorEastAsia"/>
                      <w:color w:val="auto"/>
                      <w:kern w:val="2"/>
                      <w:sz w:val="21"/>
                      <w:szCs w:val="21"/>
                      <w:highlight w:val="none"/>
                      <w:lang w:val="en-US" w:eastAsia="zh-CN"/>
                    </w:rPr>
                    <w:t>车间一</w:t>
                  </w:r>
                </w:p>
              </w:tc>
              <w:tc>
                <w:tcPr>
                  <w:tcW w:w="840"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非甲烷总烃</w:t>
                  </w:r>
                </w:p>
              </w:tc>
              <w:tc>
                <w:tcPr>
                  <w:tcW w:w="61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0.0518</w:t>
                  </w:r>
                </w:p>
              </w:tc>
              <w:tc>
                <w:tcPr>
                  <w:tcW w:w="37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470</w:t>
                  </w:r>
                </w:p>
              </w:tc>
              <w:tc>
                <w:tcPr>
                  <w:tcW w:w="490"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0.021</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1.85</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0.84</w:t>
                  </w:r>
                </w:p>
              </w:tc>
              <w:tc>
                <w:tcPr>
                  <w:tcW w:w="73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1.274</w:t>
                  </w:r>
                </w:p>
              </w:tc>
              <w:tc>
                <w:tcPr>
                  <w:tcW w:w="581"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center"/>
                    <w:outlineLvl w:val="9"/>
                    <w:rPr>
                      <w:rFonts w:hint="default" w:ascii="Times New Roman" w:hAnsi="Times New Roman" w:cs="Times New Roman" w:eastAsiaTheme="majorEastAsia"/>
                      <w:color w:val="auto"/>
                      <w:kern w:val="2"/>
                      <w:sz w:val="21"/>
                      <w:szCs w:val="21"/>
                      <w:highlight w:val="none"/>
                      <w:lang w:val="en-US" w:eastAsia="zh-CN"/>
                    </w:rPr>
                  </w:pPr>
                  <w:r>
                    <w:rPr>
                      <w:rFonts w:hint="eastAsia" w:ascii="Times New Roman" w:hAnsi="Times New Roman" w:cs="Times New Roman" w:eastAsiaTheme="majorEastAsia"/>
                      <w:color w:val="auto"/>
                      <w:kern w:val="2"/>
                      <w:sz w:val="21"/>
                      <w:szCs w:val="21"/>
                      <w:highlight w:val="none"/>
                      <w:lang w:val="en-US" w:eastAsia="zh-CN"/>
                    </w:rPr>
                    <w:t>车间二</w:t>
                  </w:r>
                </w:p>
              </w:tc>
              <w:tc>
                <w:tcPr>
                  <w:tcW w:w="840" w:type="pct"/>
                  <w:tcBorders>
                    <w:tl2br w:val="nil"/>
                    <w:tr2bl w:val="nil"/>
                  </w:tcBorders>
                  <w:noWrap w:val="0"/>
                  <w:vAlign w:val="center"/>
                </w:tcPr>
                <w:p>
                  <w:pPr>
                    <w:pStyle w:val="1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非甲烷总烃</w:t>
                  </w:r>
                </w:p>
              </w:tc>
              <w:tc>
                <w:tcPr>
                  <w:tcW w:w="61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ajorEastAsia"/>
                      <w:color w:val="auto"/>
                      <w:sz w:val="21"/>
                      <w:szCs w:val="21"/>
                      <w:highlight w:val="none"/>
                      <w:lang w:val="en-US" w:eastAsia="zh-CN"/>
                    </w:rPr>
                  </w:pPr>
                  <w:r>
                    <w:rPr>
                      <w:rFonts w:hint="eastAsia" w:ascii="Times New Roman" w:hAnsi="Times New Roman" w:cs="Times New Roman" w:eastAsiaTheme="majorEastAsia"/>
                      <w:color w:val="auto"/>
                      <w:sz w:val="21"/>
                      <w:szCs w:val="21"/>
                      <w:highlight w:val="none"/>
                      <w:lang w:val="en-US" w:eastAsia="zh-CN"/>
                    </w:rPr>
                    <w:t>0.0009</w:t>
                  </w:r>
                </w:p>
              </w:tc>
              <w:tc>
                <w:tcPr>
                  <w:tcW w:w="37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470</w:t>
                  </w:r>
                </w:p>
              </w:tc>
              <w:tc>
                <w:tcPr>
                  <w:tcW w:w="490"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0.021</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1.85</w:t>
                  </w:r>
                </w:p>
              </w:tc>
              <w:tc>
                <w:tcPr>
                  <w:tcW w:w="414"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0.84</w:t>
                  </w:r>
                </w:p>
              </w:tc>
              <w:tc>
                <w:tcPr>
                  <w:tcW w:w="738"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0.010</w:t>
                  </w:r>
                </w:p>
              </w:tc>
              <w:tc>
                <w:tcPr>
                  <w:tcW w:w="581" w:type="pct"/>
                  <w:tcBorders>
                    <w:tl2br w:val="nil"/>
                    <w:tr2bl w:val="nil"/>
                  </w:tcBorders>
                  <w:noWrap w:val="0"/>
                  <w:vAlign w:val="center"/>
                </w:tcPr>
                <w:p>
                  <w:pPr>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eastAsiaTheme="majorEastAsia"/>
                      <w:color w:val="auto"/>
                      <w:kern w:val="0"/>
                      <w:sz w:val="21"/>
                      <w:szCs w:val="21"/>
                      <w:highlight w:val="none"/>
                      <w:lang w:val="en-US" w:eastAsia="zh-CN" w:bidi="ar-SA"/>
                    </w:rPr>
                  </w:pPr>
                  <w:r>
                    <w:rPr>
                      <w:rFonts w:hint="eastAsia" w:ascii="Times New Roman" w:hAnsi="Times New Roman" w:cs="Times New Roman" w:eastAsiaTheme="majorEastAsia"/>
                      <w:color w:val="auto"/>
                      <w:kern w:val="0"/>
                      <w:sz w:val="21"/>
                      <w:szCs w:val="21"/>
                      <w:highlight w:val="none"/>
                      <w:lang w:val="en-US" w:eastAsia="zh-CN" w:bidi="ar-SA"/>
                    </w:rPr>
                    <w:t>50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eastAsia="zh-CN"/>
              </w:rPr>
            </w:pPr>
            <w:r>
              <w:rPr>
                <w:rFonts w:hint="default" w:ascii="Times New Roman" w:hAnsi="Times New Roman" w:cs="Times New Roman" w:eastAsiaTheme="majorEastAsia"/>
                <w:color w:val="auto"/>
                <w:kern w:val="2"/>
                <w:sz w:val="24"/>
                <w:szCs w:val="24"/>
                <w:highlight w:val="none"/>
              </w:rPr>
              <w:t>根据《大气有害物质物质无组织排放卫生防护距离推导技术导则》（GB/T39499-2020），全厂卫生防护距离应为：</w:t>
            </w:r>
            <w:r>
              <w:rPr>
                <w:rFonts w:hint="eastAsia" w:ascii="Times New Roman" w:hAnsi="Times New Roman" w:cs="Times New Roman" w:eastAsiaTheme="majorEastAsia"/>
                <w:color w:val="auto"/>
                <w:kern w:val="2"/>
                <w:sz w:val="24"/>
                <w:szCs w:val="24"/>
                <w:highlight w:val="none"/>
                <w:lang w:val="en-US" w:eastAsia="zh-CN"/>
              </w:rPr>
              <w:t>分别</w:t>
            </w:r>
            <w:r>
              <w:rPr>
                <w:rFonts w:hint="default" w:ascii="Times New Roman" w:hAnsi="Times New Roman" w:cs="Times New Roman" w:eastAsiaTheme="majorEastAsia"/>
                <w:color w:val="auto"/>
                <w:kern w:val="2"/>
                <w:sz w:val="24"/>
                <w:szCs w:val="24"/>
                <w:highlight w:val="none"/>
              </w:rPr>
              <w:t>以</w:t>
            </w:r>
            <w:r>
              <w:rPr>
                <w:rFonts w:hint="default" w:ascii="Times New Roman" w:hAnsi="Times New Roman" w:cs="Times New Roman" w:eastAsiaTheme="majorEastAsia"/>
                <w:color w:val="auto"/>
                <w:kern w:val="2"/>
                <w:sz w:val="24"/>
                <w:szCs w:val="24"/>
                <w:highlight w:val="none"/>
                <w:lang w:val="en-US" w:eastAsia="zh-CN"/>
              </w:rPr>
              <w:t>车间</w:t>
            </w:r>
            <w:r>
              <w:rPr>
                <w:rFonts w:hint="eastAsia" w:ascii="Times New Roman" w:hAnsi="Times New Roman" w:cs="Times New Roman" w:eastAsiaTheme="majorEastAsia"/>
                <w:color w:val="auto"/>
                <w:kern w:val="2"/>
                <w:sz w:val="24"/>
                <w:szCs w:val="24"/>
                <w:highlight w:val="none"/>
                <w:lang w:val="en-US" w:eastAsia="zh-CN"/>
              </w:rPr>
              <w:t>一、车间二、车间三、车间四</w:t>
            </w:r>
            <w:r>
              <w:rPr>
                <w:rFonts w:hint="default" w:ascii="Times New Roman" w:hAnsi="Times New Roman" w:cs="Times New Roman" w:eastAsiaTheme="majorEastAsia"/>
                <w:color w:val="auto"/>
                <w:kern w:val="2"/>
                <w:sz w:val="24"/>
                <w:szCs w:val="24"/>
                <w:highlight w:val="none"/>
              </w:rPr>
              <w:t>为执行边界</w:t>
            </w:r>
            <w:r>
              <w:rPr>
                <w:rFonts w:hint="default" w:ascii="Times New Roman" w:hAnsi="Times New Roman" w:cs="Times New Roman" w:eastAsiaTheme="majorEastAsia"/>
                <w:color w:val="auto"/>
                <w:kern w:val="2"/>
                <w:sz w:val="24"/>
                <w:szCs w:val="24"/>
                <w:highlight w:val="none"/>
                <w:lang w:val="en-US" w:eastAsia="zh-CN"/>
              </w:rPr>
              <w:t>设置5</w:t>
            </w:r>
            <w:r>
              <w:rPr>
                <w:rFonts w:hint="default" w:ascii="Times New Roman" w:hAnsi="Times New Roman" w:cs="Times New Roman" w:eastAsiaTheme="majorEastAsia"/>
                <w:color w:val="auto"/>
                <w:kern w:val="2"/>
                <w:sz w:val="24"/>
                <w:szCs w:val="24"/>
                <w:highlight w:val="none"/>
              </w:rPr>
              <w:t>0m</w:t>
            </w:r>
            <w:r>
              <w:rPr>
                <w:rFonts w:hint="default" w:ascii="Times New Roman" w:hAnsi="Times New Roman" w:cs="Times New Roman" w:eastAsiaTheme="majorEastAsia"/>
                <w:color w:val="auto"/>
                <w:kern w:val="2"/>
                <w:sz w:val="24"/>
                <w:szCs w:val="24"/>
                <w:highlight w:val="none"/>
                <w:lang w:eastAsia="zh-CN"/>
              </w:rPr>
              <w:t>的</w:t>
            </w:r>
            <w:r>
              <w:rPr>
                <w:rFonts w:hint="default" w:ascii="Times New Roman" w:hAnsi="Times New Roman" w:cs="Times New Roman" w:eastAsiaTheme="majorEastAsia"/>
                <w:color w:val="auto"/>
                <w:kern w:val="2"/>
                <w:sz w:val="24"/>
                <w:szCs w:val="24"/>
                <w:highlight w:val="none"/>
              </w:rPr>
              <w:t>卫生防护距离，根据现场实际调查，卫生防护距离内无居民。今后该防护距离内不再新建学校、医院、居住区等环境敏感项目。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eastAsia="zh-CN"/>
              </w:rPr>
            </w:pP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szCs w:val="24"/>
                <w:lang w:val="en-US" w:eastAsia="zh-CN"/>
              </w:rPr>
              <w:t>8</w:t>
            </w:r>
            <w:r>
              <w:rPr>
                <w:rFonts w:hint="default" w:ascii="Times New Roman" w:hAnsi="Times New Roman" w:cs="Times New Roman" w:eastAsiaTheme="majorEastAsia"/>
                <w:b/>
                <w:bCs/>
                <w:color w:val="000000"/>
                <w:sz w:val="24"/>
                <w:szCs w:val="24"/>
                <w:lang w:eastAsia="zh-CN"/>
              </w:rPr>
              <w:t>）大气环境影响分析结论</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eastAsia="zh-CN"/>
              </w:rPr>
              <w:t>综上所述，本项目各废气污染物达标排放，对周围大气环境影响较小本项目位于如皋市，</w:t>
            </w:r>
            <w:r>
              <w:rPr>
                <w:rFonts w:hint="default" w:ascii="Times New Roman" w:hAnsi="Times New Roman" w:cs="Times New Roman" w:eastAsiaTheme="majorEastAsia"/>
                <w:color w:val="000000"/>
                <w:sz w:val="24"/>
                <w:szCs w:val="24"/>
              </w:rPr>
              <w:t>项目所在区域属于环境空气</w:t>
            </w:r>
            <w:r>
              <w:rPr>
                <w:rFonts w:hint="eastAsia" w:ascii="Times New Roman" w:hAnsi="Times New Roman" w:cs="Times New Roman" w:eastAsiaTheme="majorEastAsia"/>
                <w:color w:val="000000"/>
                <w:sz w:val="24"/>
                <w:szCs w:val="24"/>
                <w:lang w:val="en-US" w:eastAsia="zh-CN"/>
              </w:rPr>
              <w:t>不</w:t>
            </w:r>
            <w:r>
              <w:rPr>
                <w:rFonts w:hint="default" w:ascii="Times New Roman" w:hAnsi="Times New Roman" w:cs="Times New Roman" w:eastAsiaTheme="majorEastAsia"/>
                <w:color w:val="000000"/>
                <w:sz w:val="24"/>
                <w:szCs w:val="24"/>
              </w:rPr>
              <w:t>达标区。</w:t>
            </w:r>
            <w:r>
              <w:rPr>
                <w:rFonts w:hint="default" w:ascii="Times New Roman" w:hAnsi="Times New Roman" w:cs="Times New Roman" w:eastAsiaTheme="majorEastAsia"/>
                <w:color w:val="000000"/>
                <w:sz w:val="24"/>
                <w:szCs w:val="24"/>
                <w:lang w:eastAsia="zh-CN"/>
              </w:rPr>
              <w:t>本项目</w:t>
            </w:r>
            <w:r>
              <w:rPr>
                <w:rFonts w:hint="default" w:ascii="Times New Roman" w:hAnsi="Times New Roman" w:cs="Times New Roman" w:eastAsiaTheme="majorEastAsia"/>
                <w:color w:val="000000"/>
                <w:sz w:val="24"/>
                <w:szCs w:val="24"/>
                <w:lang w:val="en-US" w:eastAsia="zh-CN"/>
              </w:rPr>
              <w:t>DA001排气筒有组织排放的非甲烷总烃、酚类、氯苯类满足《合成树脂工业污染物排放标准》（GB31572-2015含2024年修改清单）表5标准。</w:t>
            </w:r>
          </w:p>
          <w:p>
            <w:pPr>
              <w:pStyle w:val="13"/>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eastAsiaTheme="majorEastAsia"/>
                <w:color w:val="000000"/>
                <w:sz w:val="24"/>
                <w:szCs w:val="24"/>
                <w:lang w:eastAsia="zh-CN"/>
              </w:rPr>
            </w:pPr>
            <w:r>
              <w:rPr>
                <w:rFonts w:hint="default" w:ascii="Times New Roman" w:hAnsi="Times New Roman" w:cs="Times New Roman" w:eastAsiaTheme="majorEastAsia"/>
                <w:color w:val="000000"/>
                <w:sz w:val="24"/>
                <w:szCs w:val="24"/>
              </w:rPr>
              <w:t>综上所述，本项目</w:t>
            </w:r>
            <w:r>
              <w:rPr>
                <w:rFonts w:hint="default" w:ascii="Times New Roman" w:hAnsi="Times New Roman" w:cs="Times New Roman" w:eastAsiaTheme="majorEastAsia"/>
                <w:color w:val="000000"/>
                <w:sz w:val="24"/>
                <w:szCs w:val="24"/>
                <w:lang w:eastAsia="zh-CN"/>
              </w:rPr>
              <w:t>大气环境影响可接受。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eastAsia="zh-CN"/>
              </w:rPr>
            </w:pPr>
            <w:r>
              <w:rPr>
                <w:rFonts w:hint="default" w:ascii="Times New Roman" w:hAnsi="Times New Roman" w:cs="Times New Roman" w:eastAsiaTheme="majorEastAsia"/>
                <w:b/>
                <w:bCs/>
                <w:color w:val="000000"/>
                <w:sz w:val="24"/>
                <w:szCs w:val="24"/>
                <w:lang w:eastAsia="zh-CN"/>
              </w:rPr>
              <w:t>（</w:t>
            </w:r>
            <w:r>
              <w:rPr>
                <w:rFonts w:hint="default" w:ascii="Times New Roman" w:hAnsi="Times New Roman" w:cs="Times New Roman" w:eastAsiaTheme="majorEastAsia"/>
                <w:b/>
                <w:bCs/>
                <w:color w:val="000000"/>
                <w:sz w:val="24"/>
                <w:szCs w:val="24"/>
                <w:lang w:val="en-US" w:eastAsia="zh-CN"/>
              </w:rPr>
              <w:t>9</w:t>
            </w:r>
            <w:r>
              <w:rPr>
                <w:rFonts w:hint="default" w:ascii="Times New Roman" w:hAnsi="Times New Roman" w:cs="Times New Roman" w:eastAsiaTheme="majorEastAsia"/>
                <w:b/>
                <w:bCs/>
                <w:color w:val="000000"/>
                <w:sz w:val="24"/>
                <w:szCs w:val="24"/>
                <w:lang w:eastAsia="zh-CN"/>
              </w:rPr>
              <w:t>）监测计划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val="en-US" w:eastAsia="zh-CN"/>
              </w:rPr>
              <w:t>①污染源监测计划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000000"/>
                <w:sz w:val="24"/>
                <w:szCs w:val="24"/>
                <w:lang w:val="en-US" w:eastAsia="zh-CN"/>
              </w:rPr>
            </w:pPr>
            <w:r>
              <w:rPr>
                <w:rFonts w:hint="default" w:ascii="Times New Roman" w:hAnsi="Times New Roman" w:cs="Times New Roman" w:eastAsiaTheme="majorEastAsia"/>
                <w:b w:val="0"/>
                <w:bCs w:val="0"/>
                <w:color w:val="000000"/>
                <w:sz w:val="24"/>
                <w:szCs w:val="24"/>
                <w:lang w:eastAsia="zh-CN"/>
              </w:rPr>
              <w:t>项目</w:t>
            </w:r>
            <w:r>
              <w:rPr>
                <w:rFonts w:hint="default" w:ascii="Times New Roman" w:hAnsi="Times New Roman" w:cs="Times New Roman" w:eastAsiaTheme="majorEastAsia"/>
                <w:b w:val="0"/>
                <w:bCs w:val="0"/>
                <w:color w:val="000000"/>
                <w:sz w:val="24"/>
                <w:szCs w:val="24"/>
                <w:lang w:val="en-US" w:eastAsia="zh-CN"/>
              </w:rPr>
              <w:t>建成</w:t>
            </w:r>
            <w:r>
              <w:rPr>
                <w:rFonts w:hint="default" w:ascii="Times New Roman" w:hAnsi="Times New Roman" w:cs="Times New Roman" w:eastAsiaTheme="majorEastAsia"/>
                <w:b w:val="0"/>
                <w:bCs w:val="0"/>
                <w:color w:val="000000"/>
                <w:sz w:val="24"/>
                <w:szCs w:val="24"/>
                <w:lang w:eastAsia="zh-CN"/>
              </w:rPr>
              <w:t>后，根据《排污</w:t>
            </w:r>
            <w:r>
              <w:rPr>
                <w:rFonts w:hint="default" w:ascii="Times New Roman" w:hAnsi="Times New Roman" w:cs="Times New Roman" w:eastAsiaTheme="majorEastAsia"/>
                <w:b w:val="0"/>
                <w:bCs w:val="0"/>
                <w:color w:val="000000"/>
                <w:sz w:val="24"/>
                <w:szCs w:val="24"/>
                <w:lang w:val="en-US" w:eastAsia="zh-CN"/>
              </w:rPr>
              <w:t>单位自行监测技术指南 橡胶和塑料制品</w:t>
            </w:r>
            <w:r>
              <w:rPr>
                <w:rFonts w:hint="default" w:ascii="Times New Roman" w:hAnsi="Times New Roman" w:cs="Times New Roman" w:eastAsiaTheme="majorEastAsia"/>
                <w:b w:val="0"/>
                <w:bCs w:val="0"/>
                <w:color w:val="000000"/>
                <w:sz w:val="24"/>
                <w:szCs w:val="24"/>
                <w:lang w:eastAsia="zh-CN"/>
              </w:rPr>
              <w:t>》（</w:t>
            </w:r>
            <w:r>
              <w:rPr>
                <w:rFonts w:hint="default" w:ascii="Times New Roman" w:hAnsi="Times New Roman" w:cs="Times New Roman" w:eastAsiaTheme="majorEastAsia"/>
                <w:b w:val="0"/>
                <w:bCs w:val="0"/>
                <w:color w:val="000000"/>
                <w:sz w:val="24"/>
                <w:szCs w:val="24"/>
                <w:lang w:val="en-US" w:eastAsia="zh-CN"/>
              </w:rPr>
              <w:t>HJ1207-2021</w:t>
            </w:r>
            <w:r>
              <w:rPr>
                <w:rFonts w:hint="default" w:ascii="Times New Roman" w:hAnsi="Times New Roman" w:cs="Times New Roman" w:eastAsiaTheme="majorEastAsia"/>
                <w:b w:val="0"/>
                <w:bCs w:val="0"/>
                <w:color w:val="000000"/>
                <w:sz w:val="24"/>
                <w:szCs w:val="24"/>
                <w:lang w:eastAsia="zh-CN"/>
              </w:rPr>
              <w:t>）</w:t>
            </w:r>
            <w:r>
              <w:rPr>
                <w:rFonts w:hint="default" w:ascii="Times New Roman" w:hAnsi="Times New Roman" w:cs="Times New Roman" w:eastAsiaTheme="majorEastAsia"/>
                <w:b w:val="0"/>
                <w:bCs w:val="0"/>
                <w:color w:val="000000"/>
                <w:sz w:val="24"/>
                <w:szCs w:val="24"/>
                <w:lang w:val="en-US" w:eastAsia="zh-CN"/>
              </w:rPr>
              <w:t>等相关要求，本项目废气监测项目</w:t>
            </w:r>
            <w:r>
              <w:rPr>
                <w:rFonts w:hint="default" w:ascii="Times New Roman" w:hAnsi="Times New Roman" w:cs="Times New Roman" w:eastAsiaTheme="majorEastAsia"/>
                <w:b w:val="0"/>
                <w:bCs w:val="0"/>
                <w:color w:val="000000"/>
                <w:sz w:val="24"/>
                <w:szCs w:val="24"/>
                <w:lang w:eastAsia="zh-CN"/>
              </w:rPr>
              <w:t>见表4-</w:t>
            </w:r>
            <w:r>
              <w:rPr>
                <w:rFonts w:hint="default" w:ascii="Times New Roman" w:hAnsi="Times New Roman" w:cs="Times New Roman" w:eastAsiaTheme="majorEastAsia"/>
                <w:b w:val="0"/>
                <w:bCs w:val="0"/>
                <w:color w:val="000000"/>
                <w:sz w:val="24"/>
                <w:szCs w:val="24"/>
                <w:lang w:val="en-US" w:eastAsia="zh-CN"/>
              </w:rPr>
              <w:t>1</w:t>
            </w:r>
            <w:r>
              <w:rPr>
                <w:rFonts w:hint="eastAsia" w:ascii="Times New Roman" w:hAnsi="Times New Roman" w:cs="Times New Roman" w:eastAsiaTheme="majorEastAsia"/>
                <w:b w:val="0"/>
                <w:bCs w:val="0"/>
                <w:color w:val="000000"/>
                <w:sz w:val="24"/>
                <w:szCs w:val="24"/>
                <w:lang w:val="en-US" w:eastAsia="zh-CN"/>
              </w:rPr>
              <w:t>9</w:t>
            </w:r>
            <w:r>
              <w:rPr>
                <w:rFonts w:hint="default" w:ascii="Times New Roman" w:hAnsi="Times New Roman" w:cs="Times New Roman" w:eastAsiaTheme="majorEastAsia"/>
                <w:b w:val="0"/>
                <w:bCs w:val="0"/>
                <w:color w:val="00000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ajorEastAsia"/>
                <w:b/>
                <w:bCs/>
                <w:color w:val="000000"/>
                <w:sz w:val="24"/>
                <w:szCs w:val="24"/>
                <w:lang w:eastAsia="zh-CN"/>
              </w:rPr>
            </w:pPr>
            <w:r>
              <w:rPr>
                <w:rFonts w:hint="default" w:ascii="Times New Roman" w:hAnsi="Times New Roman" w:cs="Times New Roman" w:eastAsiaTheme="majorEastAsia"/>
                <w:b/>
                <w:bCs/>
                <w:color w:val="000000"/>
                <w:sz w:val="24"/>
                <w:szCs w:val="24"/>
                <w:lang w:eastAsia="zh-CN"/>
              </w:rPr>
              <w:t>表 4-</w:t>
            </w:r>
            <w:r>
              <w:rPr>
                <w:rFonts w:hint="default" w:ascii="Times New Roman" w:hAnsi="Times New Roman" w:cs="Times New Roman" w:eastAsiaTheme="majorEastAsia"/>
                <w:b/>
                <w:bCs/>
                <w:color w:val="000000"/>
                <w:sz w:val="24"/>
                <w:szCs w:val="24"/>
                <w:lang w:val="en-US" w:eastAsia="zh-CN"/>
              </w:rPr>
              <w:t>1</w:t>
            </w:r>
            <w:r>
              <w:rPr>
                <w:rFonts w:hint="eastAsia" w:ascii="Times New Roman" w:hAnsi="Times New Roman" w:cs="Times New Roman" w:eastAsiaTheme="majorEastAsia"/>
                <w:b/>
                <w:bCs/>
                <w:color w:val="000000"/>
                <w:sz w:val="24"/>
                <w:szCs w:val="24"/>
                <w:lang w:val="en-US" w:eastAsia="zh-CN"/>
              </w:rPr>
              <w:t>9</w:t>
            </w:r>
            <w:r>
              <w:rPr>
                <w:rFonts w:hint="default" w:ascii="Times New Roman" w:hAnsi="Times New Roman" w:cs="Times New Roman" w:eastAsiaTheme="majorEastAsia"/>
                <w:b/>
                <w:bCs/>
                <w:color w:val="000000"/>
                <w:sz w:val="24"/>
                <w:szCs w:val="24"/>
                <w:lang w:val="en-US" w:eastAsia="zh-CN"/>
              </w:rPr>
              <w:t xml:space="preserve"> </w:t>
            </w:r>
            <w:r>
              <w:rPr>
                <w:rFonts w:hint="default" w:ascii="Times New Roman" w:hAnsi="Times New Roman" w:cs="Times New Roman" w:eastAsiaTheme="majorEastAsia"/>
                <w:b/>
                <w:bCs/>
                <w:color w:val="000000"/>
                <w:sz w:val="24"/>
                <w:szCs w:val="24"/>
                <w:lang w:eastAsia="zh-CN"/>
              </w:rPr>
              <w:t xml:space="preserve"> 大气污染源监测计划</w:t>
            </w:r>
          </w:p>
          <w:tbl>
            <w:tblPr>
              <w:tblStyle w:val="26"/>
              <w:tblW w:w="4998"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20"/>
              <w:gridCol w:w="1119"/>
              <w:gridCol w:w="3127"/>
              <w:gridCol w:w="1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监测对象</w:t>
                  </w:r>
                </w:p>
              </w:tc>
              <w:tc>
                <w:tcPr>
                  <w:tcW w:w="1450"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监测点位</w:t>
                  </w:r>
                </w:p>
              </w:tc>
              <w:tc>
                <w:tcPr>
                  <w:tcW w:w="20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监测指标</w:t>
                  </w:r>
                </w:p>
              </w:tc>
              <w:tc>
                <w:tcPr>
                  <w:tcW w:w="9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b/>
                      <w:bCs/>
                      <w:color w:val="000000"/>
                      <w:kern w:val="0"/>
                      <w:sz w:val="21"/>
                      <w:szCs w:val="21"/>
                    </w:rPr>
                  </w:pPr>
                  <w:r>
                    <w:rPr>
                      <w:rFonts w:hint="default" w:ascii="Times New Roman" w:hAnsi="Times New Roman" w:cs="Times New Roman" w:eastAsiaTheme="majorEastAsia"/>
                      <w:b/>
                      <w:bCs/>
                      <w:color w:val="000000"/>
                      <w:kern w:val="0"/>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62"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val="en-US" w:eastAsia="zh-CN"/>
                    </w:rPr>
                  </w:pPr>
                  <w:r>
                    <w:rPr>
                      <w:rFonts w:hint="default" w:ascii="Times New Roman" w:hAnsi="Times New Roman" w:cs="Times New Roman" w:eastAsiaTheme="majorEastAsia"/>
                      <w:color w:val="000000"/>
                      <w:kern w:val="0"/>
                      <w:sz w:val="21"/>
                      <w:szCs w:val="21"/>
                      <w:lang w:val="en-US" w:eastAsia="zh-CN"/>
                    </w:rPr>
                    <w:t>废气</w:t>
                  </w:r>
                </w:p>
              </w:tc>
              <w:tc>
                <w:tcPr>
                  <w:tcW w:w="1450" w:type="pct"/>
                  <w:gridSpan w:val="2"/>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val="en-US" w:eastAsia="zh-CN"/>
                    </w:rPr>
                  </w:pPr>
                  <w:r>
                    <w:rPr>
                      <w:rFonts w:hint="default" w:ascii="Times New Roman" w:hAnsi="Times New Roman" w:cs="Times New Roman" w:eastAsiaTheme="majorEastAsia"/>
                      <w:color w:val="000000"/>
                      <w:kern w:val="0"/>
                      <w:sz w:val="21"/>
                      <w:szCs w:val="21"/>
                      <w:lang w:val="en-US" w:eastAsia="zh-CN"/>
                    </w:rPr>
                    <w:t>DA001</w:t>
                  </w:r>
                </w:p>
              </w:tc>
              <w:tc>
                <w:tcPr>
                  <w:tcW w:w="202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vertAlign w:val="baseline"/>
                      <w:lang w:val="en-US" w:eastAsia="zh-CN"/>
                    </w:rPr>
                  </w:pPr>
                  <w:r>
                    <w:rPr>
                      <w:rFonts w:hint="default" w:ascii="Times New Roman" w:hAnsi="Times New Roman" w:cs="Times New Roman" w:eastAsiaTheme="majorEastAsia"/>
                      <w:color w:val="000000"/>
                      <w:sz w:val="21"/>
                      <w:szCs w:val="21"/>
                      <w:vertAlign w:val="baseline"/>
                      <w:lang w:val="en-US" w:eastAsia="zh-CN"/>
                    </w:rPr>
                    <w:t>非甲烷总烃</w:t>
                  </w:r>
                </w:p>
              </w:tc>
              <w:tc>
                <w:tcPr>
                  <w:tcW w:w="96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lang w:val="en-US" w:eastAsia="zh-CN"/>
                    </w:rPr>
                    <w:t>半</w:t>
                  </w:r>
                  <w:r>
                    <w:rPr>
                      <w:rFonts w:hint="default" w:ascii="Times New Roman" w:hAnsi="Times New Roman" w:cs="Times New Roman" w:eastAsiaTheme="majorEastAsia"/>
                      <w:color w:val="000000"/>
                      <w:sz w:val="21"/>
                      <w:szCs w:val="21"/>
                      <w:lang w:eastAsia="zh-CN"/>
                    </w:rPr>
                    <w:t>年</w:t>
                  </w:r>
                  <w:r>
                    <w:rPr>
                      <w:rFonts w:hint="default" w:ascii="Times New Roman" w:hAnsi="Times New Roman" w:cs="Times New Roman" w:eastAsiaTheme="majorEastAsia"/>
                      <w:color w:val="000000"/>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62"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val="en-US" w:eastAsia="zh-CN"/>
                    </w:rPr>
                  </w:pPr>
                </w:p>
              </w:tc>
              <w:tc>
                <w:tcPr>
                  <w:tcW w:w="1450" w:type="pct"/>
                  <w:gridSpan w:val="2"/>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val="en-US" w:eastAsia="zh-CN"/>
                    </w:rPr>
                  </w:pPr>
                </w:p>
              </w:tc>
              <w:tc>
                <w:tcPr>
                  <w:tcW w:w="202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vertAlign w:val="baseline"/>
                      <w:lang w:val="en-US" w:eastAsia="zh-CN"/>
                    </w:rPr>
                  </w:pPr>
                  <w:r>
                    <w:rPr>
                      <w:rFonts w:hint="default" w:ascii="Times New Roman" w:hAnsi="Times New Roman" w:cs="Times New Roman" w:eastAsiaTheme="majorEastAsia"/>
                      <w:color w:val="000000"/>
                      <w:sz w:val="21"/>
                      <w:szCs w:val="21"/>
                      <w:vertAlign w:val="baseline"/>
                      <w:lang w:val="en-US" w:eastAsia="zh-CN"/>
                    </w:rPr>
                    <w:t>酚类、氯苯类</w:t>
                  </w:r>
                </w:p>
              </w:tc>
              <w:tc>
                <w:tcPr>
                  <w:tcW w:w="96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eastAsia="zh-CN"/>
                    </w:rPr>
                    <w:t>年</w:t>
                  </w:r>
                  <w:r>
                    <w:rPr>
                      <w:rFonts w:hint="default" w:ascii="Times New Roman" w:hAnsi="Times New Roman" w:cs="Times New Roman" w:eastAsiaTheme="majorEastAsia"/>
                      <w:color w:val="000000"/>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2"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rPr>
                  </w:pPr>
                </w:p>
              </w:tc>
              <w:tc>
                <w:tcPr>
                  <w:tcW w:w="725" w:type="pct"/>
                  <w:vMerge w:val="restart"/>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eastAsia="zh-CN"/>
                    </w:rPr>
                  </w:pPr>
                  <w:r>
                    <w:rPr>
                      <w:rFonts w:hint="default" w:ascii="Times New Roman" w:hAnsi="Times New Roman" w:cs="Times New Roman" w:eastAsiaTheme="majorEastAsia"/>
                      <w:color w:val="000000"/>
                      <w:kern w:val="0"/>
                      <w:sz w:val="21"/>
                      <w:szCs w:val="21"/>
                      <w:lang w:eastAsia="zh-CN"/>
                    </w:rPr>
                    <w:t>无组织</w:t>
                  </w:r>
                </w:p>
              </w:tc>
              <w:tc>
                <w:tcPr>
                  <w:tcW w:w="724" w:type="pct"/>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eastAsia="zh-CN"/>
                    </w:rPr>
                  </w:pPr>
                  <w:r>
                    <w:rPr>
                      <w:rFonts w:hint="default" w:ascii="Times New Roman" w:hAnsi="Times New Roman" w:cs="Times New Roman" w:eastAsiaTheme="majorEastAsia"/>
                      <w:color w:val="000000"/>
                      <w:kern w:val="0"/>
                      <w:sz w:val="21"/>
                      <w:szCs w:val="21"/>
                      <w:lang w:eastAsia="zh-CN"/>
                    </w:rPr>
                    <w:t>厂界</w:t>
                  </w:r>
                </w:p>
              </w:tc>
              <w:tc>
                <w:tcPr>
                  <w:tcW w:w="202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eastAsia="zh-CN"/>
                    </w:rPr>
                    <w:t>颗粒物、非甲烷总烃、</w:t>
                  </w:r>
                  <w:r>
                    <w:rPr>
                      <w:rFonts w:hint="default" w:ascii="Times New Roman" w:hAnsi="Times New Roman" w:cs="Times New Roman" w:eastAsiaTheme="majorEastAsia"/>
                      <w:color w:val="000000"/>
                      <w:sz w:val="21"/>
                      <w:szCs w:val="21"/>
                      <w:vertAlign w:val="baseline"/>
                      <w:lang w:val="en-US" w:eastAsia="zh-CN"/>
                    </w:rPr>
                    <w:t>酚类、氯苯类、臭气浓度</w:t>
                  </w:r>
                </w:p>
              </w:tc>
              <w:tc>
                <w:tcPr>
                  <w:tcW w:w="961"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rPr>
                  </w:pPr>
                  <w:r>
                    <w:rPr>
                      <w:rFonts w:hint="default" w:ascii="Times New Roman" w:hAnsi="Times New Roman" w:cs="Times New Roman" w:eastAsiaTheme="majorEastAsia"/>
                      <w:color w:val="000000"/>
                      <w:sz w:val="21"/>
                      <w:szCs w:val="21"/>
                      <w:lang w:eastAsia="zh-CN"/>
                    </w:rPr>
                    <w:t>年</w:t>
                  </w:r>
                  <w:r>
                    <w:rPr>
                      <w:rFonts w:hint="default" w:ascii="Times New Roman" w:hAnsi="Times New Roman" w:cs="Times New Roman" w:eastAsiaTheme="majorEastAsia"/>
                      <w:color w:val="000000"/>
                      <w:sz w:val="21"/>
                      <w:szCs w:val="21"/>
                      <w:lang w:val="en-US"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2"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rPr>
                  </w:pPr>
                </w:p>
              </w:tc>
              <w:tc>
                <w:tcPr>
                  <w:tcW w:w="725" w:type="pct"/>
                  <w:vMerge w:val="continue"/>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lang w:eastAsia="zh-CN"/>
                    </w:rPr>
                  </w:pPr>
                </w:p>
              </w:tc>
              <w:tc>
                <w:tcPr>
                  <w:tcW w:w="724" w:type="pct"/>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rPr>
                  </w:pPr>
                  <w:r>
                    <w:rPr>
                      <w:rFonts w:hint="default" w:ascii="Times New Roman" w:hAnsi="Times New Roman" w:cs="Times New Roman" w:eastAsiaTheme="majorEastAsia"/>
                      <w:color w:val="000000"/>
                      <w:kern w:val="0"/>
                      <w:sz w:val="21"/>
                      <w:szCs w:val="21"/>
                    </w:rPr>
                    <w:t>厂区内</w:t>
                  </w:r>
                </w:p>
              </w:tc>
              <w:tc>
                <w:tcPr>
                  <w:tcW w:w="202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lang w:eastAsia="zh-CN"/>
                    </w:rPr>
                    <w:t>非甲烷总烃</w:t>
                  </w:r>
                </w:p>
              </w:tc>
              <w:tc>
                <w:tcPr>
                  <w:tcW w:w="961" w:type="pct"/>
                  <w:vMerge w:val="continue"/>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000000"/>
                      <w:kern w:val="0"/>
                      <w:sz w:val="21"/>
                      <w:szCs w:val="21"/>
                    </w:rPr>
                  </w:pP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0"/>
                <w:sz w:val="24"/>
                <w:szCs w:val="24"/>
              </w:rPr>
            </w:pPr>
            <w:r>
              <w:rPr>
                <w:rFonts w:hint="default" w:ascii="Times New Roman" w:hAnsi="Times New Roman" w:cs="Times New Roman" w:eastAsiaTheme="majorEastAsia"/>
                <w:color w:val="auto"/>
                <w:kern w:val="0"/>
                <w:sz w:val="24"/>
                <w:szCs w:val="24"/>
              </w:rPr>
              <w:fldChar w:fldCharType="begin"/>
            </w:r>
            <w:r>
              <w:rPr>
                <w:rFonts w:hint="default" w:ascii="Times New Roman" w:hAnsi="Times New Roman" w:cs="Times New Roman" w:eastAsiaTheme="majorEastAsia"/>
                <w:color w:val="auto"/>
                <w:kern w:val="0"/>
                <w:sz w:val="24"/>
                <w:szCs w:val="24"/>
              </w:rPr>
              <w:instrText xml:space="preserve"> = 2 \* GB3 </w:instrText>
            </w:r>
            <w:r>
              <w:rPr>
                <w:rFonts w:hint="default" w:ascii="Times New Roman" w:hAnsi="Times New Roman" w:cs="Times New Roman" w:eastAsiaTheme="majorEastAsia"/>
                <w:color w:val="auto"/>
                <w:kern w:val="0"/>
                <w:sz w:val="24"/>
                <w:szCs w:val="24"/>
              </w:rPr>
              <w:fldChar w:fldCharType="separate"/>
            </w:r>
            <w:r>
              <w:rPr>
                <w:rFonts w:hint="default" w:ascii="Times New Roman" w:hAnsi="Times New Roman" w:cs="Times New Roman" w:eastAsiaTheme="majorEastAsia"/>
                <w:color w:val="auto"/>
                <w:kern w:val="0"/>
                <w:sz w:val="24"/>
                <w:szCs w:val="24"/>
              </w:rPr>
              <w:t>②</w:t>
            </w:r>
            <w:r>
              <w:rPr>
                <w:rFonts w:hint="default" w:ascii="Times New Roman" w:hAnsi="Times New Roman" w:cs="Times New Roman" w:eastAsiaTheme="majorEastAsia"/>
                <w:color w:val="auto"/>
                <w:kern w:val="0"/>
                <w:sz w:val="24"/>
                <w:szCs w:val="24"/>
              </w:rPr>
              <w:fldChar w:fldCharType="end"/>
            </w:r>
            <w:r>
              <w:rPr>
                <w:rFonts w:hint="default" w:ascii="Times New Roman" w:hAnsi="Times New Roman" w:cs="Times New Roman" w:eastAsiaTheme="majorEastAsia"/>
                <w:color w:val="auto"/>
                <w:sz w:val="24"/>
                <w:szCs w:val="24"/>
              </w:rPr>
              <w:t>“三同时”验收监测计划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color w:val="auto"/>
                <w:sz w:val="24"/>
                <w:szCs w:val="24"/>
              </w:rPr>
              <w:t>根据《建设项目竣工环境保护验收技术指南 污染影响类》，</w:t>
            </w:r>
            <w:r>
              <w:rPr>
                <w:rFonts w:hint="default" w:ascii="Times New Roman" w:hAnsi="Times New Roman" w:cs="Times New Roman" w:eastAsiaTheme="majorEastAsia"/>
                <w:bCs/>
                <w:color w:val="auto"/>
                <w:sz w:val="24"/>
                <w:szCs w:val="24"/>
              </w:rPr>
              <w:t>建设项目需针对大气污染源、废水污染源、噪声污染源制定验收监测计划。</w:t>
            </w:r>
            <w:r>
              <w:rPr>
                <w:rFonts w:hint="default" w:ascii="Times New Roman" w:hAnsi="Times New Roman" w:cs="Times New Roman" w:eastAsiaTheme="majorEastAsia"/>
                <w:color w:val="auto"/>
                <w:sz w:val="24"/>
                <w:szCs w:val="24"/>
              </w:rPr>
              <w:t>本项目废气监测点、监测项目及监测频次</w:t>
            </w:r>
            <w:r>
              <w:rPr>
                <w:rFonts w:hint="default" w:ascii="Times New Roman" w:hAnsi="Times New Roman" w:cs="Times New Roman" w:eastAsiaTheme="majorEastAsia"/>
                <w:bCs/>
                <w:color w:val="auto"/>
                <w:sz w:val="24"/>
                <w:szCs w:val="24"/>
              </w:rPr>
              <w:t>见下表。</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20</w:t>
            </w:r>
            <w:r>
              <w:rPr>
                <w:rFonts w:hint="default" w:ascii="Times New Roman" w:hAnsi="Times New Roman" w:cs="Times New Roman" w:eastAsiaTheme="majorEastAsia"/>
                <w:b/>
                <w:bCs/>
                <w:color w:val="auto"/>
                <w:sz w:val="24"/>
                <w:szCs w:val="24"/>
              </w:rPr>
              <w:t xml:space="preserve"> 验收监测计划表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
            <w:tblGrid>
              <w:gridCol w:w="998"/>
              <w:gridCol w:w="1390"/>
              <w:gridCol w:w="3112"/>
              <w:gridCol w:w="1061"/>
              <w:gridCol w:w="11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 w:hRule="atLeast"/>
                <w:jc w:val="center"/>
              </w:trPr>
              <w:tc>
                <w:tcPr>
                  <w:tcW w:w="646"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b/>
                      <w:color w:val="auto"/>
                      <w:sz w:val="21"/>
                      <w:szCs w:val="21"/>
                    </w:rPr>
                    <w:t>种类</w:t>
                  </w:r>
                </w:p>
              </w:tc>
              <w:tc>
                <w:tcPr>
                  <w:tcW w:w="90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b/>
                      <w:color w:val="auto"/>
                      <w:sz w:val="21"/>
                      <w:szCs w:val="21"/>
                    </w:rPr>
                    <w:t>监测点位</w:t>
                  </w:r>
                </w:p>
              </w:tc>
              <w:tc>
                <w:tcPr>
                  <w:tcW w:w="2015"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b/>
                      <w:color w:val="auto"/>
                      <w:sz w:val="21"/>
                      <w:szCs w:val="21"/>
                    </w:rPr>
                    <w:t>监测项目</w:t>
                  </w:r>
                </w:p>
              </w:tc>
              <w:tc>
                <w:tcPr>
                  <w:tcW w:w="68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b/>
                      <w:color w:val="auto"/>
                      <w:sz w:val="21"/>
                      <w:szCs w:val="21"/>
                    </w:rPr>
                    <w:t>点位数</w:t>
                  </w:r>
                </w:p>
              </w:tc>
              <w:tc>
                <w:tcPr>
                  <w:tcW w:w="75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color w:val="auto"/>
                      <w:sz w:val="21"/>
                      <w:szCs w:val="21"/>
                    </w:rPr>
                  </w:pPr>
                  <w:r>
                    <w:rPr>
                      <w:rFonts w:hint="default" w:ascii="Times New Roman" w:hAnsi="Times New Roman" w:cs="Times New Roman" w:eastAsiaTheme="majorEastAsia"/>
                      <w:b/>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646" w:type="pct"/>
                  <w:vMerge w:val="restar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废气</w:t>
                  </w:r>
                </w:p>
              </w:tc>
              <w:tc>
                <w:tcPr>
                  <w:tcW w:w="90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000000"/>
                      <w:kern w:val="0"/>
                      <w:sz w:val="21"/>
                      <w:szCs w:val="21"/>
                      <w:lang w:val="en-US" w:eastAsia="zh-CN"/>
                    </w:rPr>
                    <w:t>DA001</w:t>
                  </w:r>
                </w:p>
              </w:tc>
              <w:tc>
                <w:tcPr>
                  <w:tcW w:w="2015"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000000"/>
                      <w:sz w:val="21"/>
                      <w:szCs w:val="21"/>
                      <w:vertAlign w:val="baseline"/>
                      <w:lang w:val="en-US" w:eastAsia="zh-CN"/>
                    </w:rPr>
                    <w:t>非甲烷总烃、酚类、氯苯类</w:t>
                  </w:r>
                </w:p>
              </w:tc>
              <w:tc>
                <w:tcPr>
                  <w:tcW w:w="6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lang w:val="en-US" w:eastAsia="zh-CN"/>
                    </w:rPr>
                    <w:t>2（进口、出口）</w:t>
                  </w:r>
                </w:p>
              </w:tc>
              <w:tc>
                <w:tcPr>
                  <w:tcW w:w="750" w:type="pct"/>
                  <w:vMerge w:val="restar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Cs w:val="21"/>
                    </w:rPr>
                  </w:pPr>
                  <w:r>
                    <w:rPr>
                      <w:rFonts w:hint="default" w:ascii="Times New Roman" w:hAnsi="Times New Roman" w:cs="Times New Roman" w:eastAsiaTheme="majorEastAsia"/>
                      <w:color w:val="auto"/>
                      <w:szCs w:val="21"/>
                    </w:rPr>
                    <w:t>连续2天</w:t>
                  </w:r>
                </w:p>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Cs w:val="21"/>
                    </w:rPr>
                    <w:t>每天3次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646" w:type="pct"/>
                  <w:vMerge w:val="continue"/>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90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厂界</w:t>
                  </w:r>
                </w:p>
              </w:tc>
              <w:tc>
                <w:tcPr>
                  <w:tcW w:w="201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000000"/>
                      <w:sz w:val="21"/>
                      <w:szCs w:val="21"/>
                      <w:lang w:eastAsia="zh-CN"/>
                    </w:rPr>
                    <w:t>颗粒物、非甲烷总烃、</w:t>
                  </w:r>
                  <w:r>
                    <w:rPr>
                      <w:rFonts w:hint="default" w:ascii="Times New Roman" w:hAnsi="Times New Roman" w:cs="Times New Roman" w:eastAsiaTheme="majorEastAsia"/>
                      <w:color w:val="000000"/>
                      <w:sz w:val="21"/>
                      <w:szCs w:val="21"/>
                      <w:vertAlign w:val="baseline"/>
                      <w:lang w:val="en-US" w:eastAsia="zh-CN"/>
                    </w:rPr>
                    <w:t>酚类、氯苯类、臭气浓度</w:t>
                  </w:r>
                </w:p>
              </w:tc>
              <w:tc>
                <w:tcPr>
                  <w:tcW w:w="68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4</w:t>
                  </w:r>
                </w:p>
              </w:tc>
              <w:tc>
                <w:tcPr>
                  <w:tcW w:w="750" w:type="pct"/>
                  <w:vMerge w:val="continue"/>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646" w:type="pct"/>
                  <w:vMerge w:val="continue"/>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90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厂区内</w:t>
                  </w:r>
                </w:p>
              </w:tc>
              <w:tc>
                <w:tcPr>
                  <w:tcW w:w="2015" w:type="pct"/>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000000"/>
                      <w:sz w:val="21"/>
                      <w:szCs w:val="21"/>
                      <w:lang w:eastAsia="zh-CN"/>
                    </w:rPr>
                    <w:t>非甲烷总烃</w:t>
                  </w:r>
                </w:p>
              </w:tc>
              <w:tc>
                <w:tcPr>
                  <w:tcW w:w="68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lang w:val="en-US" w:eastAsia="zh-CN"/>
                    </w:rPr>
                  </w:pPr>
                  <w:r>
                    <w:rPr>
                      <w:rFonts w:hint="default" w:ascii="Times New Roman" w:hAnsi="Times New Roman" w:cs="Times New Roman" w:eastAsiaTheme="majorEastAsia"/>
                      <w:color w:val="auto"/>
                      <w:sz w:val="21"/>
                      <w:szCs w:val="21"/>
                      <w:lang w:val="en-US" w:eastAsia="zh-CN"/>
                    </w:rPr>
                    <w:t>1</w:t>
                  </w:r>
                </w:p>
              </w:tc>
              <w:tc>
                <w:tcPr>
                  <w:tcW w:w="750" w:type="pct"/>
                  <w:vMerge w:val="continue"/>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17" w:hRule="atLeast"/>
                <w:jc w:val="center"/>
              </w:trPr>
              <w:tc>
                <w:tcPr>
                  <w:tcW w:w="646"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注意事项</w:t>
                  </w:r>
                </w:p>
              </w:tc>
              <w:tc>
                <w:tcPr>
                  <w:tcW w:w="4353" w:type="pct"/>
                  <w:gridSpan w:val="4"/>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列出监测期间天气状况、风向、风速、气温、温度、大气压。</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ajorEastAsia"/>
                <w:b/>
                <w:bCs/>
                <w:color w:val="000000"/>
                <w:sz w:val="24"/>
                <w:szCs w:val="24"/>
                <w:lang w:val="en-US" w:eastAsia="zh-CN"/>
              </w:rPr>
            </w:pPr>
            <w:r>
              <w:rPr>
                <w:rFonts w:hint="default" w:ascii="Times New Roman" w:hAnsi="Times New Roman" w:cs="Times New Roman" w:eastAsiaTheme="majorEastAsia"/>
                <w:b/>
                <w:bCs/>
                <w:color w:val="000000"/>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①产排污环节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根据企业产品行业分类、原料存储、生产工艺等情况，对照《江苏省重点行业工业企业雨水排放环境管理办法（试行）》（征求意见稿），其中“第二条 江苏省重点行业工业企业雨水收集和排放环境管理适用本办法。本办法所称重点行业工业企业，是指化工、电镀、原料药制造、冶炼、印染行业的工业企业，以下简称“工业企业”。第二十九条 造纸、制革、平板玻璃、水泥、钢铁等行业工业企业雨水收集和排放环境管理可参照本办法执行。”对照《国民经济行业分类》（GB/T 4754-2017），产品分类为〔C2922〕塑料板、管、型材制造。企业不属于其中重点行业工业企业，亦不属于造纸、制革、平板玻璃、水泥、钢铁行业，因此本项目无需设置雨水排水措施，仅设置雨水排放口。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根据本项目水平衡分析，本项目设备、产品、地面均无需清洗，废水主要为员工生活污水。</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color w:val="000000"/>
                <w:sz w:val="24"/>
                <w:szCs w:val="24"/>
                <w:lang w:val="en-US" w:eastAsia="zh-CN"/>
              </w:rPr>
            </w:pPr>
            <w:r>
              <w:rPr>
                <w:rFonts w:hint="default" w:ascii="Times New Roman" w:hAnsi="Times New Roman" w:cs="Times New Roman" w:eastAsiaTheme="majorEastAsia"/>
                <w:color w:val="000000"/>
                <w:sz w:val="24"/>
                <w:szCs w:val="24"/>
                <w:lang w:val="en-US" w:eastAsia="zh-CN"/>
              </w:rPr>
              <w:t>②污染物产生及排放情况</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sz w:val="24"/>
                <w:szCs w:val="24"/>
              </w:rPr>
            </w:pPr>
            <w:r>
              <w:rPr>
                <w:rFonts w:hint="default" w:ascii="Times New Roman" w:hAnsi="Times New Roman" w:cs="Times New Roman" w:eastAsiaTheme="majorEastAsia"/>
                <w:b/>
                <w:sz w:val="24"/>
                <w:szCs w:val="24"/>
              </w:rPr>
              <w:t>表4-</w:t>
            </w:r>
            <w:r>
              <w:rPr>
                <w:rFonts w:hint="eastAsia" w:ascii="Times New Roman" w:hAnsi="Times New Roman" w:cs="Times New Roman" w:eastAsiaTheme="majorEastAsia"/>
                <w:b/>
                <w:sz w:val="24"/>
                <w:szCs w:val="24"/>
                <w:lang w:val="en-US" w:eastAsia="zh-CN"/>
              </w:rPr>
              <w:t>21</w:t>
            </w:r>
            <w:r>
              <w:rPr>
                <w:rFonts w:hint="default" w:ascii="Times New Roman" w:hAnsi="Times New Roman" w:cs="Times New Roman" w:eastAsiaTheme="majorEastAsia"/>
                <w:b/>
                <w:sz w:val="24"/>
                <w:szCs w:val="24"/>
              </w:rPr>
              <w:t xml:space="preserve">  本项目水污染物产生及排放状况</w:t>
            </w:r>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16"/>
              <w:gridCol w:w="825"/>
              <w:gridCol w:w="740"/>
              <w:gridCol w:w="866"/>
              <w:gridCol w:w="612"/>
              <w:gridCol w:w="777"/>
              <w:gridCol w:w="887"/>
              <w:gridCol w:w="709"/>
              <w:gridCol w:w="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污染源</w:t>
                  </w:r>
                </w:p>
              </w:tc>
              <w:tc>
                <w:tcPr>
                  <w:tcW w:w="52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废水量m</w:t>
                  </w:r>
                  <w:r>
                    <w:rPr>
                      <w:rFonts w:hint="default" w:ascii="Times New Roman" w:hAnsi="Times New Roman" w:cs="Times New Roman" w:eastAsiaTheme="majorEastAsia"/>
                      <w:b/>
                      <w:kern w:val="0"/>
                      <w:sz w:val="21"/>
                      <w:szCs w:val="21"/>
                      <w:vertAlign w:val="superscript"/>
                    </w:rPr>
                    <w:t>3</w:t>
                  </w:r>
                  <w:r>
                    <w:rPr>
                      <w:rFonts w:hint="default" w:ascii="Times New Roman" w:hAnsi="Times New Roman" w:cs="Times New Roman" w:eastAsiaTheme="majorEastAsia"/>
                      <w:b/>
                      <w:kern w:val="0"/>
                      <w:sz w:val="21"/>
                      <w:szCs w:val="21"/>
                    </w:rPr>
                    <w:t>/a</w:t>
                  </w:r>
                </w:p>
              </w:tc>
              <w:tc>
                <w:tcPr>
                  <w:tcW w:w="534"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污染物名称</w:t>
                  </w:r>
                </w:p>
              </w:tc>
              <w:tc>
                <w:tcPr>
                  <w:tcW w:w="1040"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污染物产生情况</w:t>
                  </w:r>
                </w:p>
              </w:tc>
              <w:tc>
                <w:tcPr>
                  <w:tcW w:w="39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治理</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措施</w:t>
                  </w:r>
                </w:p>
              </w:tc>
              <w:tc>
                <w:tcPr>
                  <w:tcW w:w="107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污染物排放情况</w:t>
                  </w:r>
                </w:p>
              </w:tc>
              <w:tc>
                <w:tcPr>
                  <w:tcW w:w="45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标准浓度限值mg/L</w:t>
                  </w:r>
                </w:p>
              </w:tc>
              <w:tc>
                <w:tcPr>
                  <w:tcW w:w="49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排放</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cs="Times New Roman" w:eastAsiaTheme="majorEastAsia"/>
                      <w:b/>
                      <w:kern w:val="0"/>
                      <w:sz w:val="21"/>
                      <w:szCs w:val="21"/>
                      <w:lang w:val="en-US" w:eastAsia="zh-CN"/>
                    </w:rPr>
                  </w:pPr>
                </w:p>
              </w:tc>
              <w:tc>
                <w:tcPr>
                  <w:tcW w:w="528" w:type="pct"/>
                  <w:vMerge w:val="continue"/>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cs="Times New Roman" w:eastAsiaTheme="majorEastAsia"/>
                      <w:b/>
                      <w:kern w:val="0"/>
                      <w:sz w:val="21"/>
                      <w:szCs w:val="21"/>
                      <w:lang w:val="en-US" w:eastAsia="zh-CN"/>
                    </w:rPr>
                  </w:pPr>
                </w:p>
              </w:tc>
              <w:tc>
                <w:tcPr>
                  <w:tcW w:w="534" w:type="pct"/>
                  <w:vMerge w:val="continue"/>
                  <w:tcBorders>
                    <w:tl2br w:val="nil"/>
                    <w:tr2bl w:val="nil"/>
                  </w:tcBorders>
                  <w:noWrap w:val="0"/>
                  <w:vAlign w:val="center"/>
                </w:tcPr>
                <w:p>
                  <w:pPr>
                    <w:pStyle w:val="66"/>
                    <w:keepNext w:val="0"/>
                    <w:keepLines w:val="0"/>
                    <w:suppressLineNumbers w:val="0"/>
                    <w:spacing w:before="0" w:beforeAutospacing="0" w:after="0" w:afterAutospacing="0"/>
                    <w:ind w:left="0" w:right="0"/>
                    <w:rPr>
                      <w:rFonts w:hint="default" w:ascii="Times New Roman" w:hAnsi="Times New Roman" w:cs="Times New Roman" w:eastAsiaTheme="majorEastAsia"/>
                      <w:b/>
                      <w:kern w:val="0"/>
                      <w:sz w:val="21"/>
                      <w:szCs w:val="21"/>
                      <w:lang w:val="en-US" w:eastAsia="zh-CN"/>
                    </w:rPr>
                  </w:pPr>
                </w:p>
              </w:tc>
              <w:tc>
                <w:tcPr>
                  <w:tcW w:w="47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浓度</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mg/L</w:t>
                  </w:r>
                </w:p>
              </w:tc>
              <w:tc>
                <w:tcPr>
                  <w:tcW w:w="56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产生量</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（t/a）</w:t>
                  </w:r>
                </w:p>
              </w:tc>
              <w:tc>
                <w:tcPr>
                  <w:tcW w:w="39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浓度mg/L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kern w:val="0"/>
                      <w:sz w:val="21"/>
                      <w:szCs w:val="21"/>
                    </w:rPr>
                  </w:pPr>
                  <w:r>
                    <w:rPr>
                      <w:rFonts w:hint="default" w:ascii="Times New Roman" w:hAnsi="Times New Roman" w:cs="Times New Roman" w:eastAsiaTheme="majorEastAsia"/>
                      <w:b/>
                      <w:kern w:val="0"/>
                      <w:sz w:val="21"/>
                      <w:szCs w:val="21"/>
                    </w:rPr>
                    <w:t>接管量（t/a）</w:t>
                  </w:r>
                </w:p>
              </w:tc>
              <w:tc>
                <w:tcPr>
                  <w:tcW w:w="45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4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ajorEastAsia"/>
                      <w:b/>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bookmarkStart w:id="8" w:name="OLE_LINK1" w:colFirst="3" w:colLast="3"/>
                  <w:r>
                    <w:rPr>
                      <w:rFonts w:hint="default" w:ascii="Times New Roman" w:hAnsi="Times New Roman" w:cs="Times New Roman" w:eastAsiaTheme="majorEastAsia"/>
                      <w:sz w:val="21"/>
                      <w:szCs w:val="21"/>
                    </w:rPr>
                    <w:t>生活污水</w:t>
                  </w:r>
                </w:p>
              </w:tc>
              <w:tc>
                <w:tcPr>
                  <w:tcW w:w="52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eastAsiaTheme="majorEastAsia"/>
                      <w:kern w:val="0"/>
                      <w:sz w:val="21"/>
                      <w:szCs w:val="21"/>
                      <w:lang w:val="en-US" w:eastAsia="zh-CN"/>
                    </w:rPr>
                    <w:t>360</w:t>
                  </w:r>
                </w:p>
              </w:tc>
              <w:tc>
                <w:tcPr>
                  <w:tcW w:w="5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kern w:val="0"/>
                      <w:sz w:val="21"/>
                      <w:szCs w:val="21"/>
                    </w:rPr>
                    <w:t>COD</w:t>
                  </w:r>
                </w:p>
              </w:tc>
              <w:tc>
                <w:tcPr>
                  <w:tcW w:w="479"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sz w:val="21"/>
                      <w:szCs w:val="21"/>
                      <w:lang w:bidi="ar"/>
                    </w:rPr>
                    <w:t>340</w:t>
                  </w:r>
                </w:p>
              </w:tc>
              <w:tc>
                <w:tcPr>
                  <w:tcW w:w="866"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0.1224 </w:t>
                  </w:r>
                </w:p>
              </w:tc>
              <w:tc>
                <w:tcPr>
                  <w:tcW w:w="39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eastAsiaTheme="majorEastAsia"/>
                      <w:kern w:val="0"/>
                      <w:sz w:val="21"/>
                      <w:szCs w:val="21"/>
                      <w:lang w:val="en-US" w:eastAsia="zh-CN"/>
                    </w:rPr>
                    <w:t>化粪池</w:t>
                  </w: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eastAsiaTheme="majorEastAsia"/>
                      <w:kern w:val="0"/>
                      <w:sz w:val="21"/>
                      <w:szCs w:val="21"/>
                      <w:lang w:val="en-US" w:eastAsia="zh-CN"/>
                    </w:rPr>
                    <w:t>204</w:t>
                  </w:r>
                </w:p>
              </w:tc>
              <w:tc>
                <w:tcPr>
                  <w:tcW w:w="887"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0.0734 </w:t>
                  </w:r>
                </w:p>
              </w:tc>
              <w:tc>
                <w:tcPr>
                  <w:tcW w:w="459" w:type="pct"/>
                  <w:tcBorders>
                    <w:tl2br w:val="nil"/>
                    <w:tr2bl w:val="nil"/>
                  </w:tcBorders>
                  <w:noWrap w:val="0"/>
                  <w:vAlign w:val="center"/>
                </w:tcPr>
                <w:p>
                  <w:pPr>
                    <w:pStyle w:val="22"/>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color w:val="auto"/>
                      <w:sz w:val="21"/>
                      <w:szCs w:val="21"/>
                      <w:lang w:bidi="ar"/>
                    </w:rPr>
                    <w:t>500</w:t>
                  </w:r>
                </w:p>
              </w:tc>
              <w:tc>
                <w:tcPr>
                  <w:tcW w:w="49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eastAsiaTheme="majorEastAsia"/>
                      <w:kern w:val="0"/>
                      <w:sz w:val="21"/>
                      <w:szCs w:val="21"/>
                      <w:lang w:eastAsia="zh-CN"/>
                    </w:rPr>
                    <w:t>如皋市碧水污水处理设施运行管理有限公司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5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5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kern w:val="0"/>
                      <w:sz w:val="21"/>
                      <w:szCs w:val="21"/>
                    </w:rPr>
                    <w:t>SS</w:t>
                  </w:r>
                </w:p>
              </w:tc>
              <w:tc>
                <w:tcPr>
                  <w:tcW w:w="479"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sz w:val="21"/>
                      <w:szCs w:val="21"/>
                      <w:lang w:val="en-US" w:eastAsia="zh-CN" w:bidi="ar"/>
                    </w:rPr>
                    <w:t>250</w:t>
                  </w:r>
                </w:p>
              </w:tc>
              <w:tc>
                <w:tcPr>
                  <w:tcW w:w="866"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0.09 </w:t>
                  </w:r>
                </w:p>
              </w:tc>
              <w:tc>
                <w:tcPr>
                  <w:tcW w:w="39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default" w:ascii="Times New Roman" w:hAnsi="Times New Roman" w:cs="Times New Roman" w:eastAsiaTheme="majorEastAsia"/>
                      <w:kern w:val="0"/>
                      <w:sz w:val="21"/>
                      <w:szCs w:val="21"/>
                      <w:lang w:val="en-US" w:eastAsia="zh-CN"/>
                    </w:rPr>
                    <w:t>100</w:t>
                  </w:r>
                </w:p>
              </w:tc>
              <w:tc>
                <w:tcPr>
                  <w:tcW w:w="887"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0.036</w:t>
                  </w:r>
                </w:p>
              </w:tc>
              <w:tc>
                <w:tcPr>
                  <w:tcW w:w="459" w:type="pct"/>
                  <w:tcBorders>
                    <w:tl2br w:val="nil"/>
                    <w:tr2bl w:val="nil"/>
                  </w:tcBorders>
                  <w:noWrap w:val="0"/>
                  <w:vAlign w:val="center"/>
                </w:tcPr>
                <w:p>
                  <w:pPr>
                    <w:pStyle w:val="22"/>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color w:val="auto"/>
                      <w:sz w:val="21"/>
                      <w:szCs w:val="21"/>
                      <w:lang w:bidi="ar"/>
                    </w:rPr>
                    <w:t>400</w:t>
                  </w:r>
                </w:p>
              </w:tc>
              <w:tc>
                <w:tcPr>
                  <w:tcW w:w="4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ajorEastAsia"/>
                      <w:sz w:val="21"/>
                      <w:szCs w:val="21"/>
                    </w:rPr>
                  </w:pPr>
                </w:p>
              </w:tc>
            </w:tr>
            <w:bookmarkEnd w:id="8"/>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c>
                <w:tcPr>
                  <w:tcW w:w="5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p>
              </w:tc>
              <w:tc>
                <w:tcPr>
                  <w:tcW w:w="5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kern w:val="0"/>
                      <w:sz w:val="21"/>
                      <w:szCs w:val="21"/>
                    </w:rPr>
                    <w:t>NH</w:t>
                  </w:r>
                  <w:r>
                    <w:rPr>
                      <w:rFonts w:hint="default" w:ascii="Times New Roman" w:hAnsi="Times New Roman" w:cs="Times New Roman" w:eastAsiaTheme="majorEastAsia"/>
                      <w:kern w:val="0"/>
                      <w:sz w:val="21"/>
                      <w:szCs w:val="21"/>
                      <w:vertAlign w:val="subscript"/>
                    </w:rPr>
                    <w:t>3</w:t>
                  </w:r>
                  <w:r>
                    <w:rPr>
                      <w:rFonts w:hint="default" w:ascii="Times New Roman" w:hAnsi="Times New Roman" w:cs="Times New Roman" w:eastAsiaTheme="majorEastAsia"/>
                      <w:kern w:val="0"/>
                      <w:sz w:val="21"/>
                      <w:szCs w:val="21"/>
                    </w:rPr>
                    <w:t>-N</w:t>
                  </w:r>
                </w:p>
              </w:tc>
              <w:tc>
                <w:tcPr>
                  <w:tcW w:w="479"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sz w:val="21"/>
                      <w:szCs w:val="21"/>
                      <w:lang w:bidi="ar"/>
                    </w:rPr>
                    <w:t>32.6</w:t>
                  </w:r>
                </w:p>
              </w:tc>
              <w:tc>
                <w:tcPr>
                  <w:tcW w:w="866"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0.0117 </w:t>
                  </w:r>
                </w:p>
              </w:tc>
              <w:tc>
                <w:tcPr>
                  <w:tcW w:w="39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eastAsia" w:ascii="Times New Roman" w:hAnsi="Times New Roman" w:cs="Times New Roman" w:eastAsiaTheme="majorEastAsia"/>
                      <w:kern w:val="0"/>
                      <w:sz w:val="21"/>
                      <w:szCs w:val="21"/>
                      <w:lang w:val="en-US" w:eastAsia="zh-CN"/>
                    </w:rPr>
                    <w:t>32.6</w:t>
                  </w:r>
                </w:p>
              </w:tc>
              <w:tc>
                <w:tcPr>
                  <w:tcW w:w="887"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eastAsia" w:ascii="Times New Roman" w:hAnsi="Times New Roman" w:cs="Times New Roman" w:eastAsiaTheme="majorEastAsia"/>
                      <w:sz w:val="21"/>
                      <w:szCs w:val="21"/>
                      <w:lang w:val="en-US" w:eastAsia="zh-CN" w:bidi="ar"/>
                    </w:rPr>
                    <w:t>0.0117</w:t>
                  </w:r>
                </w:p>
              </w:tc>
              <w:tc>
                <w:tcPr>
                  <w:tcW w:w="459" w:type="pct"/>
                  <w:tcBorders>
                    <w:tl2br w:val="nil"/>
                    <w:tr2bl w:val="nil"/>
                  </w:tcBorders>
                  <w:noWrap w:val="0"/>
                  <w:vAlign w:val="center"/>
                </w:tcPr>
                <w:p>
                  <w:pPr>
                    <w:pStyle w:val="22"/>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color w:val="auto"/>
                      <w:sz w:val="21"/>
                      <w:szCs w:val="21"/>
                      <w:lang w:bidi="ar"/>
                    </w:rPr>
                    <w:t>45</w:t>
                  </w:r>
                </w:p>
              </w:tc>
              <w:tc>
                <w:tcPr>
                  <w:tcW w:w="4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aj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c>
                <w:tcPr>
                  <w:tcW w:w="5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5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kern w:val="0"/>
                      <w:sz w:val="21"/>
                      <w:szCs w:val="21"/>
                    </w:rPr>
                    <w:t>TN</w:t>
                  </w:r>
                </w:p>
              </w:tc>
              <w:tc>
                <w:tcPr>
                  <w:tcW w:w="479"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sz w:val="21"/>
                      <w:szCs w:val="21"/>
                      <w:lang w:bidi="ar"/>
                    </w:rPr>
                    <w:t>44.8</w:t>
                  </w:r>
                </w:p>
              </w:tc>
              <w:tc>
                <w:tcPr>
                  <w:tcW w:w="866"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0.0161 </w:t>
                  </w:r>
                </w:p>
              </w:tc>
              <w:tc>
                <w:tcPr>
                  <w:tcW w:w="39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eastAsia" w:ascii="Times New Roman" w:hAnsi="Times New Roman" w:cs="Times New Roman" w:eastAsiaTheme="majorEastAsia"/>
                      <w:kern w:val="0"/>
                      <w:sz w:val="21"/>
                      <w:szCs w:val="21"/>
                      <w:lang w:val="en-US" w:eastAsia="zh-CN"/>
                    </w:rPr>
                    <w:t>44.8</w:t>
                  </w:r>
                </w:p>
              </w:tc>
              <w:tc>
                <w:tcPr>
                  <w:tcW w:w="887"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eastAsia" w:ascii="Times New Roman" w:hAnsi="Times New Roman" w:cs="Times New Roman" w:eastAsiaTheme="majorEastAsia"/>
                      <w:sz w:val="21"/>
                      <w:szCs w:val="21"/>
                      <w:lang w:val="en-US" w:eastAsia="zh-CN" w:bidi="ar"/>
                    </w:rPr>
                    <w:t>0.0161</w:t>
                  </w:r>
                </w:p>
              </w:tc>
              <w:tc>
                <w:tcPr>
                  <w:tcW w:w="459" w:type="pct"/>
                  <w:tcBorders>
                    <w:tl2br w:val="nil"/>
                    <w:tr2bl w:val="nil"/>
                  </w:tcBorders>
                  <w:noWrap w:val="0"/>
                  <w:vAlign w:val="center"/>
                </w:tcPr>
                <w:p>
                  <w:pPr>
                    <w:pStyle w:val="22"/>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color w:val="auto"/>
                      <w:sz w:val="21"/>
                      <w:szCs w:val="21"/>
                      <w:lang w:val="en-US" w:eastAsia="zh-CN" w:bidi="ar"/>
                    </w:rPr>
                    <w:t>70</w:t>
                  </w:r>
                </w:p>
              </w:tc>
              <w:tc>
                <w:tcPr>
                  <w:tcW w:w="4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aj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sz w:val="21"/>
                      <w:szCs w:val="21"/>
                    </w:rPr>
                  </w:pPr>
                </w:p>
              </w:tc>
              <w:tc>
                <w:tcPr>
                  <w:tcW w:w="52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rPr>
                  </w:pPr>
                </w:p>
              </w:tc>
              <w:tc>
                <w:tcPr>
                  <w:tcW w:w="5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kern w:val="0"/>
                      <w:sz w:val="21"/>
                      <w:szCs w:val="21"/>
                    </w:rPr>
                    <w:t>TP</w:t>
                  </w:r>
                </w:p>
              </w:tc>
              <w:tc>
                <w:tcPr>
                  <w:tcW w:w="479" w:type="pct"/>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sz w:val="21"/>
                      <w:szCs w:val="21"/>
                    </w:rPr>
                    <w:t>4.27</w:t>
                  </w:r>
                </w:p>
              </w:tc>
              <w:tc>
                <w:tcPr>
                  <w:tcW w:w="866"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default" w:ascii="Times New Roman" w:hAnsi="Times New Roman" w:cs="Times New Roman" w:eastAsiaTheme="majorEastAsia"/>
                      <w:sz w:val="21"/>
                      <w:szCs w:val="21"/>
                      <w:lang w:val="en-US" w:eastAsia="zh-CN" w:bidi="ar"/>
                    </w:rPr>
                    <w:t xml:space="preserve">0.0015 </w:t>
                  </w:r>
                </w:p>
              </w:tc>
              <w:tc>
                <w:tcPr>
                  <w:tcW w:w="39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0"/>
                      <w:sz w:val="21"/>
                      <w:szCs w:val="21"/>
                      <w:lang w:val="en-US" w:eastAsia="zh-CN"/>
                    </w:rPr>
                  </w:pPr>
                  <w:r>
                    <w:rPr>
                      <w:rFonts w:hint="eastAsia" w:ascii="Times New Roman" w:hAnsi="Times New Roman" w:cs="Times New Roman" w:eastAsiaTheme="majorEastAsia"/>
                      <w:kern w:val="0"/>
                      <w:sz w:val="21"/>
                      <w:szCs w:val="21"/>
                      <w:lang w:val="en-US" w:eastAsia="zh-CN"/>
                    </w:rPr>
                    <w:t>4.27</w:t>
                  </w:r>
                </w:p>
              </w:tc>
              <w:tc>
                <w:tcPr>
                  <w:tcW w:w="887" w:type="dxa"/>
                  <w:tcBorders>
                    <w:tl2br w:val="nil"/>
                    <w:tr2bl w:val="nil"/>
                  </w:tcBorders>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jc w:val="center"/>
                    <w:rPr>
                      <w:rFonts w:hint="default" w:ascii="Times New Roman" w:hAnsi="Times New Roman" w:cs="Times New Roman" w:eastAsiaTheme="majorEastAsia"/>
                      <w:sz w:val="21"/>
                      <w:szCs w:val="21"/>
                      <w:lang w:val="en-US" w:eastAsia="zh-CN" w:bidi="ar"/>
                    </w:rPr>
                  </w:pPr>
                  <w:r>
                    <w:rPr>
                      <w:rFonts w:hint="eastAsia" w:ascii="Times New Roman" w:hAnsi="Times New Roman" w:cs="Times New Roman" w:eastAsiaTheme="majorEastAsia"/>
                      <w:sz w:val="21"/>
                      <w:szCs w:val="21"/>
                      <w:lang w:val="en-US" w:eastAsia="zh-CN" w:bidi="ar"/>
                    </w:rPr>
                    <w:t>0.0015</w:t>
                  </w:r>
                </w:p>
              </w:tc>
              <w:tc>
                <w:tcPr>
                  <w:tcW w:w="459" w:type="pct"/>
                  <w:tcBorders>
                    <w:tl2br w:val="nil"/>
                    <w:tr2bl w:val="nil"/>
                  </w:tcBorders>
                  <w:noWrap w:val="0"/>
                  <w:vAlign w:val="center"/>
                </w:tcPr>
                <w:p>
                  <w:pPr>
                    <w:pStyle w:val="22"/>
                    <w:keepNext w:val="0"/>
                    <w:keepLines w:val="0"/>
                    <w:pageBreakBefore w:val="0"/>
                    <w:widowControl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eastAsiaTheme="majorEastAsia"/>
                      <w:kern w:val="0"/>
                      <w:sz w:val="21"/>
                      <w:szCs w:val="21"/>
                      <w:lang w:val="en-US" w:eastAsia="zh-CN" w:bidi="ar-SA"/>
                    </w:rPr>
                  </w:pPr>
                  <w:r>
                    <w:rPr>
                      <w:rFonts w:hint="default" w:ascii="Times New Roman" w:hAnsi="Times New Roman" w:cs="Times New Roman" w:eastAsiaTheme="majorEastAsia"/>
                      <w:color w:val="auto"/>
                      <w:sz w:val="21"/>
                      <w:szCs w:val="21"/>
                      <w:lang w:bidi="ar"/>
                    </w:rPr>
                    <w:t>8</w:t>
                  </w:r>
                </w:p>
              </w:tc>
              <w:tc>
                <w:tcPr>
                  <w:tcW w:w="49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eastAsiaTheme="maj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tcBorders>
                    <w:tl2br w:val="nil"/>
                    <w:tr2bl w:val="nil"/>
                  </w:tcBorders>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cs="Times New Roman" w:eastAsiaTheme="majorEastAsia"/>
                      <w:kern w:val="0"/>
                      <w:sz w:val="21"/>
                      <w:szCs w:val="21"/>
                      <w:lang w:eastAsia="zh-CN"/>
                    </w:rPr>
                  </w:pPr>
                  <w:r>
                    <w:rPr>
                      <w:rFonts w:hint="default" w:ascii="Times New Roman" w:hAnsi="Times New Roman" w:cs="Times New Roman" w:eastAsiaTheme="majorEastAsia"/>
                      <w:kern w:val="0"/>
                      <w:sz w:val="21"/>
                      <w:szCs w:val="21"/>
                    </w:rPr>
                    <w:t>注：根据《排放源统计调查产排污核算方法和系数手册》中生活源产排污系数手册，COD340mg/L，氨氮32.6mg/L，TP4.27mg/L，总氮44.8mg/L。三级化粪池处理效率参考《村镇生活污染防治最佳可行技术指南（试行）》（HJ-BAT-9）：“COD：40%~50%，SS：60%~70%”。因此，本项目三级化粪池对COD处理效率取40%，对SS处理效率取60%</w:t>
                  </w:r>
                  <w:r>
                    <w:rPr>
                      <w:rFonts w:hint="eastAsia" w:ascii="Times New Roman" w:hAnsi="Times New Roman" w:cs="Times New Roman" w:eastAsiaTheme="majorEastAsia"/>
                      <w:kern w:val="0"/>
                      <w:sz w:val="21"/>
                      <w:szCs w:val="21"/>
                      <w:lang w:eastAsia="zh-CN"/>
                    </w:rPr>
                    <w:t>。</w:t>
                  </w:r>
                </w:p>
              </w:tc>
            </w:tr>
          </w:tbl>
          <w:p>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lang w:val="en-US" w:eastAsia="zh-CN"/>
              </w:rPr>
              <w:t>③</w:t>
            </w:r>
            <w:r>
              <w:rPr>
                <w:rFonts w:hint="default" w:ascii="Times New Roman" w:hAnsi="Times New Roman" w:cs="Times New Roman" w:eastAsiaTheme="majorEastAsia"/>
                <w:color w:val="auto"/>
                <w:sz w:val="24"/>
                <w:szCs w:val="24"/>
              </w:rPr>
              <w:t>排放口基本情况</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22</w:t>
            </w:r>
            <w:r>
              <w:rPr>
                <w:rFonts w:hint="default" w:ascii="Times New Roman" w:hAnsi="Times New Roman" w:cs="Times New Roman" w:eastAsiaTheme="majorEastAsia"/>
                <w:b/>
                <w:bCs/>
                <w:color w:val="auto"/>
                <w:sz w:val="24"/>
                <w:szCs w:val="24"/>
              </w:rPr>
              <w:t xml:space="preserve"> 废水类别、污染物及污染治理设施信息表</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539"/>
              <w:gridCol w:w="1007"/>
              <w:gridCol w:w="721"/>
              <w:gridCol w:w="827"/>
              <w:gridCol w:w="700"/>
              <w:gridCol w:w="700"/>
              <w:gridCol w:w="827"/>
              <w:gridCol w:w="575"/>
              <w:gridCol w:w="700"/>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序号</w:t>
                  </w:r>
                </w:p>
              </w:tc>
              <w:tc>
                <w:tcPr>
                  <w:tcW w:w="34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废水类别</w:t>
                  </w:r>
                </w:p>
              </w:tc>
              <w:tc>
                <w:tcPr>
                  <w:tcW w:w="65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污染物种类</w:t>
                  </w:r>
                </w:p>
              </w:tc>
              <w:tc>
                <w:tcPr>
                  <w:tcW w:w="467"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排放去向</w:t>
                  </w:r>
                </w:p>
              </w:tc>
              <w:tc>
                <w:tcPr>
                  <w:tcW w:w="53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排放规律</w:t>
                  </w:r>
                </w:p>
              </w:tc>
              <w:tc>
                <w:tcPr>
                  <w:tcW w:w="1443" w:type="pct"/>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污染治理措施</w:t>
                  </w:r>
                </w:p>
              </w:tc>
              <w:tc>
                <w:tcPr>
                  <w:tcW w:w="37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排放口编号</w:t>
                  </w:r>
                </w:p>
              </w:tc>
              <w:tc>
                <w:tcPr>
                  <w:tcW w:w="454"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是否为可行技术</w:t>
                  </w:r>
                </w:p>
              </w:tc>
              <w:tc>
                <w:tcPr>
                  <w:tcW w:w="45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34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0"/>
                      <w:sz w:val="21"/>
                      <w:szCs w:val="21"/>
                    </w:rPr>
                  </w:pPr>
                </w:p>
              </w:tc>
              <w:tc>
                <w:tcPr>
                  <w:tcW w:w="65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kern w:val="0"/>
                      <w:sz w:val="21"/>
                      <w:szCs w:val="21"/>
                    </w:rPr>
                  </w:pPr>
                </w:p>
              </w:tc>
              <w:tc>
                <w:tcPr>
                  <w:tcW w:w="46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53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污染治理措施编号</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污染治理措施名称</w:t>
                  </w:r>
                </w:p>
              </w:tc>
              <w:tc>
                <w:tcPr>
                  <w:tcW w:w="53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b/>
                      <w:bCs/>
                      <w:color w:val="auto"/>
                      <w:sz w:val="21"/>
                      <w:szCs w:val="21"/>
                    </w:rPr>
                  </w:pPr>
                  <w:r>
                    <w:rPr>
                      <w:rFonts w:hint="default" w:ascii="Times New Roman" w:hAnsi="Times New Roman" w:cs="Times New Roman" w:eastAsiaTheme="majorEastAsia"/>
                      <w:b/>
                      <w:bCs/>
                      <w:color w:val="auto"/>
                      <w:sz w:val="21"/>
                      <w:szCs w:val="21"/>
                    </w:rPr>
                    <w:t>污染治理措施工艺</w:t>
                  </w:r>
                </w:p>
              </w:tc>
              <w:tc>
                <w:tcPr>
                  <w:tcW w:w="37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454"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c>
                <w:tcPr>
                  <w:tcW w:w="45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1</w:t>
                  </w:r>
                </w:p>
              </w:tc>
              <w:tc>
                <w:tcPr>
                  <w:tcW w:w="349"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生活污水</w:t>
                  </w:r>
                </w:p>
              </w:tc>
              <w:tc>
                <w:tcPr>
                  <w:tcW w:w="65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pH、COD、SS、NH</w:t>
                  </w:r>
                  <w:r>
                    <w:rPr>
                      <w:rFonts w:hint="default" w:ascii="Times New Roman" w:hAnsi="Times New Roman" w:cs="Times New Roman" w:eastAsiaTheme="majorEastAsia"/>
                      <w:color w:val="auto"/>
                      <w:sz w:val="21"/>
                      <w:szCs w:val="21"/>
                      <w:vertAlign w:val="subscript"/>
                    </w:rPr>
                    <w:t>3</w:t>
                  </w:r>
                  <w:r>
                    <w:rPr>
                      <w:rFonts w:hint="default" w:ascii="Times New Roman" w:hAnsi="Times New Roman" w:cs="Times New Roman" w:eastAsiaTheme="majorEastAsia"/>
                      <w:color w:val="auto"/>
                      <w:sz w:val="21"/>
                      <w:szCs w:val="21"/>
                    </w:rPr>
                    <w:t>-N、TN、TP</w:t>
                  </w:r>
                </w:p>
              </w:tc>
              <w:tc>
                <w:tcPr>
                  <w:tcW w:w="4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lang w:eastAsia="zh-CN"/>
                    </w:rPr>
                  </w:pPr>
                  <w:r>
                    <w:rPr>
                      <w:rFonts w:hint="default" w:ascii="Times New Roman" w:hAnsi="Times New Roman" w:cs="Times New Roman" w:eastAsiaTheme="majorEastAsia"/>
                      <w:color w:val="auto"/>
                      <w:sz w:val="21"/>
                      <w:szCs w:val="21"/>
                      <w:lang w:eastAsia="zh-CN"/>
                    </w:rPr>
                    <w:t>如皋市碧水污水处理设施运行管理有限公司</w:t>
                  </w:r>
                </w:p>
              </w:tc>
              <w:tc>
                <w:tcPr>
                  <w:tcW w:w="53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lang w:val="en-US" w:eastAsia="zh-CN"/>
                    </w:rPr>
                    <w:t>间接</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TW00</w:t>
                  </w:r>
                  <w:r>
                    <w:rPr>
                      <w:rFonts w:hint="default" w:ascii="Times New Roman" w:hAnsi="Times New Roman" w:cs="Times New Roman" w:eastAsiaTheme="majorEastAsia"/>
                      <w:color w:val="auto"/>
                      <w:sz w:val="21"/>
                      <w:szCs w:val="21"/>
                      <w:lang w:val="en-US" w:eastAsia="zh-CN"/>
                    </w:rPr>
                    <w:t>1</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化粪池</w:t>
                  </w:r>
                </w:p>
              </w:tc>
              <w:tc>
                <w:tcPr>
                  <w:tcW w:w="53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sz w:val="21"/>
                      <w:szCs w:val="21"/>
                    </w:rPr>
                    <w:t>厌氧发酵</w:t>
                  </w:r>
                </w:p>
              </w:tc>
              <w:tc>
                <w:tcPr>
                  <w:tcW w:w="37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DW001</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是</w:t>
                  </w:r>
                </w:p>
              </w:tc>
              <w:tc>
                <w:tcPr>
                  <w:tcW w:w="45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1"/>
                      <w:szCs w:val="21"/>
                    </w:rPr>
                  </w:pPr>
                  <w:r>
                    <w:rPr>
                      <w:rFonts w:hint="default" w:ascii="Times New Roman" w:hAnsi="Times New Roman" w:cs="Times New Roman" w:eastAsiaTheme="majorEastAsia"/>
                      <w:color w:val="auto"/>
                      <w:sz w:val="21"/>
                      <w:szCs w:val="21"/>
                    </w:rPr>
                    <w:t>企业总排</w:t>
                  </w: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lang w:val="en-US" w:eastAsia="zh-CN"/>
              </w:rPr>
              <w:t>④</w:t>
            </w:r>
            <w:r>
              <w:rPr>
                <w:rFonts w:hint="default" w:ascii="Times New Roman" w:hAnsi="Times New Roman" w:cs="Times New Roman" w:eastAsiaTheme="majorEastAsia"/>
                <w:color w:val="auto"/>
                <w:sz w:val="24"/>
                <w:szCs w:val="24"/>
              </w:rPr>
              <w:t>源强分析</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sz w:val="24"/>
                <w:szCs w:val="24"/>
                <w:lang w:eastAsia="zh-CN"/>
              </w:rPr>
            </w:pPr>
            <w:r>
              <w:rPr>
                <w:rFonts w:hint="default" w:ascii="Times New Roman" w:hAnsi="Times New Roman" w:cs="Times New Roman" w:eastAsiaTheme="majorEastAsia"/>
                <w:color w:val="auto"/>
                <w:sz w:val="24"/>
                <w:szCs w:val="24"/>
                <w:lang w:val="en-US" w:eastAsia="zh-CN"/>
              </w:rPr>
              <w:t>1）</w:t>
            </w:r>
            <w:r>
              <w:rPr>
                <w:rFonts w:hint="default" w:ascii="Times New Roman" w:hAnsi="Times New Roman" w:cs="Times New Roman" w:eastAsiaTheme="majorEastAsia"/>
                <w:color w:val="auto"/>
                <w:sz w:val="24"/>
                <w:szCs w:val="24"/>
              </w:rPr>
              <w:t>生活</w:t>
            </w:r>
            <w:r>
              <w:rPr>
                <w:rFonts w:hint="default" w:ascii="Times New Roman" w:hAnsi="Times New Roman" w:cs="Times New Roman" w:eastAsiaTheme="majorEastAsia"/>
                <w:color w:val="auto"/>
                <w:sz w:val="24"/>
                <w:szCs w:val="24"/>
                <w:lang w:val="en-US" w:eastAsia="zh-CN"/>
              </w:rPr>
              <w:t>污水</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本项目职工人数为</w:t>
            </w:r>
            <w:r>
              <w:rPr>
                <w:rFonts w:hint="default" w:ascii="Times New Roman" w:hAnsi="Times New Roman" w:cs="Times New Roman" w:eastAsiaTheme="majorEastAsia"/>
                <w:color w:val="auto"/>
                <w:sz w:val="24"/>
                <w:szCs w:val="24"/>
                <w:lang w:val="en-US" w:eastAsia="zh-CN"/>
              </w:rPr>
              <w:t>30</w:t>
            </w:r>
            <w:r>
              <w:rPr>
                <w:rFonts w:hint="default" w:ascii="Times New Roman" w:hAnsi="Times New Roman" w:cs="Times New Roman" w:eastAsiaTheme="majorEastAsia"/>
                <w:color w:val="auto"/>
                <w:sz w:val="24"/>
                <w:szCs w:val="24"/>
              </w:rPr>
              <w:t>人，公司</w:t>
            </w:r>
            <w:r>
              <w:rPr>
                <w:rFonts w:hint="default" w:ascii="Times New Roman" w:hAnsi="Times New Roman" w:cs="Times New Roman" w:eastAsiaTheme="majorEastAsia"/>
                <w:color w:val="auto"/>
                <w:sz w:val="24"/>
                <w:szCs w:val="24"/>
                <w:lang w:val="en-US" w:eastAsia="zh-CN"/>
              </w:rPr>
              <w:t>不设食</w:t>
            </w:r>
            <w:r>
              <w:rPr>
                <w:rFonts w:hint="default" w:ascii="Times New Roman" w:hAnsi="Times New Roman" w:cs="Times New Roman" w:eastAsiaTheme="majorEastAsia"/>
                <w:color w:val="auto"/>
                <w:sz w:val="24"/>
                <w:szCs w:val="24"/>
              </w:rPr>
              <w:t>宿，年工作时间为3</w:t>
            </w:r>
            <w:r>
              <w:rPr>
                <w:rFonts w:hint="default" w:ascii="Times New Roman" w:hAnsi="Times New Roman" w:cs="Times New Roman" w:eastAsiaTheme="majorEastAsia"/>
                <w:color w:val="auto"/>
                <w:sz w:val="24"/>
                <w:szCs w:val="24"/>
                <w:lang w:val="en-US" w:eastAsia="zh-CN"/>
              </w:rPr>
              <w:t>00</w:t>
            </w:r>
            <w:r>
              <w:rPr>
                <w:rFonts w:hint="default" w:ascii="Times New Roman" w:hAnsi="Times New Roman" w:cs="Times New Roman" w:eastAsiaTheme="majorEastAsia"/>
                <w:color w:val="auto"/>
                <w:sz w:val="24"/>
                <w:szCs w:val="24"/>
              </w:rPr>
              <w:t>天。生活用水参考《建筑给水排水设计标准》（GB50015-2019），员工用水定额为50L/人/天计</w:t>
            </w:r>
            <w:r>
              <w:rPr>
                <w:rFonts w:hint="default" w:ascii="Times New Roman" w:hAnsi="Times New Roman" w:cs="Times New Roman" w:eastAsiaTheme="majorEastAsia"/>
                <w:color w:val="auto"/>
                <w:sz w:val="24"/>
                <w:szCs w:val="24"/>
                <w:lang w:val="en-US" w:eastAsia="zh-CN"/>
              </w:rPr>
              <w:t>。</w:t>
            </w:r>
            <w:r>
              <w:rPr>
                <w:rFonts w:hint="default" w:ascii="Times New Roman" w:hAnsi="Times New Roman" w:cs="Times New Roman" w:eastAsiaTheme="majorEastAsia"/>
                <w:color w:val="auto"/>
                <w:sz w:val="24"/>
                <w:szCs w:val="24"/>
              </w:rPr>
              <w:t>排水量以用水量的80%计，职工生活用水量约为</w:t>
            </w:r>
            <w:r>
              <w:rPr>
                <w:rFonts w:hint="default" w:ascii="Times New Roman" w:hAnsi="Times New Roman" w:cs="Times New Roman" w:eastAsiaTheme="majorEastAsia"/>
                <w:color w:val="auto"/>
                <w:sz w:val="24"/>
                <w:szCs w:val="24"/>
                <w:lang w:val="en-US" w:eastAsia="zh-CN"/>
              </w:rPr>
              <w:t>450</w:t>
            </w:r>
            <w:r>
              <w:rPr>
                <w:rFonts w:hint="default" w:ascii="Times New Roman" w:hAnsi="Times New Roman" w:cs="Times New Roman" w:eastAsiaTheme="majorEastAsia"/>
                <w:color w:val="auto"/>
                <w:sz w:val="24"/>
                <w:szCs w:val="24"/>
              </w:rPr>
              <w:t>t/a，生活污水产生量约为</w:t>
            </w:r>
            <w:r>
              <w:rPr>
                <w:rFonts w:hint="default" w:ascii="Times New Roman" w:hAnsi="Times New Roman" w:cs="Times New Roman" w:eastAsiaTheme="majorEastAsia"/>
                <w:color w:val="auto"/>
                <w:sz w:val="24"/>
                <w:szCs w:val="24"/>
                <w:lang w:val="en-US" w:eastAsia="zh-CN"/>
              </w:rPr>
              <w:t>360</w:t>
            </w:r>
            <w:r>
              <w:rPr>
                <w:rFonts w:hint="default" w:ascii="Times New Roman" w:hAnsi="Times New Roman" w:cs="Times New Roman" w:eastAsiaTheme="majorEastAsia"/>
                <w:color w:val="auto"/>
                <w:sz w:val="24"/>
                <w:szCs w:val="24"/>
              </w:rPr>
              <w:t>t/a，主要污染物为COD、SS、NH</w:t>
            </w:r>
            <w:r>
              <w:rPr>
                <w:rFonts w:hint="default" w:ascii="Times New Roman" w:hAnsi="Times New Roman" w:cs="Times New Roman" w:eastAsiaTheme="majorEastAsia"/>
                <w:color w:val="auto"/>
                <w:sz w:val="24"/>
                <w:szCs w:val="24"/>
                <w:vertAlign w:val="subscript"/>
              </w:rPr>
              <w:t>3</w:t>
            </w:r>
            <w:r>
              <w:rPr>
                <w:rFonts w:hint="default" w:ascii="Times New Roman" w:hAnsi="Times New Roman" w:cs="Times New Roman" w:eastAsiaTheme="majorEastAsia"/>
                <w:color w:val="auto"/>
                <w:sz w:val="24"/>
                <w:szCs w:val="24"/>
              </w:rPr>
              <w:t>-N、TP、TN。</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rPr>
            </w:pPr>
            <w:bookmarkStart w:id="9" w:name="OLE_LINK22"/>
            <w:bookmarkStart w:id="10" w:name="OLE_LINK23"/>
            <w:r>
              <w:rPr>
                <w:rFonts w:hint="default" w:ascii="Times New Roman" w:hAnsi="Times New Roman" w:cs="Times New Roman" w:eastAsiaTheme="majorEastAsia"/>
                <w:color w:val="auto"/>
                <w:sz w:val="24"/>
                <w:szCs w:val="24"/>
                <w:lang w:val="en-US" w:eastAsia="zh-CN"/>
              </w:rPr>
              <w:t>⑤</w:t>
            </w:r>
            <w:r>
              <w:rPr>
                <w:rFonts w:hint="default" w:ascii="Times New Roman" w:hAnsi="Times New Roman" w:cs="Times New Roman" w:eastAsiaTheme="majorEastAsia"/>
                <w:color w:val="auto"/>
                <w:sz w:val="24"/>
                <w:szCs w:val="24"/>
              </w:rPr>
              <w:t>废水治理设施可行性分析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44"/>
                <w:sz w:val="24"/>
                <w:szCs w:val="24"/>
                <w:lang w:val="en-US" w:eastAsia="zh-CN"/>
              </w:rPr>
            </w:pPr>
            <w:r>
              <w:rPr>
                <w:rFonts w:hint="default" w:ascii="Times New Roman" w:hAnsi="Times New Roman" w:cs="Times New Roman" w:eastAsiaTheme="majorEastAsia"/>
                <w:color w:val="auto"/>
                <w:kern w:val="44"/>
                <w:sz w:val="24"/>
                <w:szCs w:val="24"/>
                <w:lang w:val="en-US" w:eastAsia="zh-CN"/>
              </w:rPr>
              <w:t>1）生活污水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44"/>
                <w:sz w:val="24"/>
                <w:szCs w:val="24"/>
                <w:lang w:val="zh-CN"/>
              </w:rPr>
            </w:pPr>
            <w:r>
              <w:rPr>
                <w:rFonts w:hint="default" w:ascii="Times New Roman" w:hAnsi="Times New Roman" w:cs="Times New Roman" w:eastAsiaTheme="majorEastAsia"/>
                <w:color w:val="auto"/>
                <w:kern w:val="44"/>
                <w:sz w:val="24"/>
                <w:szCs w:val="24"/>
                <w:lang w:val="zh-CN"/>
              </w:rPr>
              <w:t>本项目生活废水污染物为COD、SS、氨氮、TP、TN。本项目拟将生活污水经化粪池预处理后接管如皋市碧水污水处理设施运行管理有限公司处理。</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44"/>
                <w:sz w:val="24"/>
                <w:szCs w:val="24"/>
                <w:lang w:val="en-US" w:eastAsia="zh-CN"/>
              </w:rPr>
            </w:pPr>
            <w:r>
              <w:rPr>
                <w:rFonts w:hint="default" w:ascii="Times New Roman" w:hAnsi="Times New Roman" w:cs="Times New Roman" w:eastAsiaTheme="majorEastAsia"/>
                <w:color w:val="auto"/>
                <w:kern w:val="44"/>
                <w:sz w:val="24"/>
                <w:szCs w:val="24"/>
                <w:lang w:val="zh-CN"/>
              </w:rPr>
              <w:t xml:space="preserve">化粪池是处理粪便并加以过滤沉淀的设备，其原理是：经分解和澄清后的上层的水化物进入管道流走，下层沉淀的固化物（粪便等垃圾）进一步水解，最后作为污泥被清掏。  </w:t>
            </w:r>
            <w:r>
              <w:rPr>
                <w:rFonts w:hint="default" w:ascii="Times New Roman" w:hAnsi="Times New Roman" w:cs="Times New Roman" w:eastAsiaTheme="majorEastAsia"/>
                <w:color w:val="auto"/>
                <w:kern w:val="44"/>
                <w:sz w:val="24"/>
                <w:szCs w:val="24"/>
                <w:lang w:val="en-US" w:eastAsia="zh-CN"/>
              </w:rPr>
              <w:t xml:space="preserve">  </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kern w:val="44"/>
                <w:sz w:val="24"/>
                <w:szCs w:val="24"/>
                <w:lang w:val="en-US" w:eastAsia="zh-CN"/>
              </w:rPr>
              <w:t>参考《排污许可证申请与核发技术规范 橡胶和塑料制品工业》（HJ1122-2020）废水污染防治可行技术，生活污水处理设施可行技术包括隔油、化粪池、其他生物法。本项目生活污水采用化粪池处理，属于可行技术，能确保生活污水达标排放。</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2）依托可行性</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本项目污废水接管至如皋市碧水污水处理设施运行管理有限公司，区域污水处理厂接纳本项目废水可行性分析如下：</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A、污水处理厂日处理量、进水水质要求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如皋市碧水污水处理设施运行管理有限公司日处理能力3000m</w:t>
            </w:r>
            <w:r>
              <w:rPr>
                <w:rFonts w:hint="default" w:ascii="Times New Roman" w:hAnsi="Times New Roman" w:cs="Times New Roman" w:eastAsiaTheme="majorEastAsia"/>
                <w:color w:val="auto"/>
                <w:sz w:val="24"/>
                <w:szCs w:val="24"/>
                <w:vertAlign w:val="superscript"/>
                <w:lang w:val="en-US" w:eastAsia="zh-CN"/>
              </w:rPr>
              <w:t>3</w:t>
            </w:r>
            <w:r>
              <w:rPr>
                <w:rFonts w:hint="default" w:ascii="Times New Roman" w:hAnsi="Times New Roman" w:cs="Times New Roman" w:eastAsiaTheme="majorEastAsia"/>
                <w:color w:val="auto"/>
                <w:sz w:val="24"/>
                <w:szCs w:val="24"/>
                <w:lang w:val="en-US" w:eastAsia="zh-CN"/>
              </w:rPr>
              <w:t>/d，现状废水处理规模2000m</w:t>
            </w:r>
            <w:r>
              <w:rPr>
                <w:rFonts w:hint="default" w:ascii="Times New Roman" w:hAnsi="Times New Roman" w:cs="Times New Roman" w:eastAsiaTheme="majorEastAsia"/>
                <w:color w:val="auto"/>
                <w:sz w:val="24"/>
                <w:szCs w:val="24"/>
                <w:vertAlign w:val="superscript"/>
                <w:lang w:val="en-US" w:eastAsia="zh-CN"/>
              </w:rPr>
              <w:t>3</w:t>
            </w:r>
            <w:r>
              <w:rPr>
                <w:rFonts w:hint="default" w:ascii="Times New Roman" w:hAnsi="Times New Roman" w:cs="Times New Roman" w:eastAsiaTheme="majorEastAsia"/>
                <w:color w:val="auto"/>
                <w:sz w:val="24"/>
                <w:szCs w:val="24"/>
                <w:lang w:val="en-US" w:eastAsia="zh-CN"/>
              </w:rPr>
              <w:t>/d，剩余1000m</w:t>
            </w:r>
            <w:r>
              <w:rPr>
                <w:rFonts w:hint="default" w:ascii="Times New Roman" w:hAnsi="Times New Roman" w:cs="Times New Roman" w:eastAsiaTheme="majorEastAsia"/>
                <w:color w:val="auto"/>
                <w:sz w:val="24"/>
                <w:szCs w:val="24"/>
                <w:vertAlign w:val="superscript"/>
                <w:lang w:val="en-US" w:eastAsia="zh-CN"/>
              </w:rPr>
              <w:t>3</w:t>
            </w:r>
            <w:r>
              <w:rPr>
                <w:rFonts w:hint="default" w:ascii="Times New Roman" w:hAnsi="Times New Roman" w:cs="Times New Roman" w:eastAsiaTheme="majorEastAsia"/>
                <w:color w:val="auto"/>
                <w:sz w:val="24"/>
                <w:szCs w:val="24"/>
                <w:lang w:val="en-US" w:eastAsia="zh-CN"/>
              </w:rPr>
              <w:t>/d的处理能力。根据工程分析，本项目新增废水量360m</w:t>
            </w:r>
            <w:r>
              <w:rPr>
                <w:rFonts w:hint="default" w:ascii="Times New Roman" w:hAnsi="Times New Roman" w:cs="Times New Roman" w:eastAsiaTheme="majorEastAsia"/>
                <w:color w:val="auto"/>
                <w:sz w:val="24"/>
                <w:szCs w:val="24"/>
                <w:vertAlign w:val="superscript"/>
                <w:lang w:val="en-US" w:eastAsia="zh-CN"/>
              </w:rPr>
              <w:t>3</w:t>
            </w:r>
            <w:r>
              <w:rPr>
                <w:rFonts w:hint="default" w:ascii="Times New Roman" w:hAnsi="Times New Roman" w:cs="Times New Roman" w:eastAsiaTheme="majorEastAsia"/>
                <w:color w:val="auto"/>
                <w:sz w:val="24"/>
                <w:szCs w:val="24"/>
                <w:lang w:val="en-US" w:eastAsia="zh-CN"/>
              </w:rPr>
              <w:t>/a（1.2m</w:t>
            </w:r>
            <w:r>
              <w:rPr>
                <w:rFonts w:hint="default" w:ascii="Times New Roman" w:hAnsi="Times New Roman" w:cs="Times New Roman" w:eastAsiaTheme="majorEastAsia"/>
                <w:color w:val="auto"/>
                <w:sz w:val="24"/>
                <w:szCs w:val="24"/>
                <w:vertAlign w:val="superscript"/>
                <w:lang w:val="en-US" w:eastAsia="zh-CN"/>
              </w:rPr>
              <w:t>3</w:t>
            </w:r>
            <w:r>
              <w:rPr>
                <w:rFonts w:hint="default" w:ascii="Times New Roman" w:hAnsi="Times New Roman" w:cs="Times New Roman" w:eastAsiaTheme="majorEastAsia"/>
                <w:color w:val="auto"/>
                <w:sz w:val="24"/>
                <w:szCs w:val="24"/>
                <w:lang w:val="en-US" w:eastAsia="zh-CN"/>
              </w:rPr>
              <w:t>/d），新增废水量很小，不会对污水处理厂运行造成负荷。</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如皋市碧水污水处理设施运行管理有限公司进水浓度执行《污水综合排放标准》（GB8978-1996）表4中的三级标准，本项目各污染物排放浓度均低于如皋市碧水污水处理设施运行管理有限公司进水浓度要求。</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B、污水处理厂工艺及尾水达标情况</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如皋市碧水污水处理设施运行管理有限公司处理工艺为“水解酸化+SBR+多级AO工艺+曝气生物滤池”，污水处理厂接管的废水经处理后达到</w:t>
            </w:r>
            <w:r>
              <w:rPr>
                <w:rFonts w:hint="default" w:ascii="Times New Roman" w:hAnsi="Times New Roman" w:cs="Times New Roman" w:eastAsiaTheme="minorEastAsia"/>
                <w:color w:val="000000"/>
                <w:sz w:val="24"/>
                <w:szCs w:val="24"/>
                <w:lang w:val="en-US" w:eastAsia="zh-CN"/>
              </w:rPr>
              <w:t>《城镇污水处理厂污染物排放标准》（DB32/4440-2022）中C标准</w:t>
            </w:r>
            <w:r>
              <w:rPr>
                <w:rFonts w:hint="default" w:ascii="Times New Roman" w:hAnsi="Times New Roman" w:cs="Times New Roman" w:eastAsiaTheme="majorEastAsia"/>
                <w:color w:val="auto"/>
                <w:sz w:val="24"/>
                <w:szCs w:val="24"/>
                <w:lang w:val="en-US" w:eastAsia="zh-CN"/>
              </w:rPr>
              <w:t>，最终排入如海运河。根据污水处理厂现有工程的处理效率，按照设计处理工艺在正常运行情况下，废水能够保证达到设计的处理效率，达标排放。</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C、污水处理厂排放因子涵盖情况</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本项目废水污染因子主要为COD、SS、氨氮、总磷、总氮，无有毒有害等特征水污染物，如皋市碧水污水处理设施运行管理有限公司排放标准涵盖本项目排放的所有污染因子。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D、管网覆盖情况</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lang w:val="en-US" w:eastAsia="zh-CN"/>
              </w:rPr>
              <w:t>本项目所在地位于如皋市碧水污水处理设施运行管理有限公司服务范围，污水管网已敷设，项目废水能够接管至如皋市碧水污水处理设施运行管理有限公司。</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lang w:val="en-US" w:eastAsia="zh-CN"/>
              </w:rPr>
              <w:t>⑤</w:t>
            </w:r>
            <w:r>
              <w:rPr>
                <w:rFonts w:hint="default" w:ascii="Times New Roman" w:hAnsi="Times New Roman" w:cs="Times New Roman" w:eastAsiaTheme="majorEastAsia"/>
                <w:color w:val="auto"/>
                <w:sz w:val="24"/>
                <w:szCs w:val="24"/>
              </w:rPr>
              <w:t>地表水环境影响评价结论</w:t>
            </w:r>
          </w:p>
          <w:p>
            <w:pPr>
              <w:pStyle w:val="48"/>
              <w:keepNext w:val="0"/>
              <w:keepLines w:val="0"/>
              <w:suppressLineNumbers w:val="0"/>
              <w:spacing w:line="360" w:lineRule="auto"/>
              <w:ind w:left="0" w:right="0"/>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color w:val="auto"/>
                <w:sz w:val="24"/>
                <w:szCs w:val="24"/>
              </w:rPr>
              <w:t>本项目</w:t>
            </w:r>
            <w:r>
              <w:rPr>
                <w:rFonts w:hint="default" w:ascii="Times New Roman" w:hAnsi="Times New Roman" w:cs="Times New Roman" w:eastAsiaTheme="majorEastAsia"/>
                <w:color w:val="auto"/>
                <w:sz w:val="24"/>
                <w:szCs w:val="24"/>
                <w:lang w:val="en-US" w:eastAsia="zh-CN"/>
              </w:rPr>
              <w:t>生活污水</w:t>
            </w:r>
            <w:r>
              <w:rPr>
                <w:rFonts w:hint="default" w:ascii="Times New Roman" w:hAnsi="Times New Roman" w:cs="Times New Roman" w:eastAsiaTheme="majorEastAsia"/>
                <w:color w:val="auto"/>
                <w:sz w:val="24"/>
                <w:szCs w:val="24"/>
              </w:rPr>
              <w:t>经预处理达标后接管至如皋市碧水污水处理设施运行管理有限公司，项目废水满足如皋市碧水污水处理设施运行管理有限公司的进水水量及水质要求，污水处理厂尾水能够实现稳定达标排放，且项目所在地管网已覆盖到位，因此，本项目废水接入如皋市碧水污水处理设施运行管理有限公司是可行的，对地表水环境的影响可接受</w:t>
            </w:r>
            <w:r>
              <w:rPr>
                <w:rFonts w:hint="default" w:ascii="Times New Roman" w:hAnsi="Times New Roman" w:cs="Times New Roman" w:eastAsiaTheme="majorEastAsia"/>
                <w:color w:val="auto"/>
                <w:kern w:val="0"/>
                <w:sz w:val="24"/>
                <w:szCs w:val="24"/>
              </w:rPr>
              <w:t>。</w:t>
            </w:r>
            <w:bookmarkEnd w:id="9"/>
            <w:bookmarkEnd w:id="10"/>
          </w:p>
          <w:p>
            <w:pPr>
              <w:pStyle w:val="48"/>
              <w:keepNext w:val="0"/>
              <w:keepLines w:val="0"/>
              <w:suppressLineNumbers w:val="0"/>
              <w:spacing w:line="360" w:lineRule="auto"/>
              <w:ind w:left="0" w:right="0"/>
              <w:rPr>
                <w:rFonts w:hint="default" w:ascii="Times New Roman" w:hAnsi="Times New Roman" w:cs="Times New Roman" w:eastAsiaTheme="majorEastAsia"/>
                <w:b/>
                <w:bCs/>
                <w:color w:val="000000" w:themeColor="text1"/>
                <w:sz w:val="21"/>
                <w:szCs w:val="21"/>
                <w14:textFill>
                  <w14:solidFill>
                    <w14:schemeClr w14:val="tx1"/>
                  </w14:solidFill>
                </w14:textFill>
              </w:rPr>
            </w:pPr>
            <w:r>
              <w:rPr>
                <w:rFonts w:hint="default" w:ascii="Times New Roman" w:hAnsi="Times New Roman" w:cs="Times New Roman" w:eastAsiaTheme="majorEastAsia"/>
                <w:color w:val="auto"/>
                <w:kern w:val="2"/>
                <w:sz w:val="24"/>
                <w:szCs w:val="24"/>
                <w:lang w:val="en-US" w:eastAsia="zh-CN" w:bidi="ar-SA"/>
              </w:rPr>
              <w:t>⑥监测计划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ajorEastAsia"/>
                <w:color w:val="auto"/>
                <w:kern w:val="2"/>
                <w:sz w:val="24"/>
                <w:szCs w:val="24"/>
                <w:lang w:val="en-US" w:eastAsia="zh-CN" w:bidi="ar-SA"/>
              </w:rPr>
            </w:pPr>
            <w:r>
              <w:rPr>
                <w:rFonts w:hint="default" w:ascii="Times New Roman" w:hAnsi="Times New Roman" w:cs="Times New Roman" w:eastAsiaTheme="majorEastAsia"/>
                <w:color w:val="auto"/>
                <w:kern w:val="2"/>
                <w:sz w:val="24"/>
                <w:szCs w:val="24"/>
                <w:lang w:val="en-US" w:eastAsia="zh-CN" w:bidi="ar-SA"/>
              </w:rPr>
              <w:t>1）根据《排污单位自行监测技术指南 总则》（HJ819-2017）中要求，相关要求具体监测要求如下表4-</w:t>
            </w:r>
            <w:r>
              <w:rPr>
                <w:rFonts w:hint="eastAsia" w:ascii="Times New Roman" w:hAnsi="Times New Roman" w:cs="Times New Roman" w:eastAsiaTheme="majorEastAsia"/>
                <w:color w:val="auto"/>
                <w:kern w:val="2"/>
                <w:sz w:val="24"/>
                <w:szCs w:val="24"/>
                <w:lang w:val="en-US" w:eastAsia="zh-CN" w:bidi="ar-SA"/>
              </w:rPr>
              <w:t>23</w:t>
            </w:r>
            <w:r>
              <w:rPr>
                <w:rFonts w:hint="default" w:ascii="Times New Roman" w:hAnsi="Times New Roman" w:cs="Times New Roman" w:eastAsiaTheme="majorEastAsia"/>
                <w:color w:val="auto"/>
                <w:kern w:val="2"/>
                <w:sz w:val="24"/>
                <w:szCs w:val="24"/>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23</w:t>
            </w:r>
            <w:r>
              <w:rPr>
                <w:rFonts w:hint="default" w:ascii="Times New Roman" w:hAnsi="Times New Roman" w:cs="Times New Roman" w:eastAsiaTheme="majorEastAsia"/>
                <w:b/>
                <w:bCs/>
                <w:color w:val="auto"/>
                <w:sz w:val="24"/>
                <w:szCs w:val="24"/>
              </w:rPr>
              <w:t xml:space="preserve"> 废水监测要求</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4599"/>
              <w:gridCol w:w="1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
                      <w:color w:val="000000" w:themeColor="text1"/>
                      <w:kern w:val="2"/>
                      <w14:textFill>
                        <w14:solidFill>
                          <w14:schemeClr w14:val="tx1"/>
                        </w14:solidFill>
                      </w14:textFill>
                    </w:rPr>
                  </w:pPr>
                  <w:r>
                    <w:rPr>
                      <w:rFonts w:hint="default" w:ascii="Times New Roman" w:hAnsi="Times New Roman" w:cs="Times New Roman" w:eastAsiaTheme="majorEastAsia"/>
                      <w:b/>
                      <w:color w:val="000000" w:themeColor="text1"/>
                      <w:kern w:val="2"/>
                      <w14:textFill>
                        <w14:solidFill>
                          <w14:schemeClr w14:val="tx1"/>
                        </w14:solidFill>
                      </w14:textFill>
                    </w:rPr>
                    <w:t>监测点位</w:t>
                  </w:r>
                </w:p>
              </w:tc>
              <w:tc>
                <w:tcPr>
                  <w:tcW w:w="4670"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
                      <w:color w:val="000000" w:themeColor="text1"/>
                      <w:kern w:val="2"/>
                      <w14:textFill>
                        <w14:solidFill>
                          <w14:schemeClr w14:val="tx1"/>
                        </w14:solidFill>
                      </w14:textFill>
                    </w:rPr>
                  </w:pPr>
                  <w:r>
                    <w:rPr>
                      <w:rFonts w:hint="default" w:ascii="Times New Roman" w:hAnsi="Times New Roman" w:cs="Times New Roman" w:eastAsiaTheme="majorEastAsia"/>
                      <w:b/>
                      <w:color w:val="000000" w:themeColor="text1"/>
                      <w:kern w:val="2"/>
                      <w14:textFill>
                        <w14:solidFill>
                          <w14:schemeClr w14:val="tx1"/>
                        </w14:solidFill>
                      </w14:textFill>
                    </w:rPr>
                    <w:t>监测因子</w:t>
                  </w:r>
                </w:p>
              </w:tc>
              <w:tc>
                <w:tcPr>
                  <w:tcW w:w="1700"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
                      <w:color w:val="000000" w:themeColor="text1"/>
                      <w:kern w:val="2"/>
                      <w14:textFill>
                        <w14:solidFill>
                          <w14:schemeClr w14:val="tx1"/>
                        </w14:solidFill>
                      </w14:textFill>
                    </w:rPr>
                  </w:pPr>
                  <w:r>
                    <w:rPr>
                      <w:rFonts w:hint="default" w:ascii="Times New Roman" w:hAnsi="Times New Roman" w:cs="Times New Roman" w:eastAsiaTheme="majorEastAsia"/>
                      <w:b/>
                      <w:color w:val="000000" w:themeColor="text1"/>
                      <w:kern w:val="2"/>
                      <w14:textFill>
                        <w14:solidFill>
                          <w14:schemeClr w14:val="tx1"/>
                        </w14:solidFill>
                      </w14:textFill>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Cs/>
                      <w:color w:val="000000" w:themeColor="text1"/>
                      <w:kern w:val="2"/>
                      <w14:textFill>
                        <w14:solidFill>
                          <w14:schemeClr w14:val="tx1"/>
                        </w14:solidFill>
                      </w14:textFill>
                    </w:rPr>
                  </w:pPr>
                  <w:r>
                    <w:rPr>
                      <w:rFonts w:hint="default" w:ascii="Times New Roman" w:hAnsi="Times New Roman" w:cs="Times New Roman" w:eastAsiaTheme="majorEastAsia"/>
                      <w:bCs/>
                      <w:color w:val="000000" w:themeColor="text1"/>
                      <w:kern w:val="2"/>
                      <w14:textFill>
                        <w14:solidFill>
                          <w14:schemeClr w14:val="tx1"/>
                        </w14:solidFill>
                      </w14:textFill>
                    </w:rPr>
                    <w:t>废水总排口</w:t>
                  </w:r>
                </w:p>
              </w:tc>
              <w:tc>
                <w:tcPr>
                  <w:tcW w:w="4670"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Cs/>
                      <w:color w:val="000000" w:themeColor="text1"/>
                      <w:kern w:val="2"/>
                      <w14:textFill>
                        <w14:solidFill>
                          <w14:schemeClr w14:val="tx1"/>
                        </w14:solidFill>
                      </w14:textFill>
                    </w:rPr>
                  </w:pPr>
                  <w:r>
                    <w:rPr>
                      <w:rFonts w:hint="default" w:ascii="Times New Roman" w:hAnsi="Times New Roman" w:cs="Times New Roman" w:eastAsiaTheme="majorEastAsia"/>
                      <w:color w:val="000000" w:themeColor="text1"/>
                      <w14:textFill>
                        <w14:solidFill>
                          <w14:schemeClr w14:val="tx1"/>
                        </w14:solidFill>
                      </w14:textFill>
                    </w:rPr>
                    <w:t>pH、COD、SS、氨氮、总磷、总氮</w:t>
                  </w:r>
                </w:p>
              </w:tc>
              <w:tc>
                <w:tcPr>
                  <w:tcW w:w="1700"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Cs/>
                      <w:color w:val="000000" w:themeColor="text1"/>
                      <w14:textFill>
                        <w14:solidFill>
                          <w14:schemeClr w14:val="tx1"/>
                        </w14:solidFill>
                      </w14:textFill>
                    </w:rPr>
                  </w:pPr>
                  <w:r>
                    <w:rPr>
                      <w:rFonts w:hint="default" w:ascii="Times New Roman" w:hAnsi="Times New Roman" w:cs="Times New Roman" w:eastAsiaTheme="majorEastAsia"/>
                      <w:bCs/>
                      <w:color w:val="000000" w:themeColor="text1"/>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tcBorders>
                    <w:tl2br w:val="nil"/>
                    <w:tr2bl w:val="nil"/>
                  </w:tcBorders>
                  <w:vAlign w:val="center"/>
                </w:tcPr>
                <w:p>
                  <w:pPr>
                    <w:pStyle w:val="65"/>
                    <w:keepNext w:val="0"/>
                    <w:keepLines w:val="0"/>
                    <w:suppressLineNumbers w:val="0"/>
                    <w:spacing w:before="0" w:beforeAutospacing="0" w:after="0" w:afterAutospacing="0" w:line="320" w:lineRule="exact"/>
                    <w:ind w:left="0" w:right="0"/>
                    <w:rPr>
                      <w:rFonts w:hint="default" w:ascii="Times New Roman" w:hAnsi="Times New Roman" w:cs="Times New Roman" w:eastAsiaTheme="majorEastAsia"/>
                      <w:bCs/>
                      <w:color w:val="000000" w:themeColor="text1"/>
                      <w:kern w:val="2"/>
                      <w14:textFill>
                        <w14:solidFill>
                          <w14:schemeClr w14:val="tx1"/>
                        </w14:solidFill>
                      </w14:textFill>
                    </w:rPr>
                  </w:pPr>
                  <w:r>
                    <w:rPr>
                      <w:rFonts w:hint="default" w:ascii="Times New Roman" w:hAnsi="Times New Roman" w:cs="Times New Roman" w:eastAsiaTheme="majorEastAsia"/>
                      <w:bCs/>
                      <w:color w:val="000000" w:themeColor="text1"/>
                      <w:kern w:val="2"/>
                      <w14:textFill>
                        <w14:solidFill>
                          <w14:schemeClr w14:val="tx1"/>
                        </w14:solidFill>
                      </w14:textFill>
                    </w:rPr>
                    <w:t>雨水排口</w:t>
                  </w:r>
                </w:p>
              </w:tc>
              <w:tc>
                <w:tcPr>
                  <w:tcW w:w="4670"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ajorEastAsia"/>
                      <w:color w:val="000000" w:themeColor="text1"/>
                      <w:szCs w:val="21"/>
                      <w14:textFill>
                        <w14:solidFill>
                          <w14:schemeClr w14:val="tx1"/>
                        </w14:solidFill>
                      </w14:textFill>
                    </w:rPr>
                  </w:pPr>
                  <w:r>
                    <w:rPr>
                      <w:rFonts w:hint="default" w:ascii="Times New Roman" w:hAnsi="Times New Roman" w:cs="Times New Roman" w:eastAsiaTheme="majorEastAsia"/>
                      <w:color w:val="000000" w:themeColor="text1"/>
                      <w:szCs w:val="21"/>
                      <w14:textFill>
                        <w14:solidFill>
                          <w14:schemeClr w14:val="tx1"/>
                        </w14:solidFill>
                      </w14:textFill>
                    </w:rPr>
                    <w:t>pH、COD、SS、石油类</w:t>
                  </w:r>
                </w:p>
              </w:tc>
              <w:tc>
                <w:tcPr>
                  <w:tcW w:w="1700"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ajorEastAsia"/>
                      <w:bCs/>
                      <w:color w:val="000000" w:themeColor="text1"/>
                      <w14:textFill>
                        <w14:solidFill>
                          <w14:schemeClr w14:val="tx1"/>
                        </w14:solidFill>
                      </w14:textFill>
                    </w:rPr>
                  </w:pPr>
                  <w:r>
                    <w:rPr>
                      <w:rFonts w:hint="default" w:ascii="Times New Roman" w:hAnsi="Times New Roman" w:cs="Times New Roman" w:eastAsiaTheme="majorEastAsia"/>
                      <w:color w:val="000000" w:themeColor="text1"/>
                      <w:szCs w:val="21"/>
                      <w14:textFill>
                        <w14:solidFill>
                          <w14:schemeClr w14:val="tx1"/>
                        </w14:solidFill>
                      </w14:textFill>
                    </w:rPr>
                    <w:t>1次/月*</w:t>
                  </w:r>
                </w:p>
              </w:tc>
            </w:tr>
          </w:tbl>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eastAsiaTheme="majorEastAsia"/>
                <w:color w:val="000000" w:themeColor="text1"/>
                <w:szCs w:val="21"/>
                <w14:textFill>
                  <w14:solidFill>
                    <w14:schemeClr w14:val="tx1"/>
                  </w14:solidFill>
                </w14:textFill>
              </w:rPr>
            </w:pPr>
            <w:r>
              <w:rPr>
                <w:rFonts w:hint="default" w:ascii="Times New Roman" w:hAnsi="Times New Roman" w:cs="Times New Roman" w:eastAsiaTheme="majorEastAsia"/>
                <w:color w:val="000000" w:themeColor="text1"/>
                <w:szCs w:val="21"/>
                <w14:textFill>
                  <w14:solidFill>
                    <w14:schemeClr w14:val="tx1"/>
                  </w14:solidFill>
                </w14:textFill>
              </w:rPr>
              <w:t>注：雨水排放口有流动水排放时按月监测。若监测一年无异常情况，可放宽至每季度开展一次监测。</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color w:val="auto"/>
                <w:kern w:val="0"/>
                <w:sz w:val="24"/>
                <w:szCs w:val="24"/>
              </w:rPr>
            </w:pPr>
            <w:r>
              <w:rPr>
                <w:rFonts w:hint="default" w:ascii="Times New Roman" w:hAnsi="Times New Roman" w:cs="Times New Roman" w:eastAsiaTheme="majorEastAsia"/>
                <w:color w:val="auto"/>
                <w:kern w:val="0"/>
                <w:sz w:val="24"/>
                <w:szCs w:val="24"/>
                <w:lang w:val="en-US" w:eastAsia="zh-CN"/>
              </w:rPr>
              <w:t>2）</w:t>
            </w:r>
            <w:r>
              <w:rPr>
                <w:rFonts w:hint="default" w:ascii="Times New Roman" w:hAnsi="Times New Roman" w:cs="Times New Roman" w:eastAsiaTheme="majorEastAsia"/>
                <w:color w:val="auto"/>
                <w:sz w:val="24"/>
                <w:szCs w:val="24"/>
              </w:rPr>
              <w:t>“三同时”验收监测计划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color w:val="auto"/>
                <w:sz w:val="24"/>
                <w:szCs w:val="24"/>
              </w:rPr>
              <w:t>根据《建设项目竣工环境保护验收技术指南 污染影响类》，</w:t>
            </w:r>
            <w:r>
              <w:rPr>
                <w:rFonts w:hint="default" w:ascii="Times New Roman" w:hAnsi="Times New Roman" w:cs="Times New Roman" w:eastAsiaTheme="majorEastAsia"/>
                <w:bCs/>
                <w:color w:val="auto"/>
                <w:sz w:val="24"/>
                <w:szCs w:val="24"/>
              </w:rPr>
              <w:t>建设项目需针对大气污染源、废水污染源、噪声污染源制定验收监测计划。</w:t>
            </w:r>
            <w:r>
              <w:rPr>
                <w:rFonts w:hint="default" w:ascii="Times New Roman" w:hAnsi="Times New Roman" w:cs="Times New Roman" w:eastAsiaTheme="majorEastAsia"/>
                <w:color w:val="auto"/>
                <w:sz w:val="24"/>
                <w:szCs w:val="24"/>
              </w:rPr>
              <w:t>本项目废水监测点、监测项目及监测频次</w:t>
            </w:r>
            <w:r>
              <w:rPr>
                <w:rFonts w:hint="default" w:ascii="Times New Roman" w:hAnsi="Times New Roman" w:cs="Times New Roman" w:eastAsiaTheme="majorEastAsia"/>
                <w:bCs/>
                <w:color w:val="auto"/>
                <w:sz w:val="24"/>
                <w:szCs w:val="24"/>
              </w:rPr>
              <w:t>见下表。</w:t>
            </w:r>
          </w:p>
          <w:p>
            <w:pPr>
              <w:keepNext w:val="0"/>
              <w:keepLines w:val="0"/>
              <w:suppressLineNumbers w:val="0"/>
              <w:adjustRightInd w:val="0"/>
              <w:snapToGrid w:val="0"/>
              <w:spacing w:before="0" w:beforeLines="0" w:beforeAutospacing="0" w:after="0" w:afterAutospacing="0"/>
              <w:ind w:left="0" w:right="0"/>
              <w:jc w:val="center"/>
              <w:rPr>
                <w:rFonts w:hint="default" w:ascii="Times New Roman" w:hAnsi="Times New Roman" w:cs="Times New Roman" w:eastAsiaTheme="majorEastAsia"/>
                <w:b/>
                <w:bCs/>
                <w:color w:val="auto"/>
                <w:sz w:val="24"/>
                <w:szCs w:val="24"/>
              </w:rPr>
            </w:pPr>
            <w:r>
              <w:rPr>
                <w:rFonts w:hint="default" w:ascii="Times New Roman" w:hAnsi="Times New Roman" w:cs="Times New Roman" w:eastAsiaTheme="majorEastAsia"/>
                <w:b/>
                <w:bCs/>
                <w:color w:val="auto"/>
                <w:sz w:val="24"/>
                <w:szCs w:val="24"/>
              </w:rPr>
              <w:t>表4-</w:t>
            </w:r>
            <w:r>
              <w:rPr>
                <w:rFonts w:hint="eastAsia" w:ascii="Times New Roman" w:hAnsi="Times New Roman" w:cs="Times New Roman" w:eastAsiaTheme="majorEastAsia"/>
                <w:b/>
                <w:bCs/>
                <w:color w:val="auto"/>
                <w:sz w:val="24"/>
                <w:szCs w:val="24"/>
                <w:lang w:val="en-US" w:eastAsia="zh-CN"/>
              </w:rPr>
              <w:t>24</w:t>
            </w:r>
            <w:r>
              <w:rPr>
                <w:rFonts w:hint="default" w:ascii="Times New Roman" w:hAnsi="Times New Roman" w:cs="Times New Roman" w:eastAsiaTheme="majorEastAsia"/>
                <w:b/>
                <w:bCs/>
                <w:color w:val="auto"/>
                <w:sz w:val="24"/>
                <w:szCs w:val="24"/>
              </w:rPr>
              <w:t xml:space="preserve">  验收监测计划表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500"/>
              <w:gridCol w:w="2332"/>
              <w:gridCol w:w="1084"/>
              <w:gridCol w:w="1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75"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种类</w:t>
                  </w:r>
                </w:p>
              </w:tc>
              <w:tc>
                <w:tcPr>
                  <w:tcW w:w="967"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监测点位</w:t>
                  </w:r>
                </w:p>
              </w:tc>
              <w:tc>
                <w:tcPr>
                  <w:tcW w:w="1503"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监测项目</w:t>
                  </w:r>
                </w:p>
              </w:tc>
              <w:tc>
                <w:tcPr>
                  <w:tcW w:w="699"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点位数</w:t>
                  </w:r>
                </w:p>
              </w:tc>
              <w:tc>
                <w:tcPr>
                  <w:tcW w:w="953"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restar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废水</w:t>
                  </w:r>
                </w:p>
              </w:tc>
              <w:tc>
                <w:tcPr>
                  <w:tcW w:w="967" w:type="pct"/>
                  <w:noWrap w:val="0"/>
                  <w:tcMar>
                    <w:top w:w="0" w:type="dxa"/>
                    <w:left w:w="0" w:type="dxa"/>
                    <w:bottom w:w="0" w:type="dxa"/>
                    <w:right w:w="0" w:type="dxa"/>
                  </w:tcMar>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ajorEastAsia"/>
                      <w:color w:val="auto"/>
                      <w:sz w:val="24"/>
                      <w:szCs w:val="24"/>
                      <w:lang w:eastAsia="zh-CN"/>
                    </w:rPr>
                  </w:pPr>
                  <w:r>
                    <w:rPr>
                      <w:rFonts w:hint="default" w:ascii="Times New Roman" w:hAnsi="Times New Roman" w:cs="Times New Roman" w:eastAsiaTheme="majorEastAsia"/>
                      <w:color w:val="auto"/>
                      <w:sz w:val="24"/>
                      <w:szCs w:val="24"/>
                      <w:lang w:val="en-US" w:eastAsia="zh-CN"/>
                    </w:rPr>
                    <w:t>污水总排口</w:t>
                  </w:r>
                </w:p>
              </w:tc>
              <w:tc>
                <w:tcPr>
                  <w:tcW w:w="1503"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rPr>
                    <w:t>pH、COD、SS、氨氮、总磷、总氮</w:t>
                  </w:r>
                </w:p>
              </w:tc>
              <w:tc>
                <w:tcPr>
                  <w:tcW w:w="699"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1</w:t>
                  </w:r>
                </w:p>
              </w:tc>
              <w:tc>
                <w:tcPr>
                  <w:tcW w:w="953" w:type="pct"/>
                  <w:vMerge w:val="restar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连续2天</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 w:type="pct"/>
                  <w:vMerge w:val="continue"/>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p>
              </w:tc>
              <w:tc>
                <w:tcPr>
                  <w:tcW w:w="967" w:type="pct"/>
                  <w:noWrap w:val="0"/>
                  <w:tcMar>
                    <w:top w:w="0" w:type="dxa"/>
                    <w:left w:w="0" w:type="dxa"/>
                    <w:bottom w:w="0" w:type="dxa"/>
                    <w:right w:w="0" w:type="dxa"/>
                  </w:tcMar>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雨水排口</w:t>
                  </w:r>
                </w:p>
              </w:tc>
              <w:tc>
                <w:tcPr>
                  <w:tcW w:w="1503"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lang w:eastAsia="zh-CN"/>
                    </w:rPr>
                  </w:pPr>
                  <w:r>
                    <w:rPr>
                      <w:rFonts w:hint="default" w:ascii="Times New Roman" w:hAnsi="Times New Roman" w:cs="Times New Roman" w:eastAsiaTheme="majorEastAsia"/>
                      <w:color w:val="auto"/>
                      <w:sz w:val="24"/>
                      <w:szCs w:val="24"/>
                    </w:rPr>
                    <w:t>COD、SS、</w:t>
                  </w:r>
                  <w:r>
                    <w:rPr>
                      <w:rFonts w:hint="default" w:ascii="Times New Roman" w:hAnsi="Times New Roman" w:cs="Times New Roman" w:eastAsiaTheme="majorEastAsia"/>
                      <w:color w:val="auto"/>
                      <w:sz w:val="24"/>
                      <w:szCs w:val="24"/>
                      <w:lang w:val="en-US" w:eastAsia="zh-CN"/>
                    </w:rPr>
                    <w:t>石油类</w:t>
                  </w:r>
                </w:p>
              </w:tc>
              <w:tc>
                <w:tcPr>
                  <w:tcW w:w="699" w:type="pct"/>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1</w:t>
                  </w:r>
                </w:p>
              </w:tc>
              <w:tc>
                <w:tcPr>
                  <w:tcW w:w="953" w:type="pct"/>
                  <w:vMerge w:val="continue"/>
                  <w:noWrap w:val="0"/>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color w:val="auto"/>
                      <w:sz w:val="24"/>
                      <w:szCs w:val="24"/>
                    </w:rPr>
                  </w:pPr>
                </w:p>
              </w:tc>
            </w:tr>
          </w:tbl>
          <w:p>
            <w:pPr>
              <w:keepNext w:val="0"/>
              <w:keepLines w:val="0"/>
              <w:suppressLineNumbers w:val="0"/>
              <w:spacing w:before="0" w:beforeAutospacing="0" w:after="0" w:afterAutospacing="0" w:line="240" w:lineRule="auto"/>
              <w:ind w:left="0" w:right="0" w:firstLine="420" w:firstLineChars="200"/>
              <w:jc w:val="left"/>
              <w:rPr>
                <w:rFonts w:hint="default" w:ascii="Times New Roman" w:hAnsi="Times New Roman" w:cs="Times New Roman" w:eastAsiaTheme="majorEastAsia"/>
                <w:b w:val="0"/>
                <w:bCs w:val="0"/>
                <w:color w:val="000000"/>
                <w:sz w:val="21"/>
                <w:szCs w:val="21"/>
                <w:lang w:val="en-US" w:eastAsia="zh-CN"/>
              </w:rPr>
            </w:pP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48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
                <w:bCs w:val="0"/>
                <w:color w:val="000000"/>
                <w:szCs w:val="21"/>
              </w:rPr>
              <w:t>措施</w:t>
            </w:r>
          </w:p>
        </w:tc>
        <w:tc>
          <w:tcPr>
            <w:tcW w:w="4642" w:type="pct"/>
            <w:noWrap w:val="0"/>
            <w:vAlign w:val="center"/>
          </w:tcPr>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（1）预测模型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根据《环境影响评价技术导则声环境》（HJ2.4-2021）的规定，选取预测模式，应用过程中将根据具体情况</w:t>
            </w:r>
            <w:r>
              <w:rPr>
                <w:rFonts w:hint="eastAsia" w:ascii="Times New Roman" w:hAnsi="Times New Roman" w:cs="Times New Roman"/>
                <w:bCs/>
                <w:color w:val="auto"/>
                <w:sz w:val="24"/>
                <w:szCs w:val="24"/>
                <w:lang w:eastAsia="zh-CN"/>
              </w:rPr>
              <w:t>做必要</w:t>
            </w:r>
            <w:r>
              <w:rPr>
                <w:rFonts w:hint="default" w:ascii="Times New Roman" w:hAnsi="Times New Roman" w:cs="Times New Roman"/>
                <w:bCs/>
                <w:color w:val="auto"/>
                <w:sz w:val="24"/>
                <w:szCs w:val="24"/>
              </w:rPr>
              <w:t>简化，计算过程如下：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a）声环境影响预测模式</w: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auto"/>
                <w:kern w:val="21"/>
                <w:sz w:val="24"/>
                <w:szCs w:val="24"/>
              </w:rPr>
            </w:pPr>
            <w:r>
              <w:rPr>
                <w:rFonts w:hint="default" w:ascii="Times New Roman" w:hAnsi="Times New Roman" w:cs="Times New Roman"/>
                <w:color w:val="auto"/>
                <w:sz w:val="24"/>
                <w:szCs w:val="24"/>
              </w:rPr>
              <w:drawing>
                <wp:inline distT="0" distB="0" distL="114300" distR="114300">
                  <wp:extent cx="1135380" cy="274320"/>
                  <wp:effectExtent l="0" t="0" r="7620" b="11430"/>
                  <wp:docPr id="5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2"/>
                          <pic:cNvPicPr>
                            <a:picLocks noChangeAspect="1"/>
                          </pic:cNvPicPr>
                        </pic:nvPicPr>
                        <pic:blipFill>
                          <a:blip r:embed="rId18"/>
                          <a:stretch>
                            <a:fillRect/>
                          </a:stretch>
                        </pic:blipFill>
                        <pic:spPr>
                          <a:xfrm>
                            <a:off x="0" y="0"/>
                            <a:ext cx="1135380" cy="27432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式中：L</w:t>
            </w:r>
            <w:r>
              <w:rPr>
                <w:rFonts w:hint="default" w:ascii="Times New Roman" w:hAnsi="Times New Roman" w:cs="Times New Roman"/>
                <w:color w:val="auto"/>
                <w:kern w:val="21"/>
                <w:sz w:val="24"/>
                <w:szCs w:val="24"/>
                <w:vertAlign w:val="subscript"/>
              </w:rPr>
              <w:t>A</w:t>
            </w:r>
            <w:r>
              <w:rPr>
                <w:rFonts w:hint="default" w:ascii="Times New Roman" w:hAnsi="Times New Roman" w:cs="Times New Roman"/>
                <w:color w:val="auto"/>
                <w:kern w:val="21"/>
                <w:sz w:val="24"/>
                <w:szCs w:val="24"/>
              </w:rPr>
              <w:t>（r）—预测点r处A声级，dB（A）；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 xml:space="preserve">      L</w:t>
            </w:r>
            <w:r>
              <w:rPr>
                <w:rFonts w:hint="default" w:ascii="Times New Roman" w:hAnsi="Times New Roman" w:cs="Times New Roman"/>
                <w:color w:val="auto"/>
                <w:kern w:val="21"/>
                <w:sz w:val="24"/>
                <w:szCs w:val="24"/>
                <w:vertAlign w:val="subscript"/>
              </w:rPr>
              <w:t>A</w:t>
            </w:r>
            <w:r>
              <w:rPr>
                <w:rFonts w:hint="default" w:ascii="Times New Roman" w:hAnsi="Times New Roman" w:cs="Times New Roman"/>
                <w:color w:val="auto"/>
                <w:kern w:val="21"/>
                <w:sz w:val="24"/>
                <w:szCs w:val="24"/>
              </w:rPr>
              <w:t>（r</w:t>
            </w:r>
            <w:r>
              <w:rPr>
                <w:rFonts w:hint="default" w:ascii="Times New Roman" w:hAnsi="Times New Roman" w:cs="Times New Roman"/>
                <w:color w:val="auto"/>
                <w:kern w:val="21"/>
                <w:sz w:val="24"/>
                <w:szCs w:val="24"/>
                <w:vertAlign w:val="subscript"/>
              </w:rPr>
              <w:t>0</w:t>
            </w:r>
            <w:r>
              <w:rPr>
                <w:rFonts w:hint="default" w:ascii="Times New Roman" w:hAnsi="Times New Roman" w:cs="Times New Roman"/>
                <w:color w:val="auto"/>
                <w:kern w:val="21"/>
                <w:sz w:val="24"/>
                <w:szCs w:val="24"/>
              </w:rPr>
              <w:t>）—r</w:t>
            </w:r>
            <w:r>
              <w:rPr>
                <w:rFonts w:hint="default" w:ascii="Times New Roman" w:hAnsi="Times New Roman" w:cs="Times New Roman"/>
                <w:color w:val="auto"/>
                <w:kern w:val="21"/>
                <w:sz w:val="24"/>
                <w:szCs w:val="24"/>
                <w:vertAlign w:val="subscript"/>
              </w:rPr>
              <w:t>0</w:t>
            </w:r>
            <w:r>
              <w:rPr>
                <w:rFonts w:hint="default" w:ascii="Times New Roman" w:hAnsi="Times New Roman" w:cs="Times New Roman"/>
                <w:color w:val="auto"/>
                <w:kern w:val="21"/>
                <w:sz w:val="24"/>
                <w:szCs w:val="24"/>
              </w:rPr>
              <w:t>处A声级，dB（A）；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 xml:space="preserve">      A—倍频带衰减，dB（A）。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b）建设项目声源在预测点产生的等效声级贡献值（L</w:t>
            </w:r>
            <w:r>
              <w:rPr>
                <w:rFonts w:hint="default" w:ascii="Times New Roman" w:hAnsi="Times New Roman" w:cs="Times New Roman"/>
                <w:color w:val="auto"/>
                <w:kern w:val="21"/>
                <w:sz w:val="24"/>
                <w:szCs w:val="24"/>
                <w:vertAlign w:val="subscript"/>
              </w:rPr>
              <w:t>eqg</w:t>
            </w:r>
            <w:r>
              <w:rPr>
                <w:rFonts w:hint="default" w:ascii="Times New Roman" w:hAnsi="Times New Roman" w:cs="Times New Roman"/>
                <w:color w:val="auto"/>
                <w:kern w:val="21"/>
                <w:sz w:val="24"/>
                <w:szCs w:val="24"/>
              </w:rPr>
              <w:t>）计算公式：</w: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auto"/>
                <w:kern w:val="21"/>
                <w:sz w:val="24"/>
                <w:szCs w:val="24"/>
              </w:rPr>
            </w:pPr>
            <w:r>
              <w:rPr>
                <w:rFonts w:hint="default" w:ascii="Times New Roman" w:hAnsi="Times New Roman" w:cs="Times New Roman"/>
                <w:color w:val="auto"/>
                <w:sz w:val="24"/>
                <w:szCs w:val="24"/>
              </w:rPr>
              <w:drawing>
                <wp:inline distT="0" distB="0" distL="114300" distR="114300">
                  <wp:extent cx="2072640" cy="426720"/>
                  <wp:effectExtent l="0" t="0" r="3810" b="11430"/>
                  <wp:docPr id="5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3"/>
                          <pic:cNvPicPr>
                            <a:picLocks noChangeAspect="1"/>
                          </pic:cNvPicPr>
                        </pic:nvPicPr>
                        <pic:blipFill>
                          <a:blip r:embed="rId19"/>
                          <a:stretch>
                            <a:fillRect/>
                          </a:stretch>
                        </pic:blipFill>
                        <pic:spPr>
                          <a:xfrm>
                            <a:off x="0" y="0"/>
                            <a:ext cx="2072640" cy="42672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式中：L</w:t>
            </w:r>
            <w:r>
              <w:rPr>
                <w:rFonts w:hint="default" w:ascii="Times New Roman" w:hAnsi="Times New Roman" w:cs="Times New Roman"/>
                <w:color w:val="auto"/>
                <w:kern w:val="21"/>
                <w:sz w:val="24"/>
                <w:szCs w:val="24"/>
                <w:vertAlign w:val="subscript"/>
              </w:rPr>
              <w:t>eqg</w:t>
            </w:r>
            <w:r>
              <w:rPr>
                <w:rFonts w:hint="default" w:ascii="Times New Roman" w:hAnsi="Times New Roman" w:cs="Times New Roman"/>
                <w:color w:val="auto"/>
                <w:kern w:val="21"/>
                <w:sz w:val="24"/>
                <w:szCs w:val="24"/>
              </w:rPr>
              <w:t>—建设项目声源在预测点的等效声级贡献值，dB（A）；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 xml:space="preserve">      L</w:t>
            </w:r>
            <w:r>
              <w:rPr>
                <w:rFonts w:hint="default" w:ascii="Times New Roman" w:hAnsi="Times New Roman" w:cs="Times New Roman"/>
                <w:color w:val="auto"/>
                <w:kern w:val="21"/>
                <w:sz w:val="24"/>
                <w:szCs w:val="24"/>
                <w:vertAlign w:val="subscript"/>
              </w:rPr>
              <w:t>Ai</w:t>
            </w:r>
            <w:r>
              <w:rPr>
                <w:rFonts w:hint="default" w:ascii="Times New Roman" w:hAnsi="Times New Roman" w:cs="Times New Roman"/>
                <w:color w:val="auto"/>
                <w:kern w:val="21"/>
                <w:sz w:val="24"/>
                <w:szCs w:val="24"/>
              </w:rPr>
              <w:t xml:space="preserve">—i声源在预测点产生的A声级，dB（A）； </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 xml:space="preserve">      T—预测计算的时间段，s；</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 xml:space="preserve">      t</w:t>
            </w:r>
            <w:r>
              <w:rPr>
                <w:rFonts w:hint="default" w:ascii="Times New Roman" w:hAnsi="Times New Roman" w:cs="Times New Roman"/>
                <w:color w:val="auto"/>
                <w:kern w:val="21"/>
                <w:sz w:val="24"/>
                <w:szCs w:val="24"/>
                <w:vertAlign w:val="subscript"/>
              </w:rPr>
              <w:t>i</w:t>
            </w:r>
            <w:r>
              <w:rPr>
                <w:rFonts w:hint="default" w:ascii="Times New Roman" w:hAnsi="Times New Roman" w:cs="Times New Roman"/>
                <w:color w:val="auto"/>
                <w:kern w:val="21"/>
                <w:sz w:val="24"/>
                <w:szCs w:val="24"/>
              </w:rPr>
              <w:t>—i声源在T时段内的运行时间，s。</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c）预测点的预测等效声级（L</w:t>
            </w:r>
            <w:r>
              <w:rPr>
                <w:rFonts w:hint="default" w:ascii="Times New Roman" w:hAnsi="Times New Roman" w:cs="Times New Roman"/>
                <w:color w:val="auto"/>
                <w:kern w:val="21"/>
                <w:sz w:val="24"/>
                <w:szCs w:val="24"/>
                <w:vertAlign w:val="subscript"/>
              </w:rPr>
              <w:t>eq</w:t>
            </w:r>
            <w:r>
              <w:rPr>
                <w:rFonts w:hint="default" w:ascii="Times New Roman" w:hAnsi="Times New Roman" w:cs="Times New Roman"/>
                <w:color w:val="auto"/>
                <w:kern w:val="21"/>
                <w:sz w:val="24"/>
                <w:szCs w:val="24"/>
              </w:rPr>
              <w:t>）计算公式：</w: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auto"/>
                <w:kern w:val="21"/>
                <w:sz w:val="24"/>
                <w:szCs w:val="24"/>
              </w:rPr>
            </w:pPr>
            <w:r>
              <w:rPr>
                <w:rFonts w:hint="default" w:ascii="Times New Roman" w:hAnsi="Times New Roman" w:cs="Times New Roman"/>
                <w:color w:val="auto"/>
                <w:sz w:val="24"/>
                <w:szCs w:val="24"/>
              </w:rPr>
              <w:drawing>
                <wp:inline distT="0" distB="0" distL="114300" distR="114300">
                  <wp:extent cx="1737360" cy="304800"/>
                  <wp:effectExtent l="0" t="0" r="15240" b="0"/>
                  <wp:docPr id="5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4"/>
                          <pic:cNvPicPr>
                            <a:picLocks noChangeAspect="1"/>
                          </pic:cNvPicPr>
                        </pic:nvPicPr>
                        <pic:blipFill>
                          <a:blip r:embed="rId20"/>
                          <a:stretch>
                            <a:fillRect/>
                          </a:stretch>
                        </pic:blipFill>
                        <pic:spPr>
                          <a:xfrm>
                            <a:off x="0" y="0"/>
                            <a:ext cx="1737360" cy="30480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式中：L</w:t>
            </w:r>
            <w:r>
              <w:rPr>
                <w:rFonts w:hint="default" w:ascii="Times New Roman" w:hAnsi="Times New Roman" w:cs="Times New Roman"/>
                <w:color w:val="auto"/>
                <w:kern w:val="21"/>
                <w:sz w:val="24"/>
                <w:szCs w:val="24"/>
                <w:vertAlign w:val="subscript"/>
              </w:rPr>
              <w:t>eqb</w:t>
            </w:r>
            <w:r>
              <w:rPr>
                <w:rFonts w:hint="default" w:ascii="Times New Roman" w:hAnsi="Times New Roman" w:cs="Times New Roman"/>
                <w:color w:val="auto"/>
                <w:kern w:val="21"/>
                <w:sz w:val="24"/>
                <w:szCs w:val="24"/>
              </w:rPr>
              <w:t>—预测点的背景值，dB（A）。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d）在环境噪声预测中各噪声源的作为点声源处理，故几何发散衰减：</w:t>
            </w:r>
          </w:p>
          <w:p>
            <w:pPr>
              <w:keepNext w:val="0"/>
              <w:keepLines w:val="0"/>
              <w:suppressLineNumbers w:val="0"/>
              <w:adjustRightInd w:val="0"/>
              <w:snapToGrid w:val="0"/>
              <w:spacing w:before="0" w:beforeAutospacing="0" w:after="0" w:afterAutospacing="0" w:line="360" w:lineRule="auto"/>
              <w:ind w:left="0" w:right="0" w:firstLine="720" w:firstLineChars="300"/>
              <w:jc w:val="center"/>
              <w:rPr>
                <w:rFonts w:hint="default" w:ascii="Times New Roman" w:hAnsi="Times New Roman" w:cs="Times New Roman"/>
                <w:color w:val="auto"/>
                <w:kern w:val="21"/>
                <w:sz w:val="24"/>
                <w:szCs w:val="24"/>
              </w:rPr>
            </w:pPr>
            <w:r>
              <w:rPr>
                <w:rFonts w:hint="default" w:ascii="Times New Roman" w:hAnsi="Times New Roman" w:cs="Times New Roman"/>
                <w:color w:val="auto"/>
                <w:sz w:val="24"/>
                <w:szCs w:val="24"/>
              </w:rPr>
              <w:drawing>
                <wp:inline distT="0" distB="0" distL="114300" distR="114300">
                  <wp:extent cx="1295400" cy="510540"/>
                  <wp:effectExtent l="0" t="0" r="0" b="3810"/>
                  <wp:docPr id="5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5"/>
                          <pic:cNvPicPr>
                            <a:picLocks noChangeAspect="1"/>
                          </pic:cNvPicPr>
                        </pic:nvPicPr>
                        <pic:blipFill>
                          <a:blip r:embed="rId21"/>
                          <a:stretch>
                            <a:fillRect/>
                          </a:stretch>
                        </pic:blipFill>
                        <pic:spPr>
                          <a:xfrm>
                            <a:off x="0" y="0"/>
                            <a:ext cx="1295400" cy="51054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式中：A</w:t>
            </w:r>
            <w:r>
              <w:rPr>
                <w:rFonts w:hint="default" w:ascii="Times New Roman" w:hAnsi="Times New Roman" w:cs="Times New Roman"/>
                <w:color w:val="auto"/>
                <w:kern w:val="21"/>
                <w:sz w:val="24"/>
                <w:szCs w:val="24"/>
                <w:vertAlign w:val="subscript"/>
              </w:rPr>
              <w:t>div</w:t>
            </w:r>
            <w:r>
              <w:rPr>
                <w:rFonts w:hint="default" w:ascii="Times New Roman" w:hAnsi="Times New Roman" w:cs="Times New Roman"/>
                <w:color w:val="auto"/>
                <w:kern w:val="21"/>
                <w:sz w:val="24"/>
                <w:szCs w:val="24"/>
              </w:rPr>
              <w:t>—几何发散衰减；</w:t>
            </w:r>
          </w:p>
          <w:p>
            <w:pPr>
              <w:keepNext w:val="0"/>
              <w:keepLines w:val="0"/>
              <w:suppressLineNumbers w:val="0"/>
              <w:adjustRightInd w:val="0"/>
              <w:snapToGrid w:val="0"/>
              <w:spacing w:before="0" w:beforeAutospacing="0" w:after="0" w:afterAutospacing="0" w:line="360" w:lineRule="auto"/>
              <w:ind w:left="0" w:right="0" w:firstLine="1200" w:firstLineChars="500"/>
              <w:jc w:val="left"/>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r</w:t>
            </w:r>
            <w:r>
              <w:rPr>
                <w:rFonts w:hint="default" w:ascii="Times New Roman" w:hAnsi="Times New Roman" w:cs="Times New Roman"/>
                <w:color w:val="auto"/>
                <w:kern w:val="21"/>
                <w:sz w:val="24"/>
                <w:szCs w:val="24"/>
                <w:vertAlign w:val="subscript"/>
              </w:rPr>
              <w:t>0</w:t>
            </w:r>
            <w:r>
              <w:rPr>
                <w:rFonts w:hint="default" w:ascii="Times New Roman" w:hAnsi="Times New Roman" w:cs="Times New Roman"/>
                <w:color w:val="auto"/>
                <w:kern w:val="21"/>
                <w:sz w:val="24"/>
                <w:szCs w:val="24"/>
              </w:rPr>
              <w:t>—噪声合成点与噪声源的距离，m；</w:t>
            </w:r>
          </w:p>
          <w:p>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kern w:val="21"/>
                <w:sz w:val="24"/>
                <w:szCs w:val="24"/>
              </w:rPr>
              <w:t>r—预测点与噪声源的距离，m。</w:t>
            </w:r>
          </w:p>
          <w:p>
            <w:pPr>
              <w:keepNext w:val="0"/>
              <w:keepLines w:val="0"/>
              <w:numPr>
                <w:ilvl w:val="0"/>
                <w:numId w:val="15"/>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预测参数</w:t>
            </w:r>
          </w:p>
          <w:p>
            <w:pPr>
              <w:keepNext w:val="0"/>
              <w:keepLines w:val="0"/>
              <w:suppressLineNumbers w:val="0"/>
              <w:spacing w:before="0" w:beforeAutospacing="0" w:after="0" w:afterAutospacing="0" w:line="360" w:lineRule="auto"/>
              <w:ind w:left="420" w:leftChars="20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①噪声源强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lang w:val="en-US" w:eastAsia="zh-CN"/>
              </w:rPr>
            </w:pPr>
            <w:r>
              <w:rPr>
                <w:rFonts w:hint="default" w:ascii="Times New Roman" w:hAnsi="Times New Roman" w:cs="Times New Roman"/>
                <w:color w:val="auto"/>
                <w:sz w:val="24"/>
                <w:szCs w:val="24"/>
              </w:rPr>
              <w:t>本项目在生产过程中产生的噪声主要</w:t>
            </w:r>
            <w:r>
              <w:rPr>
                <w:rFonts w:hint="default" w:ascii="Times New Roman" w:hAnsi="Times New Roman" w:cs="Times New Roman"/>
                <w:color w:val="000000"/>
                <w:sz w:val="24"/>
                <w:szCs w:val="24"/>
              </w:rPr>
              <w:t>为</w:t>
            </w:r>
            <w:r>
              <w:rPr>
                <w:rFonts w:hint="eastAsia" w:ascii="Times New Roman" w:hAnsi="Times New Roman" w:cs="Times New Roman"/>
                <w:color w:val="000000"/>
                <w:sz w:val="24"/>
                <w:szCs w:val="24"/>
                <w:lang w:val="en-US" w:eastAsia="zh-CN"/>
              </w:rPr>
              <w:t>挤出机、吸料机、</w:t>
            </w:r>
            <w:r>
              <w:rPr>
                <w:rFonts w:hint="eastAsia" w:cs="Times New Roman"/>
                <w:color w:val="000000"/>
                <w:sz w:val="24"/>
                <w:szCs w:val="24"/>
                <w:lang w:val="en-US" w:eastAsia="zh-CN"/>
              </w:rPr>
              <w:t>破碎机</w:t>
            </w:r>
            <w:r>
              <w:rPr>
                <w:rFonts w:hint="default" w:ascii="Times New Roman" w:hAnsi="Times New Roman" w:cs="Times New Roman"/>
                <w:color w:val="000000"/>
                <w:sz w:val="24"/>
                <w:szCs w:val="24"/>
                <w:lang w:eastAsia="zh-CN"/>
              </w:rPr>
              <w:t>等生产设备及</w:t>
            </w:r>
            <w:r>
              <w:rPr>
                <w:rFonts w:hint="eastAsia" w:ascii="Times New Roman" w:hAnsi="Times New Roman" w:cs="Times New Roman"/>
                <w:color w:val="000000"/>
                <w:sz w:val="24"/>
                <w:szCs w:val="24"/>
                <w:lang w:eastAsia="zh-CN"/>
              </w:rPr>
              <w:t>风机等</w:t>
            </w:r>
            <w:r>
              <w:rPr>
                <w:rFonts w:hint="default" w:ascii="Times New Roman" w:hAnsi="Times New Roman" w:cs="Times New Roman"/>
                <w:color w:val="000000"/>
                <w:sz w:val="24"/>
                <w:szCs w:val="24"/>
                <w:lang w:eastAsia="zh-CN"/>
              </w:rPr>
              <w:t>公辅设备，</w:t>
            </w:r>
            <w:r>
              <w:rPr>
                <w:rFonts w:hint="default" w:ascii="Times New Roman" w:hAnsi="Times New Roman" w:cs="Times New Roman"/>
                <w:color w:val="000000"/>
                <w:sz w:val="24"/>
                <w:szCs w:val="24"/>
              </w:rPr>
              <w:t>源强在7</w:t>
            </w:r>
            <w:r>
              <w:rPr>
                <w:rFonts w:hint="eastAsia" w:cs="Times New Roman"/>
                <w:color w:val="000000"/>
                <w:sz w:val="24"/>
                <w:szCs w:val="24"/>
                <w:lang w:val="en-US" w:eastAsia="zh-CN"/>
              </w:rPr>
              <w:t>0</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9</w:t>
            </w:r>
            <w:r>
              <w:rPr>
                <w:rFonts w:hint="eastAsia" w:cs="Times New Roman"/>
                <w:color w:val="000000"/>
                <w:sz w:val="24"/>
                <w:szCs w:val="24"/>
                <w:lang w:val="en-US" w:eastAsia="zh-CN"/>
              </w:rPr>
              <w:t>5</w:t>
            </w:r>
            <w:r>
              <w:rPr>
                <w:rFonts w:hint="default" w:ascii="Times New Roman" w:hAnsi="Times New Roman" w:cs="Times New Roman"/>
                <w:color w:val="000000"/>
                <w:sz w:val="24"/>
                <w:szCs w:val="24"/>
              </w:rPr>
              <w:t>dB（A），</w:t>
            </w:r>
            <w:r>
              <w:rPr>
                <w:rFonts w:hint="default" w:ascii="Times New Roman" w:hAnsi="Times New Roman" w:cs="Times New Roman"/>
                <w:color w:val="000000"/>
                <w:sz w:val="24"/>
              </w:rPr>
              <w:t>噪声特征以连续性噪声为主，间歇性噪声为辅。本项目主要噪声源及降噪措施见表4-</w:t>
            </w:r>
            <w:r>
              <w:rPr>
                <w:rFonts w:hint="eastAsia" w:cs="Times New Roman"/>
                <w:color w:val="000000"/>
                <w:sz w:val="24"/>
                <w:lang w:val="en-US" w:eastAsia="zh-CN"/>
              </w:rPr>
              <w:t>25</w:t>
            </w:r>
            <w:r>
              <w:rPr>
                <w:rFonts w:hint="default" w:ascii="Times New Roman" w:hAnsi="Times New Roman" w:cs="Times New Roman"/>
                <w:color w:val="000000"/>
                <w:sz w:val="24"/>
              </w:rPr>
              <w:t>及表4-</w:t>
            </w:r>
            <w:r>
              <w:rPr>
                <w:rFonts w:hint="eastAsia" w:cs="Times New Roman"/>
                <w:color w:val="000000"/>
                <w:sz w:val="24"/>
                <w:lang w:val="en-US" w:eastAsia="zh-CN"/>
              </w:rPr>
              <w:t>26。</w:t>
            </w:r>
          </w:p>
        </w:tc>
      </w:tr>
    </w:tbl>
    <w:p>
      <w:pPr>
        <w:rPr>
          <w:rFonts w:hint="default" w:ascii="Times New Roman" w:hAnsi="Times New Roman" w:cs="Times New Roman"/>
          <w:color w:val="00000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50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5" w:hRule="atLeast"/>
          <w:jc w:val="center"/>
        </w:trPr>
        <w:tc>
          <w:tcPr>
            <w:tcW w:w="557" w:type="dxa"/>
            <w:noWrap/>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tc>
        <w:tc>
          <w:tcPr>
            <w:tcW w:w="12591" w:type="dxa"/>
            <w:noWrap/>
            <w:vAlign w:val="top"/>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25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本项目工业企业噪声源强调查清单（室内声源）</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4"/>
              <w:gridCol w:w="410"/>
              <w:gridCol w:w="868"/>
              <w:gridCol w:w="659"/>
              <w:gridCol w:w="1154"/>
              <w:gridCol w:w="594"/>
              <w:gridCol w:w="455"/>
              <w:gridCol w:w="455"/>
              <w:gridCol w:w="455"/>
              <w:gridCol w:w="455"/>
              <w:gridCol w:w="455"/>
              <w:gridCol w:w="455"/>
              <w:gridCol w:w="455"/>
              <w:gridCol w:w="455"/>
              <w:gridCol w:w="455"/>
              <w:gridCol w:w="455"/>
              <w:gridCol w:w="460"/>
              <w:gridCol w:w="465"/>
              <w:gridCol w:w="488"/>
              <w:gridCol w:w="493"/>
              <w:gridCol w:w="493"/>
              <w:gridCol w:w="493"/>
              <w:gridCol w:w="500"/>
              <w:gridCol w:w="3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建筑物名称</w:t>
                  </w:r>
                </w:p>
              </w:tc>
              <w:tc>
                <w:tcPr>
                  <w:tcW w:w="34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声源</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26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设备数量（台/套）</w:t>
                  </w:r>
                </w:p>
              </w:tc>
              <w:tc>
                <w:tcPr>
                  <w:tcW w:w="4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color w:val="000000"/>
                      <w:sz w:val="21"/>
                      <w:szCs w:val="21"/>
                    </w:rPr>
                    <w:t>声</w:t>
                  </w:r>
                  <w:r>
                    <w:rPr>
                      <w:rFonts w:hint="default" w:ascii="Times New Roman" w:hAnsi="Times New Roman" w:eastAsia="宋体" w:cs="Times New Roman"/>
                      <w:b/>
                      <w:bCs/>
                      <w:color w:val="000000"/>
                      <w:sz w:val="21"/>
                      <w:szCs w:val="21"/>
                      <w:lang w:eastAsia="zh-CN"/>
                    </w:rPr>
                    <w:t>源</w:t>
                  </w:r>
                  <w:r>
                    <w:rPr>
                      <w:rFonts w:hint="default" w:ascii="Times New Roman" w:hAnsi="Times New Roman" w:eastAsia="宋体" w:cs="Times New Roman"/>
                      <w:b/>
                      <w:bCs/>
                      <w:color w:val="000000"/>
                      <w:sz w:val="21"/>
                      <w:szCs w:val="21"/>
                    </w:rPr>
                    <w:t>强</w:t>
                  </w:r>
                </w:p>
              </w:tc>
              <w:tc>
                <w:tcPr>
                  <w:tcW w:w="23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控制措施</w:t>
                  </w:r>
                </w:p>
              </w:tc>
              <w:tc>
                <w:tcPr>
                  <w:tcW w:w="549"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Style w:val="96"/>
                      <w:rFonts w:hint="default" w:ascii="Times New Roman" w:hAnsi="Times New Roman" w:eastAsia="宋体" w:cs="Times New Roman"/>
                      <w:color w:val="000000"/>
                      <w:sz w:val="21"/>
                      <w:szCs w:val="21"/>
                      <w:lang w:val="en-US" w:eastAsia="zh-CN" w:bidi="ar"/>
                    </w:rPr>
                    <w:t>空间相对位置</w:t>
                  </w:r>
                  <w:r>
                    <w:rPr>
                      <w:rStyle w:val="97"/>
                      <w:rFonts w:hint="default" w:ascii="Times New Roman" w:hAnsi="Times New Roman" w:eastAsia="宋体" w:cs="Times New Roman"/>
                      <w:color w:val="000000"/>
                      <w:sz w:val="21"/>
                      <w:szCs w:val="21"/>
                      <w:lang w:val="en-US" w:eastAsia="zh-CN" w:bidi="ar"/>
                    </w:rPr>
                    <w:t>/m</w:t>
                  </w:r>
                </w:p>
              </w:tc>
              <w:tc>
                <w:tcPr>
                  <w:tcW w:w="732"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Style w:val="96"/>
                      <w:rFonts w:hint="default" w:ascii="Times New Roman" w:hAnsi="Times New Roman" w:eastAsia="宋体" w:cs="Times New Roman"/>
                      <w:color w:val="000000"/>
                      <w:sz w:val="21"/>
                      <w:szCs w:val="21"/>
                      <w:lang w:val="en-US" w:eastAsia="zh-CN" w:bidi="ar"/>
                    </w:rPr>
                  </w:pPr>
                  <w:r>
                    <w:rPr>
                      <w:rStyle w:val="96"/>
                      <w:rFonts w:hint="default" w:ascii="Times New Roman" w:hAnsi="Times New Roman" w:eastAsia="宋体" w:cs="Times New Roman"/>
                      <w:color w:val="000000"/>
                      <w:sz w:val="21"/>
                      <w:szCs w:val="21"/>
                      <w:lang w:val="en-US" w:eastAsia="zh-CN" w:bidi="ar"/>
                    </w:rPr>
                    <w:t>距室内边界距离</w:t>
                  </w:r>
                  <w:r>
                    <w:rPr>
                      <w:rStyle w:val="97"/>
                      <w:rFonts w:hint="default" w:ascii="Times New Roman" w:hAnsi="Times New Roman" w:eastAsia="宋体" w:cs="Times New Roman"/>
                      <w:color w:val="000000"/>
                      <w:sz w:val="21"/>
                      <w:szCs w:val="21"/>
                      <w:lang w:val="en-US" w:eastAsia="zh-CN" w:bidi="ar"/>
                    </w:rPr>
                    <w:t>/m</w:t>
                  </w:r>
                </w:p>
              </w:tc>
              <w:tc>
                <w:tcPr>
                  <w:tcW w:w="734"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Style w:val="96"/>
                      <w:rFonts w:hint="default" w:ascii="Times New Roman" w:hAnsi="Times New Roman" w:eastAsia="宋体" w:cs="Times New Roman"/>
                      <w:color w:val="000000"/>
                      <w:sz w:val="21"/>
                      <w:szCs w:val="21"/>
                      <w:lang w:val="en-US" w:eastAsia="zh-CN" w:bidi="ar"/>
                    </w:rPr>
                  </w:pPr>
                  <w:r>
                    <w:rPr>
                      <w:rStyle w:val="96"/>
                      <w:rFonts w:hint="default" w:ascii="Times New Roman" w:hAnsi="Times New Roman" w:eastAsia="宋体" w:cs="Times New Roman"/>
                      <w:color w:val="000000"/>
                      <w:sz w:val="21"/>
                      <w:szCs w:val="21"/>
                      <w:lang w:val="en-US" w:eastAsia="zh-CN" w:bidi="ar"/>
                    </w:rPr>
                    <w:t>室内边界声级</w:t>
                  </w:r>
                  <w:r>
                    <w:rPr>
                      <w:rStyle w:val="97"/>
                      <w:rFonts w:hint="default" w:ascii="Times New Roman" w:hAnsi="Times New Roman" w:eastAsia="宋体" w:cs="Times New Roman"/>
                      <w:color w:val="000000"/>
                      <w:sz w:val="21"/>
                      <w:szCs w:val="21"/>
                      <w:lang w:val="en-US" w:eastAsia="zh-CN" w:bidi="ar"/>
                    </w:rPr>
                    <w:t>/dB(A)</w:t>
                  </w:r>
                </w:p>
              </w:tc>
              <w:tc>
                <w:tcPr>
                  <w:tcW w:w="18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持续时间h</w:t>
                  </w:r>
                  <w:r>
                    <w:rPr>
                      <w:rFonts w:hint="eastAsia" w:ascii="Times New Roman" w:hAnsi="Times New Roman" w:eastAsia="宋体" w:cs="Times New Roman"/>
                      <w:b/>
                      <w:bCs/>
                      <w:i w:val="0"/>
                      <w:iCs w:val="0"/>
                      <w:color w:val="000000"/>
                      <w:kern w:val="0"/>
                      <w:sz w:val="21"/>
                      <w:szCs w:val="21"/>
                      <w:u w:val="none"/>
                      <w:lang w:val="en-US" w:eastAsia="zh-CN" w:bidi="ar"/>
                    </w:rPr>
                    <w:t>/d</w:t>
                  </w:r>
                </w:p>
              </w:tc>
              <w:tc>
                <w:tcPr>
                  <w:tcW w:w="1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Style w:val="96"/>
                      <w:rFonts w:hint="default" w:ascii="Times New Roman" w:hAnsi="Times New Roman" w:eastAsia="宋体" w:cs="Times New Roman"/>
                      <w:color w:val="000000"/>
                      <w:sz w:val="21"/>
                      <w:szCs w:val="21"/>
                      <w:lang w:val="en-US" w:eastAsia="zh-CN" w:bidi="ar"/>
                    </w:rPr>
                    <w:t xml:space="preserve">筑物插入损失 </w:t>
                  </w:r>
                  <w:r>
                    <w:rPr>
                      <w:rStyle w:val="97"/>
                      <w:rFonts w:hint="default" w:ascii="Times New Roman" w:hAnsi="Times New Roman" w:eastAsia="宋体" w:cs="Times New Roman"/>
                      <w:color w:val="000000"/>
                      <w:sz w:val="21"/>
                      <w:szCs w:val="21"/>
                      <w:lang w:val="en-US" w:eastAsia="zh-CN" w:bidi="ar"/>
                    </w:rPr>
                    <w:t>/ dB(A</w:t>
                  </w:r>
                  <w:r>
                    <w:rPr>
                      <w:rStyle w:val="98"/>
                      <w:rFonts w:hint="default" w:ascii="Times New Roman" w:hAnsi="Times New Roman" w:eastAsia="宋体" w:cs="Times New Roman"/>
                      <w:color w:val="000000"/>
                      <w:sz w:val="21"/>
                      <w:szCs w:val="21"/>
                      <w:lang w:val="en-US" w:eastAsia="zh-CN" w:bidi="ar"/>
                    </w:rPr>
                    <w:t>)</w:t>
                  </w:r>
                </w:p>
              </w:tc>
              <w:tc>
                <w:tcPr>
                  <w:tcW w:w="937" w:type="pct"/>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34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2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46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功率级/dB(A)</w:t>
                  </w:r>
                </w:p>
              </w:tc>
              <w:tc>
                <w:tcPr>
                  <w:tcW w:w="23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X</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Y</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Z</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东</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南</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西</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北</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东</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南</w:t>
                  </w:r>
                </w:p>
              </w:tc>
              <w:tc>
                <w:tcPr>
                  <w:tcW w:w="18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西</w:t>
                  </w:r>
                </w:p>
              </w:tc>
              <w:tc>
                <w:tcPr>
                  <w:tcW w:w="18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北</w:t>
                  </w:r>
                </w:p>
              </w:tc>
              <w:tc>
                <w:tcPr>
                  <w:tcW w:w="18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9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796"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Style w:val="99"/>
                      <w:rFonts w:hint="default" w:ascii="Times New Roman" w:hAnsi="Times New Roman" w:eastAsia="宋体" w:cs="Times New Roman"/>
                      <w:b/>
                      <w:bCs/>
                      <w:color w:val="000000"/>
                      <w:sz w:val="21"/>
                      <w:szCs w:val="21"/>
                      <w:lang w:val="en-US" w:eastAsia="zh-CN" w:bidi="ar"/>
                    </w:rPr>
                  </w:pPr>
                  <w:r>
                    <w:rPr>
                      <w:rStyle w:val="99"/>
                      <w:rFonts w:hint="default" w:ascii="Times New Roman" w:hAnsi="Times New Roman" w:eastAsia="宋体" w:cs="Times New Roman"/>
                      <w:b/>
                      <w:bCs/>
                      <w:color w:val="000000"/>
                      <w:sz w:val="21"/>
                      <w:szCs w:val="21"/>
                      <w:lang w:val="en-US" w:eastAsia="zh-CN" w:bidi="ar"/>
                    </w:rPr>
                    <w:t>声压级</w:t>
                  </w:r>
                  <w:r>
                    <w:rPr>
                      <w:rStyle w:val="98"/>
                      <w:rFonts w:hint="default" w:ascii="Times New Roman" w:hAnsi="Times New Roman" w:eastAsia="宋体" w:cs="Times New Roman"/>
                      <w:b/>
                      <w:bCs/>
                      <w:color w:val="000000"/>
                      <w:sz w:val="21"/>
                      <w:szCs w:val="21"/>
                      <w:lang w:val="en-US" w:eastAsia="zh-CN" w:bidi="ar"/>
                    </w:rPr>
                    <w:t>/dB(A)</w:t>
                  </w:r>
                </w:p>
              </w:tc>
              <w:tc>
                <w:tcPr>
                  <w:tcW w:w="14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Style w:val="99"/>
                      <w:rFonts w:hint="default" w:ascii="Times New Roman" w:hAnsi="Times New Roman" w:eastAsia="宋体" w:cs="Times New Roman"/>
                      <w:b/>
                      <w:bCs/>
                      <w:color w:val="000000"/>
                      <w:sz w:val="21"/>
                      <w:szCs w:val="21"/>
                      <w:lang w:val="en-US" w:eastAsia="zh-CN" w:bidi="ar"/>
                    </w:rPr>
                    <w:t>建筑物外距离</w:t>
                  </w:r>
                  <w:r>
                    <w:rPr>
                      <w:rStyle w:val="98"/>
                      <w:rFonts w:hint="default" w:ascii="Times New Roman" w:hAnsi="Times New Roman" w:eastAsia="宋体" w:cs="Times New Roman"/>
                      <w:b/>
                      <w:bCs/>
                      <w:color w:val="000000"/>
                      <w:sz w:val="21"/>
                      <w:szCs w:val="21"/>
                      <w:lang w:val="en-US" w:eastAsia="zh-CN" w:bidi="ar"/>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34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2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46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23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8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9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b/>
                      <w:bCs/>
                      <w:i w:val="0"/>
                      <w:iCs w:val="0"/>
                      <w:color w:val="000000"/>
                      <w:sz w:val="21"/>
                      <w:szCs w:val="21"/>
                      <w:u w:val="none"/>
                    </w:rPr>
                  </w:pPr>
                </w:p>
              </w:tc>
              <w:tc>
                <w:tcPr>
                  <w:tcW w:w="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东</w:t>
                  </w:r>
                </w:p>
              </w:tc>
              <w:tc>
                <w:tcPr>
                  <w:tcW w:w="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南</w:t>
                  </w:r>
                </w:p>
              </w:tc>
              <w:tc>
                <w:tcPr>
                  <w:tcW w:w="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西</w:t>
                  </w:r>
                </w:p>
              </w:tc>
              <w:tc>
                <w:tcPr>
                  <w:tcW w:w="2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北</w:t>
                  </w:r>
                </w:p>
              </w:tc>
              <w:tc>
                <w:tcPr>
                  <w:tcW w:w="140"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w:t>
                  </w:r>
                </w:p>
              </w:tc>
              <w:tc>
                <w:tcPr>
                  <w:tcW w:w="1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车间三</w:t>
                  </w: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color w:val="auto"/>
                      <w:kern w:val="2"/>
                      <w:sz w:val="21"/>
                      <w:szCs w:val="21"/>
                      <w:highlight w:val="none"/>
                      <w:u w:val="none"/>
                      <w:lang w:val="en-US" w:eastAsia="zh-CN" w:bidi="ar-SA"/>
                    </w:rPr>
                    <w:t>烘干机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i w:val="0"/>
                      <w:iCs w:val="0"/>
                      <w:color w:val="000000"/>
                      <w:sz w:val="21"/>
                      <w:szCs w:val="21"/>
                      <w:u w:val="none"/>
                      <w:lang w:val="en-US" w:eastAsia="zh-CN"/>
                    </w:rPr>
                  </w:pPr>
                  <w:r>
                    <w:rPr>
                      <w:rFonts w:hint="eastAsia" w:cs="Times New Roman"/>
                      <w:bCs/>
                      <w:color w:val="auto"/>
                      <w:kern w:val="2"/>
                      <w:sz w:val="21"/>
                      <w:szCs w:val="21"/>
                      <w:lang w:val="en-US" w:eastAsia="zh-CN" w:bidi="ar-SA"/>
                    </w:rPr>
                    <w:t>75</w:t>
                  </w:r>
                </w:p>
              </w:tc>
              <w:tc>
                <w:tcPr>
                  <w:tcW w:w="23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color w:val="000000"/>
                      <w:sz w:val="21"/>
                      <w:szCs w:val="21"/>
                      <w:lang w:val="en-US" w:eastAsia="zh-CN"/>
                    </w:rPr>
                    <w:t>减振基座、厂房隔声、距离衰减</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51.5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54.2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41.4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26.5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29.2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2</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color w:val="auto"/>
                      <w:kern w:val="2"/>
                      <w:sz w:val="21"/>
                      <w:szCs w:val="21"/>
                      <w:highlight w:val="none"/>
                      <w:u w:val="none"/>
                      <w:lang w:val="en-US" w:eastAsia="zh-CN" w:bidi="ar-SA"/>
                    </w:rPr>
                    <w:t>吸料机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napToGrid/>
                      <w:color w:val="auto"/>
                      <w:kern w:val="2"/>
                      <w:sz w:val="21"/>
                      <w:szCs w:val="21"/>
                      <w:lang w:val="en-US" w:eastAsia="zh-CN" w:bidi="ar-SA"/>
                    </w:rPr>
                    <w:t>6</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color w:val="000000"/>
                      <w:sz w:val="21"/>
                      <w:szCs w:val="21"/>
                      <w:lang w:val="en-US" w:eastAsia="zh-CN"/>
                    </w:rPr>
                    <w:t>75</w:t>
                  </w:r>
                  <w:r>
                    <w:rPr>
                      <w:rFonts w:hint="eastAsia" w:ascii="Times New Roman" w:hAnsi="Times New Roman" w:eastAsia="宋体" w:cs="Times New Roman"/>
                      <w:bCs/>
                      <w:color w:val="auto"/>
                      <w:kern w:val="2"/>
                      <w:sz w:val="21"/>
                      <w:szCs w:val="21"/>
                      <w:lang w:val="en-US" w:eastAsia="zh-CN" w:bidi="ar-SA"/>
                    </w:rPr>
                    <w:t>（等效后</w:t>
                  </w:r>
                  <w:r>
                    <w:rPr>
                      <w:rFonts w:hint="eastAsia" w:cs="Times New Roman"/>
                      <w:bCs/>
                      <w:color w:val="auto"/>
                      <w:kern w:val="2"/>
                      <w:sz w:val="21"/>
                      <w:szCs w:val="21"/>
                      <w:lang w:val="en-US" w:eastAsia="zh-CN" w:bidi="ar-SA"/>
                    </w:rPr>
                    <w:t>82.8</w:t>
                  </w:r>
                  <w:r>
                    <w:rPr>
                      <w:rFonts w:hint="eastAsia" w:ascii="Times New Roman" w:hAnsi="Times New Roman" w:eastAsia="宋体" w:cs="Times New Roman"/>
                      <w:bCs/>
                      <w:color w:val="auto"/>
                      <w:kern w:val="2"/>
                      <w:sz w:val="21"/>
                      <w:szCs w:val="21"/>
                      <w:lang w:val="en-US" w:eastAsia="zh-CN" w:bidi="ar-SA"/>
                    </w:rPr>
                    <w:t>）</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56.8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62.0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65.9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49.5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31.8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37.0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40.9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24.5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3</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color w:val="auto"/>
                      <w:kern w:val="2"/>
                      <w:sz w:val="21"/>
                      <w:szCs w:val="21"/>
                      <w:highlight w:val="none"/>
                      <w:u w:val="none"/>
                      <w:lang w:val="en-US" w:eastAsia="zh-CN" w:bidi="ar-SA"/>
                    </w:rPr>
                    <w:t>挤出机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napToGrid/>
                      <w:color w:val="auto"/>
                      <w:kern w:val="2"/>
                      <w:sz w:val="21"/>
                      <w:szCs w:val="21"/>
                      <w:lang w:val="en-US" w:eastAsia="zh-CN" w:bidi="ar-SA"/>
                    </w:rPr>
                    <w:t>3</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i w:val="0"/>
                      <w:iCs w:val="0"/>
                      <w:color w:val="000000"/>
                      <w:sz w:val="21"/>
                      <w:szCs w:val="21"/>
                      <w:u w:val="none"/>
                      <w:lang w:val="en-US" w:eastAsia="zh-CN"/>
                    </w:rPr>
                  </w:pPr>
                  <w:r>
                    <w:rPr>
                      <w:rFonts w:hint="eastAsia" w:cs="Times New Roman"/>
                      <w:color w:val="000000"/>
                      <w:sz w:val="21"/>
                      <w:szCs w:val="21"/>
                      <w:lang w:val="en-US" w:eastAsia="zh-CN"/>
                    </w:rPr>
                    <w:t>75</w:t>
                  </w:r>
                  <w:r>
                    <w:rPr>
                      <w:rFonts w:hint="eastAsia" w:ascii="Times New Roman" w:hAnsi="Times New Roman" w:eastAsia="宋体" w:cs="Times New Roman"/>
                      <w:bCs/>
                      <w:color w:val="auto"/>
                      <w:kern w:val="2"/>
                      <w:sz w:val="21"/>
                      <w:szCs w:val="21"/>
                      <w:lang w:val="en-US" w:eastAsia="zh-CN" w:bidi="ar-SA"/>
                    </w:rPr>
                    <w:t>（等效后</w:t>
                  </w:r>
                  <w:r>
                    <w:rPr>
                      <w:rFonts w:hint="eastAsia" w:cs="Times New Roman"/>
                      <w:bCs/>
                      <w:color w:val="auto"/>
                      <w:kern w:val="2"/>
                      <w:sz w:val="21"/>
                      <w:szCs w:val="21"/>
                      <w:lang w:val="en-US" w:eastAsia="zh-CN" w:bidi="ar-SA"/>
                    </w:rPr>
                    <w:t>79.8</w:t>
                  </w:r>
                  <w:r>
                    <w:rPr>
                      <w:rFonts w:hint="eastAsia" w:ascii="Times New Roman" w:hAnsi="Times New Roman" w:eastAsia="宋体" w:cs="Times New Roman"/>
                      <w:bCs/>
                      <w:color w:val="auto"/>
                      <w:kern w:val="2"/>
                      <w:sz w:val="21"/>
                      <w:szCs w:val="21"/>
                      <w:lang w:val="en-US" w:eastAsia="zh-CN" w:bidi="ar-SA"/>
                    </w:rPr>
                    <w:t>）</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56.8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51.8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58.9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31.8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26.8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33.9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4</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覆膜机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4</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70（等效后76.0）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52.5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43.8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54.4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51.4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27.5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18.8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29.4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5</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空压机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90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63.6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71.9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84.0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56.2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38.6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46.9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59.0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31.2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6</w:t>
                  </w:r>
                </w:p>
              </w:tc>
              <w:tc>
                <w:tcPr>
                  <w:tcW w:w="1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车间四</w:t>
                  </w: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烘干机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75</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63.0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49.4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41.0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38.0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24.4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16.0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7</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吸料机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2</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75（等效后78.0）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58.9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61.1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55.1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44.0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33.9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36.1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30.1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19.0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8</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挤出机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75</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55.0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48.6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52.1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43.4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30.0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23.6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27.1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9</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覆膜机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70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51.9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37.5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47.1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45.4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26.9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12.5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22.1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20.4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10</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破碎机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95</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69.9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71.5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81.0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62.5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46.5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56.0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37.5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11</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造粒机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80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53.2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64.4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52.0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28.2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39.4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27.0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12</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风机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2</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90（等效后93.0）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5" w:type="dxa"/>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67.4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60.1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79.0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70.1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42.4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35.1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54.0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45.1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13</w:t>
                  </w:r>
                </w:p>
              </w:tc>
              <w:tc>
                <w:tcPr>
                  <w:tcW w:w="1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车间一</w:t>
                  </w: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color w:val="auto"/>
                      <w:kern w:val="2"/>
                      <w:sz w:val="21"/>
                      <w:szCs w:val="21"/>
                      <w:highlight w:val="none"/>
                      <w:u w:val="none"/>
                      <w:lang w:val="en-US" w:eastAsia="zh-CN" w:bidi="ar-SA"/>
                    </w:rPr>
                    <w:t>折弯机</w:t>
                  </w:r>
                </w:p>
              </w:tc>
              <w:tc>
                <w:tcPr>
                  <w:tcW w:w="265" w:type="pct"/>
                  <w:tcBorders>
                    <w:tl2br w:val="nil"/>
                    <w:tr2bl w:val="nil"/>
                  </w:tcBorders>
                  <w:noWrap w:val="0"/>
                  <w:vAlign w:val="center"/>
                </w:tcPr>
                <w:p>
                  <w:pPr>
                    <w:pStyle w:val="7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i w:val="0"/>
                      <w:iCs w:val="0"/>
                      <w:color w:val="000000"/>
                      <w:sz w:val="21"/>
                      <w:szCs w:val="21"/>
                      <w:u w:val="none"/>
                      <w:lang w:val="en-US" w:eastAsia="zh-CN"/>
                    </w:rPr>
                  </w:pPr>
                  <w:r>
                    <w:rPr>
                      <w:rFonts w:hint="eastAsia" w:cs="Times New Roman"/>
                      <w:bCs/>
                      <w:color w:val="auto"/>
                      <w:sz w:val="21"/>
                      <w:szCs w:val="21"/>
                      <w:lang w:val="en-US" w:eastAsia="zh-CN"/>
                    </w:rPr>
                    <w:t>70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45.9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44.9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54.4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41.1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20.9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19.9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29.4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16.1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14</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i w:val="0"/>
                      <w:color w:val="auto"/>
                      <w:kern w:val="2"/>
                      <w:sz w:val="21"/>
                      <w:szCs w:val="21"/>
                      <w:highlight w:val="none"/>
                      <w:u w:val="none"/>
                      <w:lang w:val="en-US" w:eastAsia="zh-CN" w:bidi="ar-SA"/>
                    </w:rPr>
                    <w:t>裁切机</w:t>
                  </w:r>
                </w:p>
              </w:tc>
              <w:tc>
                <w:tcPr>
                  <w:tcW w:w="265"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color w:val="000000"/>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w:t>
                  </w:r>
                  <w:r>
                    <w:rPr>
                      <w:rFonts w:hint="eastAsia" w:cs="Times New Roman"/>
                      <w:bCs/>
                      <w:color w:val="auto"/>
                      <w:sz w:val="21"/>
                      <w:szCs w:val="21"/>
                      <w:lang w:val="en-US" w:eastAsia="zh-CN"/>
                    </w:rPr>
                    <w:t>0</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55.9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50.8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63.1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55.4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30.9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25.8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38.1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30.4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15</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i w:val="0"/>
                      <w:color w:val="auto"/>
                      <w:kern w:val="2"/>
                      <w:sz w:val="21"/>
                      <w:szCs w:val="21"/>
                      <w:highlight w:val="none"/>
                      <w:u w:val="none"/>
                      <w:lang w:val="en-US" w:eastAsia="zh-CN" w:bidi="ar-SA"/>
                    </w:rPr>
                    <w:t>雕刻机</w:t>
                  </w:r>
                </w:p>
              </w:tc>
              <w:tc>
                <w:tcPr>
                  <w:tcW w:w="265"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color w:val="000000"/>
                      <w:kern w:val="2"/>
                      <w:sz w:val="21"/>
                      <w:szCs w:val="21"/>
                      <w:lang w:val="en-US" w:eastAsia="zh-CN" w:bidi="ar-SA"/>
                    </w:rPr>
                  </w:pPr>
                  <w:r>
                    <w:rPr>
                      <w:rFonts w:hint="eastAsia" w:ascii="Times New Roman" w:hAnsi="Times New Roman" w:cs="Times New Roman"/>
                      <w:snapToGrid/>
                      <w:color w:val="auto"/>
                      <w:kern w:val="2"/>
                      <w:sz w:val="21"/>
                      <w:szCs w:val="21"/>
                      <w:lang w:val="en-US" w:eastAsia="zh-CN" w:bidi="ar-SA"/>
                    </w:rPr>
                    <w:t>2</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r>
                    <w:rPr>
                      <w:rFonts w:hint="eastAsia" w:ascii="Times New Roman" w:hAnsi="Times New Roman" w:eastAsia="宋体" w:cs="Times New Roman"/>
                      <w:bCs/>
                      <w:color w:val="auto"/>
                      <w:kern w:val="2"/>
                      <w:sz w:val="21"/>
                      <w:szCs w:val="21"/>
                      <w:lang w:val="en-US" w:eastAsia="zh-CN" w:bidi="ar-SA"/>
                    </w:rPr>
                    <w:t>（等效后</w:t>
                  </w:r>
                  <w:r>
                    <w:rPr>
                      <w:rFonts w:hint="eastAsia" w:cs="Times New Roman"/>
                      <w:bCs/>
                      <w:color w:val="auto"/>
                      <w:kern w:val="2"/>
                      <w:sz w:val="21"/>
                      <w:szCs w:val="21"/>
                      <w:lang w:val="en-US" w:eastAsia="zh-CN" w:bidi="ar-SA"/>
                    </w:rPr>
                    <w:t>78.0</w:t>
                  </w:r>
                  <w:r>
                    <w:rPr>
                      <w:rFonts w:hint="eastAsia" w:ascii="Times New Roman" w:hAnsi="Times New Roman" w:eastAsia="宋体" w:cs="Times New Roman"/>
                      <w:bCs/>
                      <w:color w:val="auto"/>
                      <w:kern w:val="2"/>
                      <w:sz w:val="21"/>
                      <w:szCs w:val="21"/>
                      <w:lang w:val="en-US" w:eastAsia="zh-CN" w:bidi="ar-SA"/>
                    </w:rPr>
                    <w:t>）</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54.5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46.0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59.9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62.4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29.5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21.0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34.9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37.4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16</w:t>
                  </w:r>
                </w:p>
              </w:tc>
              <w:tc>
                <w:tcPr>
                  <w:tcW w:w="1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jc w:val="center"/>
                    <w:rPr>
                      <w:rFonts w:hint="default" w:ascii="Times New Roman" w:hAnsi="Times New Roman" w:eastAsia="宋体" w:cs="Times New Roman"/>
                      <w:i w:val="0"/>
                      <w:iCs w:val="0"/>
                      <w:color w:val="000000"/>
                      <w:sz w:val="21"/>
                      <w:szCs w:val="21"/>
                      <w:u w:val="none"/>
                      <w:lang w:val="en-US" w:eastAsia="zh-CN"/>
                    </w:rPr>
                  </w:pPr>
                </w:p>
              </w:tc>
              <w:tc>
                <w:tcPr>
                  <w:tcW w:w="34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淋涂生产线</w:t>
                  </w:r>
                </w:p>
              </w:tc>
              <w:tc>
                <w:tcPr>
                  <w:tcW w:w="265" w:type="pct"/>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color w:val="000000"/>
                      <w:kern w:val="2"/>
                      <w:sz w:val="21"/>
                      <w:szCs w:val="21"/>
                      <w:lang w:val="en-US" w:eastAsia="zh-CN" w:bidi="ar-SA"/>
                    </w:rPr>
                  </w:pPr>
                  <w:r>
                    <w:rPr>
                      <w:rFonts w:hint="eastAsia" w:ascii="Times New Roman" w:hAnsi="Times New Roman" w:cs="Times New Roman"/>
                      <w:snapToGrid/>
                      <w:color w:val="000000"/>
                      <w:kern w:val="2"/>
                      <w:sz w:val="21"/>
                      <w:szCs w:val="21"/>
                      <w:lang w:val="en-US" w:eastAsia="zh-CN" w:bidi="ar-SA"/>
                    </w:rPr>
                    <w:t>1</w:t>
                  </w:r>
                </w:p>
              </w:tc>
              <w:tc>
                <w:tcPr>
                  <w:tcW w:w="46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75</w:t>
                  </w:r>
                </w:p>
              </w:tc>
              <w:tc>
                <w:tcPr>
                  <w:tcW w:w="2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63.0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54.2 </w:t>
                  </w:r>
                </w:p>
              </w:tc>
              <w:tc>
                <w:tcPr>
                  <w:tcW w:w="455"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49.4 </w:t>
                  </w:r>
                </w:p>
              </w:tc>
              <w:tc>
                <w:tcPr>
                  <w:tcW w:w="46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43.9 </w:t>
                  </w:r>
                </w:p>
              </w:tc>
              <w:tc>
                <w:tcPr>
                  <w:tcW w:w="1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w:t>
                  </w:r>
                </w:p>
              </w:tc>
              <w:tc>
                <w:tcPr>
                  <w:tcW w:w="1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38.0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29.2 </w:t>
                  </w:r>
                </w:p>
              </w:tc>
              <w:tc>
                <w:tcPr>
                  <w:tcW w:w="4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24.4 </w:t>
                  </w:r>
                </w:p>
              </w:tc>
              <w:tc>
                <w:tcPr>
                  <w:tcW w:w="50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18.9 </w:t>
                  </w:r>
                </w:p>
              </w:tc>
              <w:tc>
                <w:tcPr>
                  <w:tcW w:w="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bl>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注：1、以厂区西南角为原点</w:t>
            </w:r>
            <w:r>
              <w:rPr>
                <w:rFonts w:hint="default" w:ascii="Times New Roman" w:hAnsi="Times New Roman" w:cs="Times New Roman"/>
                <w:color w:val="000000"/>
                <w:kern w:val="2"/>
                <w:sz w:val="21"/>
                <w:szCs w:val="21"/>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26</w:t>
            </w:r>
            <w:r>
              <w:rPr>
                <w:rFonts w:hint="default" w:ascii="Times New Roman" w:hAnsi="Times New Roman" w:eastAsia="宋体" w:cs="Times New Roman"/>
                <w:b/>
                <w:bCs/>
                <w:color w:val="auto"/>
                <w:sz w:val="24"/>
                <w:szCs w:val="24"/>
                <w:lang w:val="en-US" w:eastAsia="zh-CN"/>
              </w:rPr>
              <w:t xml:space="preserve"> 本项目工业企业噪声源强调查清单（室外声源）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610"/>
              <w:gridCol w:w="1174"/>
              <w:gridCol w:w="1107"/>
              <w:gridCol w:w="962"/>
              <w:gridCol w:w="1134"/>
              <w:gridCol w:w="1722"/>
              <w:gridCol w:w="1505"/>
              <w:gridCol w:w="1303"/>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序号</w:t>
                  </w:r>
                </w:p>
              </w:tc>
              <w:tc>
                <w:tcPr>
                  <w:tcW w:w="646"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声源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名称</w:t>
                  </w:r>
                </w:p>
              </w:tc>
              <w:tc>
                <w:tcPr>
                  <w:tcW w:w="471"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设备数量</w:t>
                  </w:r>
                </w:p>
              </w:tc>
              <w:tc>
                <w:tcPr>
                  <w:tcW w:w="1286" w:type="pct"/>
                  <w:gridSpan w:val="3"/>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sz w:val="21"/>
                      <w:szCs w:val="21"/>
                    </w:rPr>
                    <w:t>空间相对位置/m</w:t>
                  </w:r>
                </w:p>
              </w:tc>
              <w:tc>
                <w:tcPr>
                  <w:tcW w:w="6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声</w:t>
                  </w:r>
                  <w:r>
                    <w:rPr>
                      <w:rFonts w:hint="eastAsia" w:ascii="Times New Roman" w:hAnsi="Times New Roman" w:cs="Times New Roman"/>
                      <w:b/>
                      <w:bCs/>
                      <w:color w:val="000000"/>
                      <w:sz w:val="21"/>
                      <w:szCs w:val="21"/>
                      <w:lang w:eastAsia="zh-CN"/>
                    </w:rPr>
                    <w:t>源</w:t>
                  </w:r>
                  <w:r>
                    <w:rPr>
                      <w:rFonts w:hint="eastAsia" w:ascii="Times New Roman" w:hAnsi="Times New Roman" w:cs="Times New Roman"/>
                      <w:b/>
                      <w:bCs/>
                      <w:color w:val="000000"/>
                      <w:sz w:val="21"/>
                      <w:szCs w:val="21"/>
                    </w:rPr>
                    <w:t>强</w:t>
                  </w:r>
                </w:p>
              </w:tc>
              <w:tc>
                <w:tcPr>
                  <w:tcW w:w="604"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eastAsia" w:ascii="Times New Roman" w:hAnsi="Times New Roman" w:cs="Times New Roman"/>
                      <w:b/>
                      <w:bCs/>
                      <w:color w:val="000000"/>
                      <w:sz w:val="21"/>
                      <w:szCs w:val="21"/>
                    </w:rPr>
                    <w:t>声源控制措施</w:t>
                  </w:r>
                </w:p>
              </w:tc>
              <w:tc>
                <w:tcPr>
                  <w:tcW w:w="523"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衰减值</w:t>
                  </w:r>
                  <w:r>
                    <w:rPr>
                      <w:rFonts w:hint="default" w:ascii="Times New Roman" w:hAnsi="Times New Roman" w:eastAsia="宋体" w:cs="Times New Roman"/>
                      <w:b/>
                      <w:bCs/>
                      <w:color w:val="000000"/>
                      <w:sz w:val="21"/>
                      <w:szCs w:val="21"/>
                      <w:lang w:val="en-US" w:eastAsia="zh-CN"/>
                    </w:rPr>
                    <w:t>dB(A)</w:t>
                  </w:r>
                </w:p>
              </w:tc>
              <w:tc>
                <w:tcPr>
                  <w:tcW w:w="511"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p>
              </w:tc>
              <w:tc>
                <w:tcPr>
                  <w:tcW w:w="64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p>
              </w:tc>
              <w:tc>
                <w:tcPr>
                  <w:tcW w:w="47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p>
              </w:tc>
              <w:tc>
                <w:tcPr>
                  <w:tcW w:w="44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sz w:val="21"/>
                      <w:szCs w:val="21"/>
                    </w:rPr>
                    <w:t>X</w:t>
                  </w:r>
                </w:p>
              </w:tc>
              <w:tc>
                <w:tcPr>
                  <w:tcW w:w="38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sz w:val="21"/>
                      <w:szCs w:val="21"/>
                    </w:rPr>
                    <w:t>Y</w:t>
                  </w:r>
                </w:p>
              </w:tc>
              <w:tc>
                <w:tcPr>
                  <w:tcW w:w="45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b/>
                      <w:bCs/>
                      <w:color w:val="000000"/>
                      <w:sz w:val="21"/>
                      <w:szCs w:val="21"/>
                    </w:rPr>
                    <w:t>Z</w:t>
                  </w:r>
                </w:p>
              </w:tc>
              <w:tc>
                <w:tcPr>
                  <w:tcW w:w="6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sz w:val="21"/>
                      <w:szCs w:val="21"/>
                    </w:rPr>
                  </w:pPr>
                  <w:r>
                    <w:rPr>
                      <w:rFonts w:hint="eastAsia" w:ascii="Times New Roman" w:hAnsi="Times New Roman" w:cs="Times New Roman"/>
                      <w:b/>
                      <w:bCs/>
                      <w:color w:val="000000"/>
                      <w:sz w:val="21"/>
                      <w:szCs w:val="21"/>
                    </w:rPr>
                    <w:t>单台声功率级/dB（A）</w:t>
                  </w:r>
                </w:p>
              </w:tc>
              <w:tc>
                <w:tcPr>
                  <w:tcW w:w="60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p>
              </w:tc>
              <w:tc>
                <w:tcPr>
                  <w:tcW w:w="52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p>
              </w:tc>
              <w:tc>
                <w:tcPr>
                  <w:tcW w:w="51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646"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iCs w:val="0"/>
                      <w:snapToGrid/>
                      <w:color w:val="000000"/>
                      <w:spacing w:val="0"/>
                      <w:kern w:val="2"/>
                      <w:sz w:val="21"/>
                      <w:szCs w:val="21"/>
                      <w:highlight w:val="none"/>
                      <w:lang w:val="en-US" w:eastAsia="zh-CN" w:bidi="ar-SA"/>
                    </w:rPr>
                  </w:pPr>
                  <w:r>
                    <w:rPr>
                      <w:rFonts w:hint="eastAsia" w:ascii="Times New Roman" w:hAnsi="Times New Roman" w:eastAsia="宋体" w:cs="Times New Roman"/>
                      <w:b w:val="0"/>
                      <w:bCs w:val="0"/>
                      <w:iCs w:val="0"/>
                      <w:snapToGrid/>
                      <w:color w:val="000000"/>
                      <w:spacing w:val="0"/>
                      <w:kern w:val="2"/>
                      <w:sz w:val="21"/>
                      <w:szCs w:val="21"/>
                      <w:highlight w:val="none"/>
                      <w:lang w:val="en-US" w:eastAsia="zh-CN" w:bidi="ar-SA"/>
                    </w:rPr>
                    <w:t>风机</w:t>
                  </w:r>
                </w:p>
              </w:tc>
              <w:tc>
                <w:tcPr>
                  <w:tcW w:w="471"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iCs w:val="0"/>
                      <w:snapToGrid/>
                      <w:color w:val="000000"/>
                      <w:spacing w:val="0"/>
                      <w:kern w:val="2"/>
                      <w:sz w:val="21"/>
                      <w:szCs w:val="21"/>
                      <w:highlight w:val="none"/>
                      <w:lang w:val="en-US" w:eastAsia="zh-CN" w:bidi="ar-SA"/>
                    </w:rPr>
                  </w:pPr>
                  <w:r>
                    <w:rPr>
                      <w:rFonts w:hint="eastAsia" w:ascii="Times New Roman" w:hAnsi="Times New Roman" w:eastAsia="宋体" w:cs="Times New Roman"/>
                      <w:b w:val="0"/>
                      <w:bCs w:val="0"/>
                      <w:iCs w:val="0"/>
                      <w:snapToGrid/>
                      <w:color w:val="000000"/>
                      <w:spacing w:val="0"/>
                      <w:kern w:val="2"/>
                      <w:sz w:val="21"/>
                      <w:szCs w:val="21"/>
                      <w:highlight w:val="none"/>
                      <w:lang w:val="en-US" w:eastAsia="zh-CN" w:bidi="ar-SA"/>
                    </w:rPr>
                    <w:t>1</w:t>
                  </w:r>
                </w:p>
              </w:tc>
              <w:tc>
                <w:tcPr>
                  <w:tcW w:w="44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38</w:t>
                  </w:r>
                </w:p>
              </w:tc>
              <w:tc>
                <w:tcPr>
                  <w:tcW w:w="38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5</w:t>
                  </w:r>
                </w:p>
              </w:tc>
              <w:tc>
                <w:tcPr>
                  <w:tcW w:w="45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 w:val="21"/>
                      <w:szCs w:val="21"/>
                    </w:rPr>
                    <w:t>1</w:t>
                  </w:r>
                </w:p>
              </w:tc>
              <w:tc>
                <w:tcPr>
                  <w:tcW w:w="691"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iCs w:val="0"/>
                      <w:snapToGrid/>
                      <w:color w:val="000000"/>
                      <w:spacing w:val="0"/>
                      <w:kern w:val="2"/>
                      <w:sz w:val="21"/>
                      <w:szCs w:val="21"/>
                      <w:highlight w:val="none"/>
                      <w:lang w:val="en-US" w:eastAsia="zh-CN" w:bidi="ar-SA"/>
                    </w:rPr>
                  </w:pPr>
                  <w:r>
                    <w:rPr>
                      <w:rFonts w:hint="eastAsia" w:ascii="Times New Roman" w:hAnsi="Times New Roman" w:cs="Times New Roman"/>
                      <w:color w:val="000000"/>
                      <w:sz w:val="21"/>
                      <w:szCs w:val="21"/>
                      <w:lang w:val="en-US" w:eastAsia="zh-CN"/>
                    </w:rPr>
                    <w:t>85~90</w:t>
                  </w:r>
                </w:p>
              </w:tc>
              <w:tc>
                <w:tcPr>
                  <w:tcW w:w="604"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基础减振、距离衰减、管道软接等降噪措施</w:t>
                  </w:r>
                </w:p>
              </w:tc>
              <w:tc>
                <w:tcPr>
                  <w:tcW w:w="52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51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24</w:t>
                  </w:r>
                  <w:r>
                    <w:rPr>
                      <w:rFonts w:hint="eastAsia" w:ascii="Times New Roman" w:hAnsi="Times New Roman" w:eastAsia="宋体" w:cs="Times New Roman"/>
                      <w:color w:val="000000"/>
                      <w:sz w:val="21"/>
                      <w:szCs w:val="21"/>
                      <w:lang w:val="en-US" w:eastAsia="zh-CN"/>
                    </w:rPr>
                    <w:t>h/d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w:t>
                  </w:r>
                </w:p>
              </w:tc>
              <w:tc>
                <w:tcPr>
                  <w:tcW w:w="646"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iCs w:val="0"/>
                      <w:snapToGrid/>
                      <w:color w:val="000000"/>
                      <w:spacing w:val="0"/>
                      <w:kern w:val="2"/>
                      <w:sz w:val="21"/>
                      <w:szCs w:val="21"/>
                      <w:highlight w:val="none"/>
                      <w:lang w:val="en-US" w:eastAsia="zh-CN" w:bidi="ar-SA"/>
                    </w:rPr>
                  </w:pPr>
                  <w:r>
                    <w:rPr>
                      <w:rFonts w:hint="eastAsia" w:ascii="Times New Roman" w:hAnsi="Times New Roman" w:cs="Times New Roman"/>
                      <w:b w:val="0"/>
                      <w:bCs w:val="0"/>
                      <w:iCs w:val="0"/>
                      <w:snapToGrid/>
                      <w:color w:val="000000"/>
                      <w:spacing w:val="0"/>
                      <w:kern w:val="2"/>
                      <w:sz w:val="21"/>
                      <w:szCs w:val="21"/>
                      <w:highlight w:val="none"/>
                      <w:lang w:val="en-US" w:eastAsia="zh-CN" w:bidi="ar-SA"/>
                    </w:rPr>
                    <w:t>冷却塔</w:t>
                  </w:r>
                </w:p>
              </w:tc>
              <w:tc>
                <w:tcPr>
                  <w:tcW w:w="471"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iCs w:val="0"/>
                      <w:snapToGrid/>
                      <w:color w:val="000000"/>
                      <w:spacing w:val="0"/>
                      <w:kern w:val="2"/>
                      <w:sz w:val="21"/>
                      <w:szCs w:val="21"/>
                      <w:highlight w:val="none"/>
                      <w:lang w:val="en-US" w:eastAsia="zh-CN" w:bidi="ar-SA"/>
                    </w:rPr>
                  </w:pPr>
                  <w:r>
                    <w:rPr>
                      <w:rFonts w:hint="eastAsia" w:ascii="Times New Roman" w:hAnsi="Times New Roman" w:cs="Times New Roman"/>
                      <w:b w:val="0"/>
                      <w:bCs w:val="0"/>
                      <w:iCs w:val="0"/>
                      <w:snapToGrid/>
                      <w:color w:val="000000"/>
                      <w:spacing w:val="0"/>
                      <w:kern w:val="2"/>
                      <w:sz w:val="21"/>
                      <w:szCs w:val="21"/>
                      <w:highlight w:val="none"/>
                      <w:lang w:val="en-US" w:eastAsia="zh-CN" w:bidi="ar-SA"/>
                    </w:rPr>
                    <w:t>1</w:t>
                  </w:r>
                </w:p>
              </w:tc>
              <w:tc>
                <w:tcPr>
                  <w:tcW w:w="44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69</w:t>
                  </w:r>
                </w:p>
              </w:tc>
              <w:tc>
                <w:tcPr>
                  <w:tcW w:w="38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22</w:t>
                  </w:r>
                </w:p>
              </w:tc>
              <w:tc>
                <w:tcPr>
                  <w:tcW w:w="45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w:t>
                  </w:r>
                </w:p>
              </w:tc>
              <w:tc>
                <w:tcPr>
                  <w:tcW w:w="691" w:type="pct"/>
                  <w:tcBorders>
                    <w:tl2br w:val="nil"/>
                    <w:tr2bl w:val="nil"/>
                  </w:tcBorders>
                  <w:noWrap w:val="0"/>
                  <w:vAlign w:val="center"/>
                </w:tcPr>
                <w:p>
                  <w:pPr>
                    <w:pStyle w:val="55"/>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85~90</w:t>
                  </w:r>
                </w:p>
              </w:tc>
              <w:tc>
                <w:tcPr>
                  <w:tcW w:w="60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000000"/>
                      <w:sz w:val="21"/>
                      <w:szCs w:val="21"/>
                      <w:lang w:eastAsia="zh-CN"/>
                    </w:rPr>
                  </w:pPr>
                </w:p>
              </w:tc>
              <w:tc>
                <w:tcPr>
                  <w:tcW w:w="52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15</w:t>
                  </w:r>
                </w:p>
              </w:tc>
              <w:tc>
                <w:tcPr>
                  <w:tcW w:w="51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24h/d</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注：以</w:t>
            </w:r>
            <w:r>
              <w:rPr>
                <w:rFonts w:hint="eastAsia" w:cs="Times New Roman"/>
                <w:color w:val="000000"/>
                <w:sz w:val="21"/>
                <w:szCs w:val="21"/>
                <w:lang w:val="en-US" w:eastAsia="zh-CN"/>
              </w:rPr>
              <w:t>厂区</w:t>
            </w:r>
            <w:r>
              <w:rPr>
                <w:rFonts w:hint="eastAsia" w:ascii="Times New Roman" w:hAnsi="Times New Roman" w:eastAsia="宋体" w:cs="Times New Roman"/>
                <w:color w:val="000000"/>
                <w:sz w:val="21"/>
                <w:szCs w:val="21"/>
              </w:rPr>
              <w:t>西南角为原点。</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为了减轻设备运行产生的噪声对周围环境的影响，建设方拟采取如下降噪措施：</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①合理布置</w:t>
            </w:r>
            <w:r>
              <w:rPr>
                <w:rFonts w:hint="eastAsia" w:ascii="Times New Roman" w:hAnsi="Times New Roman" w:cs="Times New Roman"/>
                <w:color w:val="000000"/>
                <w:sz w:val="24"/>
                <w:szCs w:val="24"/>
                <w:lang w:val="en-US" w:eastAsia="zh-CN"/>
              </w:rPr>
              <w:t>生产</w:t>
            </w:r>
            <w:r>
              <w:rPr>
                <w:rFonts w:hint="default" w:ascii="Times New Roman" w:hAnsi="Times New Roman" w:cs="Times New Roman"/>
                <w:color w:val="000000"/>
                <w:sz w:val="24"/>
                <w:szCs w:val="24"/>
                <w:lang w:val="en-US" w:eastAsia="zh-CN"/>
              </w:rPr>
              <w:t>车间平面布局，</w:t>
            </w:r>
            <w:r>
              <w:rPr>
                <w:rFonts w:hint="eastAsia" w:ascii="Times New Roman" w:hAnsi="Times New Roman" w:cs="Times New Roman"/>
                <w:color w:val="000000"/>
                <w:sz w:val="24"/>
                <w:szCs w:val="24"/>
                <w:lang w:val="en-US" w:eastAsia="zh-CN"/>
              </w:rPr>
              <w:t>新增</w:t>
            </w:r>
            <w:r>
              <w:rPr>
                <w:rFonts w:hint="default" w:ascii="Times New Roman" w:hAnsi="Times New Roman" w:cs="Times New Roman"/>
                <w:color w:val="000000"/>
                <w:sz w:val="24"/>
                <w:szCs w:val="24"/>
                <w:lang w:val="en-US" w:eastAsia="zh-CN"/>
              </w:rPr>
              <w:t>各类设备均设置在厂房内，使高噪声设备尽可能远离厂界；</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②对于高噪声的生产设备，底座设置减振、隔声垫，降低噪声影响；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③加强管理，加强对企业操作人员的业务管理，加强设备的维护保养，确保设备处于良好的运转状态，杜绝设备不正常运转产生的高噪声现象。</w:t>
            </w:r>
          </w:p>
          <w:p>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④搞好绿化：厂房围墙采用实心墙，厂区种植绿化带，以美化环境和降噪。</w:t>
            </w:r>
          </w:p>
          <w:p>
            <w:pPr>
              <w:keepNext w:val="0"/>
              <w:keepLines w:val="0"/>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⑤风机降噪措施评述</w:t>
            </w:r>
          </w:p>
          <w:p>
            <w:pPr>
              <w:keepNext w:val="0"/>
              <w:keepLines w:val="0"/>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风机的噪声主要由空气动力噪声（旋转噪声、涡流噪声）和机械噪声（轴承、皮带传动等）组成。其中，空气动力噪声是主要部分。</w:t>
            </w:r>
          </w:p>
          <w:p>
            <w:pPr>
              <w:keepNext w:val="0"/>
              <w:keepLines w:val="0"/>
              <w:numPr>
                <w:ilvl w:val="0"/>
                <w:numId w:val="16"/>
              </w:numPr>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选择高效、低噪型号的风机（如后倾式离心风机通常比前倾式噪声低）。确保风机在最高效率点附近运行，避免在“喘振区”或低效区工作。</w:t>
            </w:r>
          </w:p>
          <w:p>
            <w:pPr>
              <w:keepNext w:val="0"/>
              <w:keepLines w:val="0"/>
              <w:numPr>
                <w:ilvl w:val="0"/>
                <w:numId w:val="16"/>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采用机翼型扭曲叶片，减少气流冲击和分离；提高叶轮的制造精度，并进行严格的动平衡校正。</w:t>
            </w:r>
          </w:p>
          <w:p>
            <w:pPr>
              <w:keepNext w:val="0"/>
              <w:keepLines w:val="0"/>
              <w:numPr>
                <w:ilvl w:val="0"/>
                <w:numId w:val="16"/>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在满足风量和风压的前提下，采用大直径叶轮、低转速的设计。</w:t>
            </w:r>
          </w:p>
          <w:p>
            <w:pPr>
              <w:keepNext w:val="0"/>
              <w:keepLines w:val="0"/>
              <w:numPr>
                <w:ilvl w:val="0"/>
                <w:numId w:val="16"/>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在风机的进、出口管道上安装消声器。针对风机以中低频为主的噪声特性，多采用抗性消声器或阻抗复合式消声器。</w:t>
            </w:r>
          </w:p>
          <w:p>
            <w:pPr>
              <w:keepNext w:val="0"/>
              <w:keepLines w:val="0"/>
              <w:numPr>
                <w:ilvl w:val="0"/>
                <w:numId w:val="16"/>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将整个风机机组用隔声罩封闭起来，或将其置于独立的隔声房内。罩体通常由金属板（隔声质量）+内部吸声材料（如离心玻璃棉、岩棉）+阻尼层构成。</w:t>
            </w:r>
          </w:p>
          <w:p>
            <w:pPr>
              <w:keepNext w:val="0"/>
              <w:keepLines w:val="0"/>
              <w:numPr>
                <w:ilvl w:val="0"/>
                <w:numId w:val="0"/>
              </w:numPr>
              <w:suppressLineNumbers w:val="0"/>
              <w:spacing w:before="0" w:beforeAutospacing="0" w:after="0" w:afterAutospacing="0" w:line="360" w:lineRule="auto"/>
              <w:ind w:left="0" w:right="0" w:rightChars="0" w:firstLine="480" w:firstLineChars="200"/>
              <w:jc w:val="both"/>
              <w:rPr>
                <w:rFonts w:hint="default" w:ascii="Times New Roman" w:hAnsi="Times New Roman" w:cs="Times New Roman"/>
                <w:b/>
                <w:bCs/>
                <w:color w:val="auto"/>
                <w:sz w:val="24"/>
                <w:szCs w:val="24"/>
                <w:lang w:val="en-US"/>
              </w:rPr>
            </w:pPr>
            <w:r>
              <w:rPr>
                <w:rFonts w:hint="eastAsia" w:cs="Times New Roman"/>
                <w:color w:val="000000"/>
                <w:sz w:val="24"/>
                <w:szCs w:val="24"/>
                <w:lang w:val="en-US" w:eastAsia="zh-CN"/>
              </w:rPr>
              <w:t>f.在风机底座与基础之间安装弹性支撑，如弹簧减振器、橡胶减振垫或惰性块（混凝土基础）。</w:t>
            </w:r>
          </w:p>
          <w:p>
            <w:pPr>
              <w:keepNext w:val="0"/>
              <w:keepLines w:val="0"/>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⑥空压机降噪措施评述</w:t>
            </w:r>
          </w:p>
          <w:p>
            <w:pPr>
              <w:keepNext w:val="0"/>
              <w:keepLines w:val="0"/>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空压机的噪声来源更复杂，主要包括：进气噪声（最强）、排气噪声、机体辐射噪声（机械噪声）和电机/发动机冷却风扇噪声。</w:t>
            </w:r>
          </w:p>
          <w:p>
            <w:pPr>
              <w:keepNext w:val="0"/>
              <w:keepLines w:val="0"/>
              <w:numPr>
                <w:ilvl w:val="0"/>
                <w:numId w:val="17"/>
              </w:numPr>
              <w:suppressLineNumbers w:val="0"/>
              <w:spacing w:before="0" w:beforeAutospacing="0" w:after="0" w:afterAutospacing="0" w:line="360" w:lineRule="auto"/>
              <w:ind w:left="0" w:right="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优先选择螺杆式空压机（通常比活塞式噪声低）、永磁变频螺杆机。</w:t>
            </w:r>
          </w:p>
          <w:p>
            <w:pPr>
              <w:keepNext w:val="0"/>
              <w:keepLines w:val="0"/>
              <w:numPr>
                <w:ilvl w:val="0"/>
                <w:numId w:val="17"/>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 xml:space="preserve"> 采用高效、低阻的空气过滤器，并优化进气口的流道设计，减少气流扰动。</w:t>
            </w:r>
          </w:p>
          <w:p>
            <w:pPr>
              <w:keepNext w:val="0"/>
              <w:keepLines w:val="0"/>
              <w:numPr>
                <w:ilvl w:val="0"/>
                <w:numId w:val="17"/>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 xml:space="preserve"> 在进气口安装专用的抗性消声器或阻抗复合消声器。</w:t>
            </w:r>
          </w:p>
          <w:p>
            <w:pPr>
              <w:keepNext w:val="0"/>
              <w:keepLines w:val="0"/>
              <w:numPr>
                <w:ilvl w:val="0"/>
                <w:numId w:val="17"/>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与风机类似，为单台空压机加装隔声罩，或将多台空压机集中置于隔声机房内。</w:t>
            </w:r>
          </w:p>
          <w:p>
            <w:pPr>
              <w:keepNext w:val="0"/>
              <w:keepLines w:val="0"/>
              <w:numPr>
                <w:ilvl w:val="0"/>
                <w:numId w:val="17"/>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在排气口（至储气罐的管道上）安装消声器，并对高温排气管进行隔声包扎。</w:t>
            </w:r>
          </w:p>
          <w:p>
            <w:pPr>
              <w:keepNext w:val="0"/>
              <w:keepLines w:val="0"/>
              <w:numPr>
                <w:ilvl w:val="0"/>
                <w:numId w:val="17"/>
              </w:numPr>
              <w:suppressLineNumbers w:val="0"/>
              <w:spacing w:before="0" w:beforeAutospacing="0" w:after="0" w:afterAutospacing="0" w:line="360" w:lineRule="auto"/>
              <w:ind w:left="0" w:leftChars="0" w:right="0" w:rightChars="0" w:firstLine="480" w:firstLineChars="200"/>
              <w:jc w:val="both"/>
              <w:rPr>
                <w:rFonts w:hint="eastAsia" w:cs="Times New Roman"/>
                <w:color w:val="000000"/>
                <w:sz w:val="24"/>
                <w:szCs w:val="24"/>
                <w:lang w:val="en-US" w:eastAsia="zh-CN"/>
              </w:rPr>
            </w:pPr>
            <w:r>
              <w:rPr>
                <w:rFonts w:hint="eastAsia" w:cs="Times New Roman"/>
                <w:color w:val="000000"/>
                <w:sz w:val="24"/>
                <w:szCs w:val="24"/>
                <w:lang w:val="en-US" w:eastAsia="zh-CN"/>
              </w:rPr>
              <w:t xml:space="preserve">对储气罐进行阻尼隔声包扎，或在罐体内壁增加吸声层。 </w:t>
            </w:r>
          </w:p>
          <w:p>
            <w:pPr>
              <w:keepNext w:val="0"/>
              <w:keepLines w:val="0"/>
              <w:numPr>
                <w:ilvl w:val="0"/>
                <w:numId w:val="0"/>
              </w:numPr>
              <w:suppressLineNumbers w:val="0"/>
              <w:spacing w:before="0" w:beforeAutospacing="0" w:after="0" w:afterAutospacing="0" w:line="360" w:lineRule="auto"/>
              <w:ind w:left="0" w:right="0" w:rightChars="0" w:firstLine="480" w:firstLineChars="200"/>
              <w:jc w:val="both"/>
              <w:rPr>
                <w:rFonts w:hint="default" w:ascii="Times New Roman" w:hAnsi="Times New Roman" w:cs="Times New Roman"/>
                <w:b/>
                <w:bCs/>
                <w:color w:val="auto"/>
                <w:sz w:val="24"/>
                <w:szCs w:val="24"/>
                <w:lang w:val="en-US"/>
              </w:rPr>
            </w:pPr>
            <w:r>
              <w:rPr>
                <w:rFonts w:hint="eastAsia" w:cs="Times New Roman"/>
                <w:color w:val="000000"/>
                <w:sz w:val="24"/>
                <w:szCs w:val="24"/>
                <w:lang w:val="en-US" w:eastAsia="zh-CN"/>
              </w:rPr>
              <w:t>g.空压机、电机、储气罐底部均需安装减振器。</w:t>
            </w:r>
          </w:p>
          <w:p>
            <w:pPr>
              <w:pStyle w:val="13"/>
              <w:keepNext w:val="0"/>
              <w:keepLines w:val="0"/>
              <w:suppressLineNumbers w:val="0"/>
              <w:spacing w:before="0" w:beforeAutospacing="0" w:after="0" w:afterAutospacing="0"/>
              <w:ind w:left="0" w:right="0"/>
              <w:rPr>
                <w:rFonts w:hint="default" w:ascii="Times New Roman" w:cs="Times New Roman"/>
                <w:bCs/>
                <w:color w:val="auto"/>
                <w:szCs w:val="21"/>
                <w:lang w:val="en-US" w:eastAsia="zh-CN"/>
              </w:rPr>
            </w:pPr>
          </w:p>
        </w:tc>
      </w:tr>
    </w:tbl>
    <w:p>
      <w:pPr>
        <w:pStyle w:val="35"/>
        <w:rPr>
          <w:rFonts w:hint="default"/>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6"/>
        <w:tblW w:w="483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rPr>
            </w:pPr>
            <w:r>
              <w:rPr>
                <w:rFonts w:hint="default" w:ascii="Times New Roman" w:hAnsi="Times New Roman" w:cs="Times New Roman"/>
                <w:b/>
                <w:bCs w:val="0"/>
                <w:color w:val="00000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
                <w:bCs w:val="0"/>
                <w:color w:val="000000"/>
                <w:szCs w:val="21"/>
              </w:rPr>
              <w:t>措施</w:t>
            </w:r>
          </w:p>
        </w:tc>
        <w:tc>
          <w:tcPr>
            <w:tcW w:w="4642" w:type="pct"/>
            <w:noWrap w:val="0"/>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rPr>
              <w:t>（3）噪声预测结果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根据项目的噪声排放特点，结合《环境影响评价技术导则 声环境》（HJ2.4-2021）的要求，综合考虑隔声和距离衰减的因素，噪声源强分析如下表所示。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27</w:t>
            </w:r>
            <w:r>
              <w:rPr>
                <w:rFonts w:hint="eastAsia" w:ascii="Times New Roman" w:hAnsi="Times New Roman" w:cs="Times New Roman"/>
                <w:b/>
                <w:color w:val="auto"/>
                <w:sz w:val="24"/>
                <w:szCs w:val="24"/>
                <w:lang w:val="en-US" w:eastAsia="zh-CN"/>
              </w:rPr>
              <w:t xml:space="preserve"> </w:t>
            </w:r>
            <w:r>
              <w:rPr>
                <w:rFonts w:hint="eastAsia" w:ascii="Times New Roman" w:hAnsi="Times New Roman" w:cs="Times New Roman"/>
                <w:b/>
                <w:bCs/>
                <w:color w:val="auto"/>
                <w:kern w:val="0"/>
                <w:sz w:val="24"/>
                <w:szCs w:val="24"/>
              </w:rPr>
              <w:t>采取措施后对厂界的影响值（dB</w:t>
            </w:r>
            <w:r>
              <w:rPr>
                <w:rFonts w:hint="default" w:ascii="Times New Roman" w:hAnsi="Times New Roman" w:cs="Times New Roman"/>
                <w:b/>
                <w:bCs/>
                <w:color w:val="auto"/>
                <w:kern w:val="0"/>
                <w:sz w:val="24"/>
                <w:szCs w:val="24"/>
              </w:rPr>
              <w:t>（A）</w:t>
            </w:r>
            <w:r>
              <w:rPr>
                <w:rFonts w:hint="eastAsia" w:ascii="Times New Roman" w:hAnsi="Times New Roman" w:cs="Times New Roman"/>
                <w:b/>
                <w:bCs/>
                <w:color w:val="auto"/>
                <w:kern w:val="0"/>
                <w:sz w:val="24"/>
                <w:szCs w:val="24"/>
              </w:rPr>
              <w:t>）</w:t>
            </w:r>
          </w:p>
          <w:tbl>
            <w:tblPr>
              <w:tblStyle w:val="26"/>
              <w:tblW w:w="5000" w:type="pct"/>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31"/>
              <w:gridCol w:w="466"/>
              <w:gridCol w:w="468"/>
              <w:gridCol w:w="427"/>
              <w:gridCol w:w="507"/>
              <w:gridCol w:w="484"/>
              <w:gridCol w:w="484"/>
              <w:gridCol w:w="684"/>
              <w:gridCol w:w="684"/>
              <w:gridCol w:w="432"/>
              <w:gridCol w:w="468"/>
              <w:gridCol w:w="466"/>
              <w:gridCol w:w="469"/>
              <w:gridCol w:w="467"/>
              <w:gridCol w:w="4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5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预测点位</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噪声背景值</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噪声现状值</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eastAsia" w:ascii="Times New Roman" w:hAnsi="Times New Roman" w:eastAsia="宋体" w:cs="Times New Roman"/>
                      <w:b/>
                      <w:bCs/>
                      <w:color w:val="000000"/>
                      <w:sz w:val="21"/>
                      <w:szCs w:val="21"/>
                      <w:lang w:eastAsia="zh-CN"/>
                    </w:rPr>
                  </w:pPr>
                  <w:r>
                    <w:rPr>
                      <w:rFonts w:hint="eastAsia" w:ascii="Times New Roman" w:hAnsi="Times New Roman" w:eastAsia="宋体" w:cs="Times New Roman"/>
                      <w:b/>
                      <w:bCs/>
                      <w:color w:val="000000"/>
                      <w:sz w:val="21"/>
                      <w:szCs w:val="21"/>
                      <w:lang w:val="en-US" w:eastAsia="zh-CN"/>
                    </w:rPr>
                    <w:t>噪声标准</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噪声贡献值</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噪声预测值</w:t>
                  </w:r>
                </w:p>
              </w:tc>
              <w:tc>
                <w:tcPr>
                  <w:tcW w:w="635"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较现状增量</w:t>
                  </w:r>
                </w:p>
              </w:tc>
              <w:tc>
                <w:tcPr>
                  <w:tcW w:w="638"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超标和达标情况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5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b/>
                      <w:bCs/>
                      <w:color w:val="000000"/>
                      <w:sz w:val="21"/>
                      <w:szCs w:val="21"/>
                    </w:rPr>
                  </w:pP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w:t>
                  </w:r>
                </w:p>
              </w:tc>
              <w:tc>
                <w:tcPr>
                  <w:tcW w:w="4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bCs/>
                      <w:color w:val="000000"/>
                      <w:sz w:val="21"/>
                      <w:szCs w:val="21"/>
                    </w:rPr>
                  </w:pPr>
                  <w:r>
                    <w:rPr>
                      <w:rFonts w:hint="eastAsia" w:cs="Times New Roman"/>
                      <w:b/>
                      <w:bCs/>
                      <w:color w:val="000000"/>
                      <w:sz w:val="21"/>
                      <w:szCs w:val="21"/>
                      <w:lang w:val="en-US" w:eastAsia="zh-CN"/>
                    </w:rPr>
                    <w:t>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东</w:t>
                  </w:r>
                  <w:r>
                    <w:rPr>
                      <w:rFonts w:hint="default" w:ascii="Times New Roman" w:hAnsi="Times New Roman" w:eastAsia="宋体" w:cs="Times New Roman"/>
                      <w:color w:val="000000"/>
                      <w:sz w:val="21"/>
                      <w:szCs w:val="21"/>
                    </w:rPr>
                    <w:t>厂界</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65</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55</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40.7</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39.2</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c>
                <w:tcPr>
                  <w:tcW w:w="4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南厂界</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w:t>
                  </w:r>
                </w:p>
              </w:tc>
              <w:tc>
                <w:tcPr>
                  <w:tcW w:w="4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47.7</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44.5</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c>
                <w:tcPr>
                  <w:tcW w:w="4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西</w:t>
                  </w:r>
                  <w:r>
                    <w:rPr>
                      <w:rFonts w:hint="default" w:ascii="Times New Roman" w:hAnsi="Times New Roman" w:eastAsia="宋体" w:cs="Times New Roman"/>
                      <w:color w:val="000000"/>
                      <w:sz w:val="21"/>
                      <w:szCs w:val="21"/>
                    </w:rPr>
                    <w:t>厂界</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w:t>
                  </w:r>
                </w:p>
              </w:tc>
              <w:tc>
                <w:tcPr>
                  <w:tcW w:w="4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52.7</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34.9</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c>
                <w:tcPr>
                  <w:tcW w:w="4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北</w:t>
                  </w:r>
                  <w:r>
                    <w:rPr>
                      <w:rFonts w:hint="default" w:ascii="Times New Roman" w:hAnsi="Times New Roman" w:eastAsia="宋体" w:cs="Times New Roman"/>
                      <w:color w:val="000000"/>
                      <w:sz w:val="21"/>
                      <w:szCs w:val="21"/>
                    </w:rPr>
                    <w:t>厂界</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5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70</w:t>
                  </w:r>
                </w:p>
              </w:tc>
              <w:tc>
                <w:tcPr>
                  <w:tcW w:w="4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31.4</w:t>
                  </w:r>
                </w:p>
              </w:tc>
              <w:tc>
                <w:tcPr>
                  <w:tcW w:w="3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25.7</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w:t>
                  </w:r>
                </w:p>
              </w:tc>
              <w:tc>
                <w:tcPr>
                  <w:tcW w:w="4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c>
                <w:tcPr>
                  <w:tcW w:w="4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达标</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rPr>
              <w:t>由上表可知，本项目厂界各监测点昼</w:t>
            </w:r>
            <w:r>
              <w:rPr>
                <w:rFonts w:hint="eastAsia" w:cs="Times New Roman"/>
                <w:color w:val="auto"/>
                <w:sz w:val="24"/>
                <w:lang w:val="en-US" w:eastAsia="zh-CN"/>
              </w:rPr>
              <w:t>夜</w:t>
            </w:r>
            <w:r>
              <w:rPr>
                <w:rFonts w:hint="eastAsia" w:ascii="Times New Roman" w:hAnsi="Times New Roman" w:cs="Times New Roman"/>
                <w:color w:val="auto"/>
                <w:sz w:val="24"/>
              </w:rPr>
              <w:t>环境噪声贡献值均达到《工业企业厂界环境噪声排放标准》（GB12348-2008）中3</w:t>
            </w:r>
            <w:r>
              <w:rPr>
                <w:rFonts w:hint="eastAsia" w:cs="Times New Roman"/>
                <w:color w:val="auto"/>
                <w:sz w:val="24"/>
                <w:lang w:eastAsia="zh-CN"/>
              </w:rPr>
              <w:t>、</w:t>
            </w:r>
            <w:r>
              <w:rPr>
                <w:rFonts w:hint="eastAsia" w:cs="Times New Roman"/>
                <w:color w:val="auto"/>
                <w:sz w:val="24"/>
                <w:lang w:val="en-US" w:eastAsia="zh-CN"/>
              </w:rPr>
              <w:t>4（北厂界）</w:t>
            </w:r>
            <w:r>
              <w:rPr>
                <w:rFonts w:hint="eastAsia" w:ascii="Times New Roman" w:hAnsi="Times New Roman" w:cs="Times New Roman"/>
                <w:color w:val="auto"/>
                <w:sz w:val="24"/>
              </w:rPr>
              <w:t>类标准，对周围声环境无明显影响，不会发生扰民现象</w:t>
            </w:r>
            <w:r>
              <w:rPr>
                <w:rFonts w:hint="eastAsia" w:ascii="Times New Roman" w:hAnsi="Times New Roman" w:cs="Times New Roman"/>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rPr>
            </w:pPr>
            <w:r>
              <w:rPr>
                <w:rFonts w:hint="default" w:ascii="Times New Roman" w:hAnsi="宋体" w:cs="Times New Roman"/>
                <w:color w:val="auto"/>
                <w:sz w:val="24"/>
                <w:szCs w:val="24"/>
              </w:rPr>
              <w:t>因此，评价认为只要建设单位对各产噪设备严格按照本评价提出的降噪措施进行防治，本项目生产过程中不会对厂界及敏感目标造成大的影响，可以做到噪声不扰民</w:t>
            </w:r>
            <w:r>
              <w:rPr>
                <w:rFonts w:hint="eastAsia" w:ascii="Times New Roman" w:hAnsi="Times New Roman" w:cs="Times New Roman"/>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（3）监测计划</w:t>
            </w:r>
          </w:p>
          <w:p>
            <w:pPr>
              <w:keepNext w:val="0"/>
              <w:keepLines w:val="0"/>
              <w:suppressLineNumbers w:val="0"/>
              <w:adjustRightInd w:val="0"/>
              <w:snapToGrid w:val="0"/>
              <w:spacing w:before="0" w:beforeAutospacing="0" w:after="0" w:afterAutospacing="0" w:line="360" w:lineRule="auto"/>
              <w:ind w:left="0" w:right="0" w:firstLine="440" w:firstLineChars="200"/>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①根据《排污单位自行监测技术指南 总则》（HJ819-2017），厂界噪声最低监测频次为季度，厂界噪声监测频次为一季度开展一次，并在噪声监测点附近醒目处设置环境保护图形标志牌。</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28</w:t>
            </w:r>
            <w:r>
              <w:rPr>
                <w:rFonts w:hint="default" w:ascii="Times New Roman" w:hAnsi="Times New Roman" w:cs="Times New Roman"/>
                <w:b/>
                <w:bCs/>
                <w:color w:val="auto"/>
                <w:sz w:val="24"/>
                <w:szCs w:val="24"/>
              </w:rPr>
              <w:t xml:space="preserve">  污染源监测计划表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803"/>
              <w:gridCol w:w="1495"/>
              <w:gridCol w:w="2000"/>
              <w:gridCol w:w="1342"/>
              <w:gridCol w:w="1327"/>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 w:hRule="atLeast"/>
                <w:jc w:val="center"/>
              </w:trPr>
              <w:tc>
                <w:tcPr>
                  <w:tcW w:w="514"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种类</w:t>
                  </w:r>
                </w:p>
              </w:tc>
              <w:tc>
                <w:tcPr>
                  <w:tcW w:w="95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28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859"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排放口类型</w:t>
                  </w:r>
                </w:p>
              </w:tc>
              <w:tc>
                <w:tcPr>
                  <w:tcW w:w="849"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c>
                <w:tcPr>
                  <w:tcW w:w="538"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514"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95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厂界外1m</w:t>
                  </w:r>
                </w:p>
              </w:tc>
              <w:tc>
                <w:tcPr>
                  <w:tcW w:w="1280"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连续等效A声级</w:t>
                  </w:r>
                </w:p>
              </w:tc>
              <w:tc>
                <w:tcPr>
                  <w:tcW w:w="859"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9"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1次/季度</w:t>
                  </w:r>
                </w:p>
              </w:tc>
              <w:tc>
                <w:tcPr>
                  <w:tcW w:w="538"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kern w:val="0"/>
                <w:sz w:val="24"/>
                <w:szCs w:val="24"/>
              </w:rPr>
              <w:instrText xml:space="preserve"> = 2 \* GB3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kern w:val="0"/>
                <w:sz w:val="24"/>
                <w:szCs w:val="24"/>
              </w:rPr>
              <w:t>②</w:t>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sz w:val="24"/>
                <w:szCs w:val="24"/>
              </w:rPr>
              <w:t>“三同时”验收监测计划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根据《建设项目竣工环境保护验收技术指南 污染影响类》，</w:t>
            </w:r>
            <w:r>
              <w:rPr>
                <w:rFonts w:hint="default" w:ascii="Times New Roman" w:hAnsi="Times New Roman" w:cs="Times New Roman"/>
                <w:bCs/>
                <w:color w:val="auto"/>
                <w:sz w:val="24"/>
                <w:szCs w:val="24"/>
              </w:rPr>
              <w:t>建设项目需针对大气污染源、废水污染源、噪声污染源制定验收监测计划。</w:t>
            </w:r>
            <w:r>
              <w:rPr>
                <w:rFonts w:hint="default" w:ascii="Times New Roman" w:hAnsi="Times New Roman" w:cs="Times New Roman"/>
                <w:color w:val="auto"/>
                <w:sz w:val="24"/>
                <w:szCs w:val="24"/>
              </w:rPr>
              <w:t>本项目噪声监测点、监测项目及监测频次</w:t>
            </w:r>
            <w:r>
              <w:rPr>
                <w:rFonts w:hint="default" w:ascii="Times New Roman" w:hAnsi="Times New Roman" w:cs="Times New Roman"/>
                <w:bCs/>
                <w:color w:val="auto"/>
                <w:sz w:val="24"/>
                <w:szCs w:val="24"/>
              </w:rPr>
              <w:t>见下表。</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w:t>
            </w:r>
            <w:r>
              <w:rPr>
                <w:rFonts w:hint="eastAsia" w:cs="Times New Roman"/>
                <w:b/>
                <w:bCs/>
                <w:color w:val="auto"/>
                <w:sz w:val="24"/>
                <w:szCs w:val="24"/>
                <w:lang w:val="en-US" w:eastAsia="zh-CN"/>
              </w:rPr>
              <w:t>29</w:t>
            </w:r>
            <w:r>
              <w:rPr>
                <w:rFonts w:hint="default" w:ascii="Times New Roman" w:hAnsi="Times New Roman" w:cs="Times New Roman"/>
                <w:b/>
                <w:bCs/>
                <w:color w:val="auto"/>
                <w:sz w:val="24"/>
                <w:szCs w:val="24"/>
              </w:rPr>
              <w:t xml:space="preserve">  验收监测计划表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85" w:type="dxa"/>
                <w:bottom w:w="0" w:type="dxa"/>
                <w:right w:w="85" w:type="dxa"/>
              </w:tblCellMar>
            </w:tblPr>
            <w:tblGrid>
              <w:gridCol w:w="1009"/>
              <w:gridCol w:w="1289"/>
              <w:gridCol w:w="2823"/>
              <w:gridCol w:w="1340"/>
              <w:gridCol w:w="13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 w:hRule="atLeast"/>
                <w:jc w:val="center"/>
              </w:trPr>
              <w:tc>
                <w:tcPr>
                  <w:tcW w:w="646"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种类</w:t>
                  </w:r>
                </w:p>
              </w:tc>
              <w:tc>
                <w:tcPr>
                  <w:tcW w:w="825"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80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858"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点位数</w:t>
                  </w:r>
                </w:p>
              </w:tc>
              <w:tc>
                <w:tcPr>
                  <w:tcW w:w="862"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291" w:hRule="atLeast"/>
                <w:jc w:val="center"/>
              </w:trPr>
              <w:tc>
                <w:tcPr>
                  <w:tcW w:w="646"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825"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厂界外1m</w:t>
                  </w:r>
                </w:p>
              </w:tc>
              <w:tc>
                <w:tcPr>
                  <w:tcW w:w="1807"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连续等效A声级</w:t>
                  </w:r>
                </w:p>
              </w:tc>
              <w:tc>
                <w:tcPr>
                  <w:tcW w:w="858"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62" w:type="pct"/>
                  <w:tcBorders>
                    <w:tl2br w:val="nil"/>
                    <w:tr2bl w:val="nil"/>
                  </w:tcBorders>
                  <w:noWrap w:val="0"/>
                  <w:vAlign w:val="center"/>
                </w:tcPr>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连续2天</w:t>
                  </w:r>
                </w:p>
                <w:p>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w:t>
                  </w:r>
                  <w:r>
                    <w:rPr>
                      <w:rFonts w:hint="eastAsia" w:ascii="Times New Roman" w:hAnsi="Times New Roman" w:cs="Times New Roman"/>
                      <w:color w:val="auto"/>
                      <w:szCs w:val="21"/>
                      <w:lang w:val="en-US" w:eastAsia="zh-CN"/>
                    </w:rPr>
                    <w:t>夜各</w:t>
                  </w:r>
                  <w:r>
                    <w:rPr>
                      <w:rFonts w:hint="default" w:ascii="Times New Roman" w:hAnsi="Times New Roman" w:cs="Times New Roman"/>
                      <w:color w:val="auto"/>
                      <w:szCs w:val="21"/>
                    </w:rPr>
                    <w:t>一次</w:t>
                  </w:r>
                </w:p>
              </w:tc>
            </w:tr>
          </w:tbl>
          <w:p>
            <w:pPr>
              <w:pStyle w:val="4"/>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lang w:eastAsia="zh-CN"/>
              </w:rPr>
              <w:t>）固体废物源强及贮存、处置情况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本项目产生的固体废物有</w:t>
            </w:r>
            <w:r>
              <w:rPr>
                <w:rFonts w:hint="eastAsia" w:cs="Times New Roman"/>
                <w:b w:val="0"/>
                <w:bCs w:val="0"/>
                <w:color w:val="000000"/>
                <w:sz w:val="24"/>
                <w:szCs w:val="24"/>
                <w:lang w:val="en-US" w:eastAsia="zh-CN"/>
              </w:rPr>
              <w:t>废包装袋、废PE</w:t>
            </w:r>
            <w:r>
              <w:rPr>
                <w:rFonts w:hint="eastAsia" w:ascii="Times New Roman" w:hAnsi="Times New Roman" w:eastAsia="宋体" w:cs="Times New Roman"/>
                <w:b w:val="0"/>
                <w:bCs w:val="0"/>
                <w:color w:val="000000"/>
                <w:sz w:val="24"/>
                <w:szCs w:val="24"/>
                <w:lang w:val="en-US" w:eastAsia="zh-CN"/>
              </w:rPr>
              <w:t>膜</w:t>
            </w:r>
            <w:r>
              <w:rPr>
                <w:rFonts w:hint="eastAsia" w:cs="Times New Roman"/>
                <w:b w:val="0"/>
                <w:bCs w:val="0"/>
                <w:color w:val="000000"/>
                <w:sz w:val="24"/>
                <w:szCs w:val="24"/>
                <w:lang w:val="en-US" w:eastAsia="zh-CN"/>
              </w:rPr>
              <w:t>、废边角料、碎屑、</w:t>
            </w:r>
            <w:r>
              <w:rPr>
                <w:rFonts w:hint="eastAsia" w:ascii="Times New Roman" w:hAnsi="Times New Roman" w:eastAsia="宋体" w:cs="Times New Roman"/>
                <w:b w:val="0"/>
                <w:bCs w:val="0"/>
                <w:color w:val="000000"/>
                <w:sz w:val="24"/>
                <w:szCs w:val="24"/>
                <w:lang w:val="en-US" w:eastAsia="zh-CN"/>
              </w:rPr>
              <w:t>集尘灰</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废活性炭</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废布袋</w:t>
            </w:r>
            <w:r>
              <w:rPr>
                <w:rFonts w:hint="eastAsia" w:cs="Times New Roman"/>
                <w:b w:val="0"/>
                <w:bCs w:val="0"/>
                <w:color w:val="000000"/>
                <w:sz w:val="24"/>
                <w:szCs w:val="24"/>
                <w:lang w:val="en-US" w:eastAsia="zh-CN"/>
              </w:rPr>
              <w:t>、废滤渣、</w:t>
            </w:r>
            <w:r>
              <w:rPr>
                <w:rFonts w:hint="eastAsia" w:ascii="Times New Roman" w:hAnsi="Times New Roman" w:eastAsia="宋体" w:cs="Times New Roman"/>
                <w:b w:val="0"/>
                <w:bCs w:val="0"/>
                <w:color w:val="000000"/>
                <w:sz w:val="24"/>
                <w:szCs w:val="24"/>
                <w:lang w:val="en-US" w:eastAsia="zh-CN"/>
              </w:rPr>
              <w:t>废滤网</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废槽渣</w:t>
            </w:r>
            <w:r>
              <w:rPr>
                <w:rFonts w:hint="eastAsia" w:cs="Times New Roman"/>
                <w:b w:val="0"/>
                <w:bCs w:val="0"/>
                <w:color w:val="000000"/>
                <w:sz w:val="24"/>
                <w:szCs w:val="24"/>
                <w:lang w:val="en-US" w:eastAsia="zh-CN"/>
              </w:rPr>
              <w:t>、废包装桶、</w:t>
            </w:r>
            <w:r>
              <w:rPr>
                <w:rFonts w:hint="eastAsia" w:ascii="Times New Roman" w:hAnsi="Times New Roman" w:eastAsia="宋体" w:cs="Times New Roman"/>
                <w:b w:val="0"/>
                <w:bCs w:val="0"/>
                <w:color w:val="000000"/>
                <w:sz w:val="24"/>
                <w:szCs w:val="24"/>
                <w:lang w:val="en-US" w:eastAsia="zh-CN"/>
              </w:rPr>
              <w:t>废润滑油</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废润滑油桶</w:t>
            </w:r>
            <w:r>
              <w:rPr>
                <w:rFonts w:hint="eastAsia" w:cs="Times New Roman"/>
                <w:b w:val="0"/>
                <w:bCs w:val="0"/>
                <w:color w:val="000000"/>
                <w:sz w:val="24"/>
                <w:szCs w:val="24"/>
                <w:lang w:val="en-US" w:eastAsia="zh-CN"/>
              </w:rPr>
              <w:t>、</w:t>
            </w:r>
            <w:r>
              <w:rPr>
                <w:rFonts w:hint="eastAsia" w:ascii="Times New Roman" w:hAnsi="Times New Roman" w:eastAsia="宋体" w:cs="Times New Roman"/>
                <w:b w:val="0"/>
                <w:bCs w:val="0"/>
                <w:color w:val="000000"/>
                <w:sz w:val="24"/>
                <w:szCs w:val="24"/>
                <w:lang w:val="en-US" w:eastAsia="zh-CN"/>
              </w:rPr>
              <w:t>空压机含油废水</w:t>
            </w:r>
            <w:r>
              <w:rPr>
                <w:rFonts w:hint="eastAsia" w:cs="Times New Roman"/>
                <w:b w:val="0"/>
                <w:bCs w:val="0"/>
                <w:color w:val="000000"/>
                <w:sz w:val="24"/>
                <w:szCs w:val="24"/>
                <w:lang w:val="en-US" w:eastAsia="zh-CN"/>
              </w:rPr>
              <w:t>、废模具、</w:t>
            </w:r>
            <w:r>
              <w:rPr>
                <w:rFonts w:hint="eastAsia" w:ascii="Times New Roman" w:hAnsi="Times New Roman" w:eastAsia="宋体" w:cs="Times New Roman"/>
                <w:b w:val="0"/>
                <w:bCs w:val="0"/>
                <w:color w:val="000000"/>
                <w:sz w:val="24"/>
                <w:szCs w:val="24"/>
                <w:lang w:val="en-US" w:eastAsia="zh-CN"/>
              </w:rPr>
              <w:t>生活垃圾。</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cs="Times New Roman"/>
                <w:b w:val="0"/>
                <w:bCs w:val="0"/>
                <w:color w:val="000000"/>
                <w:sz w:val="24"/>
                <w:szCs w:val="24"/>
                <w:lang w:val="en-US" w:eastAsia="zh-CN"/>
              </w:rPr>
              <w:t>①</w:t>
            </w:r>
            <w:r>
              <w:rPr>
                <w:rFonts w:hint="default"/>
                <w:color w:val="auto"/>
                <w:sz w:val="24"/>
                <w:szCs w:val="24"/>
              </w:rPr>
              <w:t>废</w:t>
            </w:r>
            <w:r>
              <w:rPr>
                <w:rFonts w:hint="eastAsia"/>
                <w:color w:val="auto"/>
                <w:sz w:val="24"/>
                <w:szCs w:val="24"/>
                <w:lang w:val="en-US" w:eastAsia="zh-CN"/>
              </w:rPr>
              <w:t>包装袋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color w:val="auto"/>
                <w:sz w:val="24"/>
                <w:szCs w:val="24"/>
                <w:lang w:val="en-US" w:eastAsia="zh-CN"/>
              </w:rPr>
              <w:t>本项目在使用PC粒子的过程中会产生废包装袋，根据年用量及包装规格计算，年产废包装袋19.2万个，单个包装袋按50g计，则废包装袋产生量约为9.6t/a，</w:t>
            </w:r>
            <w:r>
              <w:rPr>
                <w:rFonts w:hint="eastAsia" w:ascii="Times New Roman" w:hAnsi="Times New Roman" w:eastAsia="宋体" w:cs="Times New Roman"/>
                <w:b w:val="0"/>
                <w:bCs w:val="0"/>
                <w:color w:val="000000"/>
                <w:sz w:val="24"/>
                <w:szCs w:val="24"/>
                <w:lang w:val="en-US" w:eastAsia="zh-CN"/>
              </w:rPr>
              <w:t>收集后委托一般固废处置单位处置</w:t>
            </w:r>
            <w:r>
              <w:rPr>
                <w:rFonts w:hint="default"/>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②</w:t>
            </w:r>
            <w:r>
              <w:rPr>
                <w:rFonts w:hint="eastAsia" w:ascii="Times New Roman" w:hAnsi="Times New Roman" w:eastAsia="宋体" w:cs="Times New Roman"/>
                <w:b w:val="0"/>
                <w:bCs w:val="0"/>
                <w:color w:val="000000"/>
                <w:sz w:val="24"/>
                <w:szCs w:val="24"/>
                <w:lang w:val="en-US" w:eastAsia="zh-CN"/>
              </w:rPr>
              <w:t>废PE膜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在回收废边角料过程中，需要人工撕除表面的PE膜，因此产生废PE膜，</w:t>
            </w:r>
            <w:r>
              <w:rPr>
                <w:rFonts w:hint="eastAsia" w:cs="Times New Roman"/>
                <w:b w:val="0"/>
                <w:bCs w:val="0"/>
                <w:color w:val="000000"/>
                <w:sz w:val="24"/>
                <w:szCs w:val="24"/>
                <w:lang w:val="en-US" w:eastAsia="zh-CN"/>
              </w:rPr>
              <w:t>根据企业提供资料，废PE膜约占PE总用量的10%，则废PE膜</w:t>
            </w:r>
            <w:r>
              <w:rPr>
                <w:rFonts w:hint="eastAsia" w:ascii="Times New Roman" w:hAnsi="Times New Roman" w:eastAsia="宋体" w:cs="Times New Roman"/>
                <w:b w:val="0"/>
                <w:bCs w:val="0"/>
                <w:color w:val="000000"/>
                <w:sz w:val="24"/>
                <w:szCs w:val="24"/>
                <w:lang w:val="en-US" w:eastAsia="zh-CN"/>
              </w:rPr>
              <w:t>产生量约为</w:t>
            </w:r>
            <w:r>
              <w:rPr>
                <w:rFonts w:hint="eastAsia" w:cs="Times New Roman"/>
                <w:b w:val="0"/>
                <w:bCs w:val="0"/>
                <w:color w:val="000000"/>
                <w:sz w:val="24"/>
                <w:szCs w:val="24"/>
                <w:lang w:val="en-US" w:eastAsia="zh-CN"/>
              </w:rPr>
              <w:t>3.5</w:t>
            </w:r>
            <w:r>
              <w:rPr>
                <w:rFonts w:hint="eastAsia" w:ascii="Times New Roman" w:hAnsi="Times New Roman" w:eastAsia="宋体" w:cs="Times New Roman"/>
                <w:b w:val="0"/>
                <w:bCs w:val="0"/>
                <w:color w:val="000000"/>
                <w:sz w:val="24"/>
                <w:szCs w:val="24"/>
                <w:lang w:val="en-US" w:eastAsia="zh-CN"/>
              </w:rPr>
              <w:t>t/a，收集后委托一般固废处置单位处置。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③废边角料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宋体" w:cs="宋体"/>
                <w:color w:val="auto"/>
                <w:sz w:val="24"/>
                <w:szCs w:val="24"/>
                <w:lang w:val="en-US" w:eastAsia="zh-CN" w:bidi="ar"/>
              </w:rPr>
              <w:t>根据企业提供资料，边角料的产生量约占总产量的5%，本项目总产量约4800t/a，则边角料的产生量约240t/a，破碎后回用于生产。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④碎屑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根据企业提供资料，雕刻过程中碎屑的产生量约为10t/a，收集后委托一般固废处置单位处置。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⑤集尘灰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项目破碎</w:t>
            </w:r>
            <w:r>
              <w:rPr>
                <w:rFonts w:hint="eastAsia" w:cs="Times New Roman"/>
                <w:b w:val="0"/>
                <w:bCs w:val="0"/>
                <w:color w:val="000000"/>
                <w:sz w:val="24"/>
                <w:szCs w:val="24"/>
                <w:lang w:val="en-US" w:eastAsia="zh-CN"/>
              </w:rPr>
              <w:t>废气</w:t>
            </w:r>
            <w:r>
              <w:rPr>
                <w:rFonts w:hint="eastAsia" w:ascii="Times New Roman" w:hAnsi="Times New Roman" w:eastAsia="宋体" w:cs="Times New Roman"/>
                <w:b w:val="0"/>
                <w:bCs w:val="0"/>
                <w:color w:val="000000"/>
                <w:sz w:val="24"/>
                <w:szCs w:val="24"/>
                <w:lang w:val="en-US" w:eastAsia="zh-CN"/>
              </w:rPr>
              <w:t>经除尘设施处理，根据计算，年产生量约为</w:t>
            </w:r>
            <w:r>
              <w:rPr>
                <w:rFonts w:hint="eastAsia" w:cs="Times New Roman"/>
                <w:b w:val="0"/>
                <w:bCs w:val="0"/>
                <w:color w:val="000000"/>
                <w:sz w:val="24"/>
                <w:szCs w:val="24"/>
                <w:lang w:val="en-US" w:eastAsia="zh-CN"/>
              </w:rPr>
              <w:t>（0.09-0.0131）0.0769</w:t>
            </w:r>
            <w:r>
              <w:rPr>
                <w:rFonts w:hint="eastAsia" w:ascii="Times New Roman" w:hAnsi="Times New Roman" w:eastAsia="宋体" w:cs="Times New Roman"/>
                <w:b w:val="0"/>
                <w:bCs w:val="0"/>
                <w:color w:val="000000"/>
                <w:sz w:val="24"/>
                <w:szCs w:val="24"/>
                <w:lang w:val="en-US" w:eastAsia="zh-CN"/>
              </w:rPr>
              <w:t>t/a，收集后委托一般固废处置单位处置。</w:t>
            </w:r>
          </w:p>
          <w:p>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lang w:eastAsia="zh-CN"/>
              </w:rPr>
            </w:pPr>
            <w:r>
              <w:rPr>
                <w:rFonts w:hint="eastAsia"/>
                <w:color w:val="auto"/>
                <w:sz w:val="24"/>
                <w:szCs w:val="24"/>
                <w:lang w:val="en-US" w:eastAsia="zh-CN"/>
              </w:rPr>
              <w:t>⑥</w:t>
            </w:r>
            <w:r>
              <w:rPr>
                <w:rFonts w:hint="eastAsia"/>
                <w:color w:val="auto"/>
                <w:sz w:val="24"/>
                <w:szCs w:val="24"/>
              </w:rPr>
              <w:t>废</w:t>
            </w:r>
            <w:r>
              <w:rPr>
                <w:rFonts w:hint="eastAsia"/>
                <w:color w:val="auto"/>
                <w:sz w:val="24"/>
                <w:szCs w:val="24"/>
                <w:lang w:val="en-US" w:eastAsia="zh-CN"/>
              </w:rPr>
              <w:t>活性炭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color w:val="auto"/>
                <w:spacing w:val="4"/>
                <w:sz w:val="24"/>
                <w:szCs w:val="24"/>
              </w:rPr>
              <w:t>本项目产生</w:t>
            </w:r>
            <w:r>
              <w:rPr>
                <w:rFonts w:hint="eastAsia"/>
                <w:color w:val="auto"/>
                <w:spacing w:val="4"/>
                <w:sz w:val="24"/>
                <w:szCs w:val="24"/>
                <w:lang w:val="en-US" w:eastAsia="zh-CN"/>
              </w:rPr>
              <w:t>废活性炭</w:t>
            </w:r>
            <w:r>
              <w:rPr>
                <w:rFonts w:hint="eastAsia"/>
                <w:color w:val="auto"/>
                <w:spacing w:val="4"/>
                <w:sz w:val="24"/>
                <w:szCs w:val="24"/>
              </w:rPr>
              <w:t>量约</w:t>
            </w:r>
            <w:r>
              <w:rPr>
                <w:rFonts w:hint="eastAsia"/>
                <w:color w:val="auto"/>
                <w:spacing w:val="4"/>
                <w:sz w:val="24"/>
                <w:szCs w:val="24"/>
                <w:lang w:val="en-US" w:eastAsia="zh-CN"/>
              </w:rPr>
              <w:t>28.9305</w:t>
            </w:r>
            <w:r>
              <w:rPr>
                <w:rFonts w:hint="eastAsia"/>
                <w:color w:val="auto"/>
                <w:spacing w:val="4"/>
                <w:sz w:val="24"/>
                <w:szCs w:val="24"/>
              </w:rPr>
              <w:t>t</w:t>
            </w:r>
            <w:r>
              <w:rPr>
                <w:rFonts w:hint="eastAsia"/>
                <w:color w:val="auto"/>
                <w:spacing w:val="4"/>
                <w:sz w:val="24"/>
                <w:szCs w:val="24"/>
                <w:lang w:eastAsia="zh-CN"/>
              </w:rPr>
              <w:t>（</w:t>
            </w:r>
            <w:r>
              <w:rPr>
                <w:rFonts w:hint="eastAsia"/>
                <w:color w:val="auto"/>
                <w:spacing w:val="4"/>
                <w:sz w:val="24"/>
                <w:szCs w:val="24"/>
                <w:lang w:val="en-US" w:eastAsia="zh-CN"/>
              </w:rPr>
              <w:t>吸附量2.2005+炭更换量26.73</w:t>
            </w:r>
            <w:r>
              <w:rPr>
                <w:rFonts w:hint="eastAsia"/>
                <w:color w:val="auto"/>
                <w:spacing w:val="4"/>
                <w:sz w:val="24"/>
                <w:szCs w:val="24"/>
                <w:lang w:eastAsia="zh-CN"/>
              </w:rPr>
              <w:t>）</w:t>
            </w:r>
            <w:r>
              <w:rPr>
                <w:rFonts w:hint="eastAsia"/>
                <w:color w:val="auto"/>
                <w:spacing w:val="4"/>
                <w:sz w:val="24"/>
                <w:szCs w:val="24"/>
              </w:rPr>
              <w:t>。对照《国家危险废物名录》（202</w:t>
            </w:r>
            <w:r>
              <w:rPr>
                <w:rFonts w:hint="eastAsia"/>
                <w:color w:val="auto"/>
                <w:spacing w:val="4"/>
                <w:sz w:val="24"/>
                <w:szCs w:val="24"/>
                <w:lang w:val="en-US" w:eastAsia="zh-CN"/>
              </w:rPr>
              <w:t>5</w:t>
            </w:r>
            <w:r>
              <w:rPr>
                <w:rFonts w:hint="eastAsia"/>
                <w:color w:val="auto"/>
                <w:spacing w:val="4"/>
                <w:sz w:val="24"/>
                <w:szCs w:val="24"/>
              </w:rPr>
              <w:t>年），废活性炭属于危险废物，危废编码为HW49，900-039-49“含有或沾染毒性、感染性危险废物的废弃包装物、容器、过滤吸附介质”，需委托有资质的单位处理</w:t>
            </w:r>
            <w:r>
              <w:rPr>
                <w:rFonts w:hint="eastAsia" w:ascii="Times New Roman" w:hAnsi="Times New Roman" w:eastAsia="宋体" w:cs="Times New Roman"/>
                <w:b w:val="0"/>
                <w:bCs w:val="0"/>
                <w:color w:val="00000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s="Times New Roman"/>
                <w:b w:val="0"/>
                <w:bCs w:val="0"/>
                <w:color w:val="000000"/>
                <w:sz w:val="24"/>
                <w:szCs w:val="24"/>
                <w:lang w:val="en-US" w:eastAsia="zh-CN"/>
              </w:rPr>
            </w:pPr>
            <w:r>
              <w:rPr>
                <w:rFonts w:hint="eastAsia" w:cs="Times New Roman"/>
                <w:b w:val="0"/>
                <w:bCs w:val="0"/>
                <w:color w:val="000000"/>
                <w:sz w:val="24"/>
                <w:szCs w:val="24"/>
                <w:lang w:val="en-US" w:eastAsia="zh-CN"/>
              </w:rPr>
              <w:t>⑦废布袋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建设项目采用布袋除尘器维护过程中会产生废布袋，根据企业生产经验，单套布袋除尘器产生废布袋量为0.05t/a，主要为PC粉末和布袋，属于一般固废，委托一般固废处置单位收集处置。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⑧</w:t>
            </w:r>
            <w:r>
              <w:rPr>
                <w:rFonts w:hint="eastAsia" w:ascii="Times New Roman" w:hAnsi="Times New Roman" w:eastAsia="宋体" w:cs="Times New Roman"/>
                <w:b w:val="0"/>
                <w:bCs w:val="0"/>
                <w:color w:val="000000"/>
                <w:sz w:val="24"/>
                <w:szCs w:val="24"/>
                <w:lang w:val="en-US" w:eastAsia="zh-CN"/>
              </w:rPr>
              <w:t>废滤渣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项目挤出工序会产生少量的滤渣，项目滤渣产生量约为2t/a，经对照《国家危险废物名录》（202</w:t>
            </w:r>
            <w:r>
              <w:rPr>
                <w:rFonts w:hint="eastAsia" w:cs="Times New Roman"/>
                <w:b w:val="0"/>
                <w:bCs w:val="0"/>
                <w:color w:val="000000"/>
                <w:sz w:val="24"/>
                <w:szCs w:val="24"/>
                <w:lang w:val="en-US" w:eastAsia="zh-CN"/>
              </w:rPr>
              <w:t>5</w:t>
            </w:r>
            <w:r>
              <w:rPr>
                <w:rFonts w:hint="eastAsia" w:ascii="Times New Roman" w:hAnsi="Times New Roman" w:eastAsia="宋体" w:cs="Times New Roman"/>
                <w:b w:val="0"/>
                <w:bCs w:val="0"/>
                <w:color w:val="000000"/>
                <w:sz w:val="24"/>
                <w:szCs w:val="24"/>
                <w:lang w:val="en-US" w:eastAsia="zh-CN"/>
              </w:rPr>
              <w:t>年版），不属于危险固废，属于一般工业固废，废滤渣委托一般固废处置单位处置。</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4"/>
                <w:lang w:val="en-US" w:eastAsia="zh-CN"/>
              </w:rPr>
            </w:pPr>
            <w:r>
              <w:rPr>
                <w:rFonts w:hint="eastAsia"/>
                <w:color w:val="auto"/>
                <w:sz w:val="24"/>
                <w:szCs w:val="24"/>
                <w:lang w:val="en-US" w:eastAsia="zh-CN"/>
              </w:rPr>
              <w:t>⑨</w:t>
            </w:r>
            <w:r>
              <w:rPr>
                <w:rFonts w:hint="eastAsia"/>
                <w:color w:val="auto"/>
                <w:sz w:val="24"/>
                <w:szCs w:val="24"/>
                <w:lang w:eastAsia="zh-CN"/>
              </w:rPr>
              <w:t>废</w:t>
            </w:r>
            <w:r>
              <w:rPr>
                <w:rFonts w:hint="eastAsia"/>
                <w:color w:val="auto"/>
                <w:sz w:val="24"/>
                <w:szCs w:val="24"/>
                <w:lang w:val="en-US" w:eastAsia="zh-CN"/>
              </w:rPr>
              <w:t>滤网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spacing w:val="4"/>
                <w:sz w:val="24"/>
                <w:szCs w:val="24"/>
                <w:lang w:val="en-US" w:eastAsia="zh-CN"/>
              </w:rPr>
            </w:pPr>
            <w:r>
              <w:rPr>
                <w:rFonts w:hint="eastAsia"/>
                <w:color w:val="auto"/>
                <w:sz w:val="24"/>
                <w:szCs w:val="24"/>
                <w:lang w:eastAsia="zh-CN"/>
              </w:rPr>
              <w:t>本项目热熔挤出工序造粒机所使用的滤网随着时间的延长，网眼会逐渐变小直至不能使用，需要定期更换，根据业主提供的资料，废过滤网产生量约为0.5t/a。根据《废塑料加工利用污染防治管理规定》（环境保护部、发展改革委、商务部联合公告 2012 年第 55 号）“废塑料加工利用单位应当以环境无害化方式处理废塑料加工利用过程产生的残余垃圾、滤网；禁止交不符合环保要求的单位或个人处置。禁止露天焚烧废塑料及加工利用过程产生的残余垃圾、滤网”。根据《国家危险废物名录》 (202</w:t>
            </w:r>
            <w:r>
              <w:rPr>
                <w:rFonts w:hint="eastAsia"/>
                <w:color w:val="auto"/>
                <w:sz w:val="24"/>
                <w:szCs w:val="24"/>
                <w:lang w:val="en-US" w:eastAsia="zh-CN"/>
              </w:rPr>
              <w:t>5</w:t>
            </w:r>
            <w:r>
              <w:rPr>
                <w:rFonts w:hint="eastAsia"/>
                <w:color w:val="auto"/>
                <w:sz w:val="24"/>
                <w:szCs w:val="24"/>
                <w:lang w:eastAsia="zh-CN"/>
              </w:rPr>
              <w:t>版)，废滤网不属于危险废物，为一般工业固体废物，本项目产生的废过滤网</w:t>
            </w:r>
            <w:r>
              <w:rPr>
                <w:rFonts w:hint="eastAsia"/>
                <w:color w:val="auto"/>
                <w:sz w:val="24"/>
                <w:szCs w:val="24"/>
                <w:lang w:val="en-US" w:eastAsia="zh-CN"/>
              </w:rPr>
              <w:t>委托一般固废处置单位处置</w:t>
            </w:r>
            <w:r>
              <w:rPr>
                <w:rFonts w:hint="eastAsia" w:ascii="Times New Roman" w:hAnsi="Times New Roman" w:eastAsia="宋体" w:cs="Times New Roman"/>
                <w:b w:val="0"/>
                <w:bCs w:val="0"/>
                <w:color w:val="000000"/>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eastAsia" w:ascii="Times New Roman" w:hAnsi="Times New Roman" w:eastAsia="宋体" w:cs="Times New Roman"/>
                <w:color w:val="auto"/>
                <w:spacing w:val="4"/>
                <w:sz w:val="24"/>
              </w:rPr>
            </w:pPr>
            <w:r>
              <w:rPr>
                <w:rFonts w:hint="eastAsia" w:cs="Times New Roman"/>
                <w:color w:val="auto"/>
                <w:spacing w:val="4"/>
                <w:sz w:val="24"/>
                <w:lang w:val="en-US" w:eastAsia="zh-CN"/>
              </w:rPr>
              <w:t>⑩</w:t>
            </w:r>
            <w:r>
              <w:rPr>
                <w:rFonts w:hint="eastAsia" w:ascii="Times New Roman" w:hAnsi="Times New Roman" w:eastAsia="宋体" w:cs="Times New Roman"/>
                <w:color w:val="auto"/>
                <w:spacing w:val="4"/>
                <w:sz w:val="24"/>
              </w:rPr>
              <w:t>废槽渣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eastAsia" w:ascii="Times New Roman" w:hAnsi="Times New Roman" w:eastAsia="宋体" w:cs="Times New Roman"/>
                <w:color w:val="auto"/>
                <w:spacing w:val="4"/>
                <w:sz w:val="24"/>
              </w:rPr>
              <w:t>本项目使用循环水冷却，期间产生槽渣，产生量约0.5t/a，经对照《国家危险废物名录》（202</w:t>
            </w:r>
            <w:r>
              <w:rPr>
                <w:rFonts w:hint="eastAsia" w:cs="Times New Roman"/>
                <w:color w:val="auto"/>
                <w:spacing w:val="4"/>
                <w:sz w:val="24"/>
                <w:lang w:val="en-US" w:eastAsia="zh-CN"/>
              </w:rPr>
              <w:t>5</w:t>
            </w:r>
            <w:r>
              <w:rPr>
                <w:rFonts w:hint="eastAsia" w:ascii="Times New Roman" w:hAnsi="Times New Roman" w:eastAsia="宋体" w:cs="Times New Roman"/>
                <w:color w:val="auto"/>
                <w:spacing w:val="4"/>
                <w:sz w:val="24"/>
              </w:rPr>
              <w:t>年版），不属于危险固废，属于一般工业固废，废槽渣委托一般固废处置单位处置</w:t>
            </w:r>
            <w:r>
              <w:rPr>
                <w:rFonts w:hint="eastAsia" w:ascii="Times New Roman" w:hAnsi="Times New Roman" w:eastAsia="宋体" w:cs="Times New Roman"/>
                <w:color w:val="auto"/>
                <w:spacing w:val="4"/>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⑪废包装桶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本项目淋涂药剂使用过程会产生废包装桶，本项目淋涂药剂年用量为1.433t，包装规格为25kg/桶，预计产生约58个包装桶，单桶重量以2kg计，则废包装桶的产生量为0.116t/a。对照《国家危险废物名录》（2025版），废包装桶属于危险废物（HW49 900-041-49），收集后委托有资质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eastAsia" w:cs="Times New Roman"/>
                <w:color w:val="auto"/>
                <w:spacing w:val="4"/>
                <w:sz w:val="24"/>
                <w:szCs w:val="24"/>
                <w:lang w:val="en-US" w:eastAsia="zh-CN"/>
              </w:rPr>
              <w:t>⑫</w:t>
            </w:r>
            <w:r>
              <w:rPr>
                <w:rFonts w:hint="eastAsia" w:ascii="Times New Roman" w:hAnsi="Times New Roman" w:eastAsia="宋体" w:cs="Times New Roman"/>
                <w:color w:val="auto"/>
                <w:spacing w:val="4"/>
                <w:sz w:val="24"/>
                <w:szCs w:val="24"/>
                <w:lang w:val="en-US" w:eastAsia="zh-CN"/>
              </w:rPr>
              <w:t>废润滑油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eastAsia" w:ascii="Times New Roman" w:hAnsi="Times New Roman" w:eastAsia="宋体" w:cs="Times New Roman"/>
                <w:color w:val="auto"/>
                <w:spacing w:val="4"/>
                <w:sz w:val="24"/>
                <w:szCs w:val="24"/>
                <w:lang w:val="en-US" w:eastAsia="zh-CN"/>
              </w:rPr>
            </w:pPr>
            <w:r>
              <w:rPr>
                <w:rFonts w:hint="eastAsia" w:ascii="Times New Roman" w:hAnsi="Times New Roman" w:eastAsia="宋体" w:cs="Times New Roman"/>
                <w:color w:val="auto"/>
                <w:spacing w:val="4"/>
                <w:sz w:val="24"/>
                <w:szCs w:val="24"/>
                <w:lang w:val="en-US" w:eastAsia="zh-CN"/>
              </w:rPr>
              <w:t>本项目设备检维修产生废润滑油，根据核实，年产生废</w:t>
            </w:r>
            <w:r>
              <w:rPr>
                <w:rFonts w:hint="eastAsia" w:cs="Times New Roman"/>
                <w:color w:val="auto"/>
                <w:spacing w:val="4"/>
                <w:sz w:val="24"/>
                <w:szCs w:val="24"/>
                <w:lang w:val="en-US" w:eastAsia="zh-CN"/>
              </w:rPr>
              <w:t>润滑</w:t>
            </w:r>
            <w:r>
              <w:rPr>
                <w:rFonts w:hint="eastAsia" w:ascii="Times New Roman" w:hAnsi="Times New Roman" w:eastAsia="宋体" w:cs="Times New Roman"/>
                <w:color w:val="auto"/>
                <w:spacing w:val="4"/>
                <w:sz w:val="24"/>
                <w:szCs w:val="24"/>
                <w:lang w:val="en-US" w:eastAsia="zh-CN"/>
              </w:rPr>
              <w:t>油0.02t，根据《国家危险废物名录》（2025年版），属于危险废物，废物类别为HW08，废物代码为900-214-08，需委托有资质单位处置。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⑬废润滑油桶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本项目设备维护过程废润滑油桶，预计产生1个，单桶重量以2kg计，则废润滑油桶的产生量为0.002t/a。对照《国家危险废物名录》（2025版），废润滑油桶属于危险废物（HW08 900-249-08），收集后委托有资质单位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eastAsia" w:cs="Times New Roman"/>
                <w:color w:val="auto"/>
                <w:spacing w:val="4"/>
                <w:sz w:val="24"/>
                <w:szCs w:val="24"/>
                <w:lang w:val="en-US" w:eastAsia="zh-CN"/>
              </w:rPr>
              <w:t>⑭</w:t>
            </w:r>
            <w:r>
              <w:rPr>
                <w:rFonts w:hint="default" w:ascii="Times New Roman" w:hAnsi="Times New Roman" w:eastAsia="宋体" w:cs="Times New Roman"/>
                <w:color w:val="auto"/>
                <w:spacing w:val="4"/>
                <w:sz w:val="24"/>
                <w:szCs w:val="24"/>
                <w:lang w:val="en-US" w:eastAsia="zh-CN"/>
              </w:rPr>
              <w:t>空压机含油废水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项目拟设置</w:t>
            </w:r>
            <w:r>
              <w:rPr>
                <w:rFonts w:hint="eastAsia" w:cs="Times New Roman"/>
                <w:color w:val="auto"/>
                <w:spacing w:val="4"/>
                <w:sz w:val="24"/>
                <w:szCs w:val="24"/>
                <w:lang w:val="en-US" w:eastAsia="zh-CN"/>
              </w:rPr>
              <w:t>1</w:t>
            </w:r>
            <w:r>
              <w:rPr>
                <w:rFonts w:hint="default" w:ascii="Times New Roman" w:hAnsi="Times New Roman" w:eastAsia="宋体" w:cs="Times New Roman"/>
                <w:color w:val="auto"/>
                <w:spacing w:val="4"/>
                <w:sz w:val="24"/>
                <w:szCs w:val="24"/>
                <w:lang w:val="en-US" w:eastAsia="zh-CN"/>
              </w:rPr>
              <w:t>台压缩空气系统供生产所用，</w:t>
            </w:r>
            <w:r>
              <w:rPr>
                <w:rFonts w:hint="eastAsia" w:cs="Times New Roman"/>
                <w:color w:val="auto"/>
                <w:spacing w:val="4"/>
                <w:sz w:val="24"/>
                <w:szCs w:val="24"/>
                <w:lang w:val="en-US" w:eastAsia="zh-CN"/>
              </w:rPr>
              <w:t>单</w:t>
            </w:r>
            <w:r>
              <w:rPr>
                <w:rFonts w:hint="default" w:ascii="Times New Roman" w:hAnsi="Times New Roman" w:eastAsia="宋体" w:cs="Times New Roman"/>
                <w:color w:val="auto"/>
                <w:spacing w:val="4"/>
                <w:sz w:val="24"/>
                <w:szCs w:val="24"/>
                <w:lang w:val="en-US" w:eastAsia="zh-CN"/>
              </w:rPr>
              <w:t>台供气量约</w:t>
            </w:r>
            <w:r>
              <w:rPr>
                <w:rFonts w:hint="eastAsia" w:cs="Times New Roman"/>
                <w:color w:val="auto"/>
                <w:spacing w:val="4"/>
                <w:sz w:val="24"/>
                <w:szCs w:val="24"/>
                <w:lang w:val="en-US" w:eastAsia="zh-CN"/>
              </w:rPr>
              <w:t>12</w:t>
            </w:r>
            <w:r>
              <w:rPr>
                <w:rFonts w:hint="default" w:ascii="Times New Roman" w:hAnsi="Times New Roman" w:eastAsia="宋体" w:cs="Times New Roman"/>
                <w:color w:val="auto"/>
                <w:spacing w:val="4"/>
                <w:sz w:val="24"/>
                <w:szCs w:val="24"/>
                <w:lang w:val="en-US" w:eastAsia="zh-CN"/>
              </w:rPr>
              <w:t xml:space="preserve"> Nm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lang w:val="en-US" w:eastAsia="zh-CN"/>
              </w:rPr>
              <w:t>/h，全年供气量约</w:t>
            </w:r>
            <w:r>
              <w:rPr>
                <w:rFonts w:hint="eastAsia" w:cs="Times New Roman"/>
                <w:color w:val="auto"/>
                <w:spacing w:val="4"/>
                <w:sz w:val="24"/>
                <w:szCs w:val="24"/>
                <w:lang w:val="en-US" w:eastAsia="zh-CN"/>
              </w:rPr>
              <w:t>8.64</w:t>
            </w:r>
            <w:r>
              <w:rPr>
                <w:rFonts w:hint="default" w:ascii="Times New Roman" w:hAnsi="Times New Roman" w:eastAsia="宋体" w:cs="Times New Roman"/>
                <w:color w:val="auto"/>
                <w:spacing w:val="4"/>
                <w:sz w:val="24"/>
                <w:szCs w:val="24"/>
                <w:lang w:val="en-US" w:eastAsia="zh-CN"/>
              </w:rPr>
              <w:t>万立方，工作过程中将空气中含有的水蒸气分离出来，产生少量冷凝废水，以平均30℃条件下，原始空气平均湿度30g/Nm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lang w:val="en-US" w:eastAsia="zh-CN"/>
              </w:rPr>
              <w:t>计，废水产生量约</w:t>
            </w:r>
            <w:r>
              <w:rPr>
                <w:rFonts w:hint="eastAsia" w:cs="Times New Roman"/>
                <w:color w:val="auto"/>
                <w:spacing w:val="4"/>
                <w:sz w:val="24"/>
                <w:szCs w:val="24"/>
                <w:lang w:val="en-US" w:eastAsia="zh-CN"/>
              </w:rPr>
              <w:t>2.592</w:t>
            </w:r>
            <w:r>
              <w:rPr>
                <w:rFonts w:hint="default" w:ascii="Times New Roman" w:hAnsi="Times New Roman" w:eastAsia="宋体" w:cs="Times New Roman"/>
                <w:color w:val="auto"/>
                <w:spacing w:val="4"/>
                <w:sz w:val="24"/>
                <w:szCs w:val="24"/>
                <w:lang w:val="en-US" w:eastAsia="zh-CN"/>
              </w:rPr>
              <w:t>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lang w:val="en-US" w:eastAsia="zh-CN"/>
              </w:rPr>
              <w:t>/a。属于危险废物，废物类别为《国家危险废物管理名录》（2025年版）中HW09（900-00</w:t>
            </w:r>
            <w:r>
              <w:rPr>
                <w:rFonts w:hint="eastAsia" w:ascii="Times New Roman" w:hAnsi="Times New Roman" w:eastAsia="宋体" w:cs="Times New Roman"/>
                <w:color w:val="auto"/>
                <w:spacing w:val="4"/>
                <w:sz w:val="24"/>
                <w:szCs w:val="24"/>
                <w:lang w:val="en-US" w:eastAsia="zh-CN"/>
              </w:rPr>
              <w:t>5</w:t>
            </w:r>
            <w:r>
              <w:rPr>
                <w:rFonts w:hint="default" w:ascii="Times New Roman" w:hAnsi="Times New Roman" w:eastAsia="宋体" w:cs="Times New Roman"/>
                <w:color w:val="auto"/>
                <w:spacing w:val="4"/>
                <w:sz w:val="24"/>
                <w:szCs w:val="24"/>
                <w:lang w:val="en-US" w:eastAsia="zh-CN"/>
              </w:rPr>
              <w:t>-09）类危险废物，需委托有资质单位处理。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cs="Times New Roman"/>
                <w:color w:val="auto"/>
                <w:spacing w:val="4"/>
                <w:sz w:val="24"/>
                <w:szCs w:val="24"/>
                <w:lang w:val="en-US" w:eastAsia="zh-CN"/>
              </w:rPr>
            </w:pPr>
            <w:r>
              <w:rPr>
                <w:rFonts w:hint="eastAsia" w:cs="Times New Roman"/>
                <w:color w:val="auto"/>
                <w:spacing w:val="4"/>
                <w:sz w:val="24"/>
                <w:szCs w:val="24"/>
                <w:lang w:val="en-US" w:eastAsia="zh-CN"/>
              </w:rPr>
              <w:t>⑮废模具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eastAsia" w:cs="Times New Roman"/>
                <w:color w:val="auto"/>
                <w:spacing w:val="4"/>
                <w:sz w:val="24"/>
                <w:szCs w:val="24"/>
                <w:lang w:val="en-US" w:eastAsia="zh-CN"/>
              </w:rPr>
            </w:pPr>
            <w:r>
              <w:rPr>
                <w:rFonts w:hint="eastAsia" w:cs="Times New Roman"/>
                <w:color w:val="auto"/>
                <w:spacing w:val="4"/>
                <w:sz w:val="24"/>
                <w:szCs w:val="24"/>
                <w:lang w:val="en-US" w:eastAsia="zh-CN"/>
              </w:rPr>
              <w:t>根据建设单位提供经验数据，生产过程会产生废模具，废模具产生量约为2t/a，由供货方回收利用。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eastAsia" w:cs="Times New Roman"/>
                <w:color w:val="auto"/>
                <w:spacing w:val="4"/>
                <w:sz w:val="24"/>
                <w:szCs w:val="24"/>
                <w:lang w:val="en-US" w:eastAsia="zh-CN"/>
              </w:rPr>
              <w:t>⑯</w:t>
            </w:r>
            <w:r>
              <w:rPr>
                <w:rFonts w:hint="default" w:ascii="Times New Roman" w:hAnsi="Times New Roman" w:eastAsia="宋体" w:cs="Times New Roman"/>
                <w:color w:val="auto"/>
                <w:spacing w:val="4"/>
                <w:sz w:val="24"/>
                <w:szCs w:val="24"/>
                <w:lang w:val="en-US" w:eastAsia="zh-CN"/>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96" w:firstLineChars="200"/>
              <w:jc w:val="both"/>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本项目拟聘用职工</w:t>
            </w:r>
            <w:r>
              <w:rPr>
                <w:rFonts w:hint="eastAsia" w:cs="Times New Roman"/>
                <w:color w:val="auto"/>
                <w:spacing w:val="4"/>
                <w:sz w:val="24"/>
                <w:szCs w:val="24"/>
                <w:lang w:val="en-US" w:eastAsia="zh-CN"/>
              </w:rPr>
              <w:t>30</w:t>
            </w:r>
            <w:r>
              <w:rPr>
                <w:rFonts w:hint="default" w:ascii="Times New Roman" w:hAnsi="Times New Roman" w:eastAsia="宋体" w:cs="Times New Roman"/>
                <w:color w:val="auto"/>
                <w:spacing w:val="4"/>
                <w:sz w:val="24"/>
                <w:szCs w:val="24"/>
                <w:lang w:val="en-US" w:eastAsia="zh-CN"/>
              </w:rPr>
              <w:t>人，全年工作天数以300天计，生活垃圾产生量按1kg/人•d计，则本项目生活垃圾产生量为</w:t>
            </w:r>
            <w:r>
              <w:rPr>
                <w:rFonts w:hint="eastAsia" w:cs="Times New Roman"/>
                <w:color w:val="auto"/>
                <w:spacing w:val="4"/>
                <w:sz w:val="24"/>
                <w:szCs w:val="24"/>
                <w:lang w:val="en-US" w:eastAsia="zh-CN"/>
              </w:rPr>
              <w:t>9</w:t>
            </w:r>
            <w:r>
              <w:rPr>
                <w:rFonts w:hint="default" w:ascii="Times New Roman" w:hAnsi="Times New Roman" w:eastAsia="宋体" w:cs="Times New Roman"/>
                <w:color w:val="auto"/>
                <w:spacing w:val="4"/>
                <w:sz w:val="24"/>
                <w:szCs w:val="24"/>
                <w:lang w:val="en-US" w:eastAsia="zh-CN"/>
              </w:rPr>
              <w:t>t/a，收集后委托环卫部门清运处置</w:t>
            </w:r>
            <w:r>
              <w:rPr>
                <w:rFonts w:hint="eastAsia" w:ascii="Times New Roman" w:hAnsi="Times New Roman" w:eastAsia="宋体" w:cs="Times New Roman"/>
                <w:color w:val="auto"/>
                <w:spacing w:val="4"/>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eastAsia" w:ascii="Times New Roman" w:hAnsi="Times New Roman" w:cs="Times New Roman"/>
                <w:color w:val="00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cs="Times New Roman"/>
                <w:color w:val="000000"/>
                <w:lang w:val="en-US" w:eastAsia="zh-CN"/>
              </w:rPr>
            </w:pPr>
          </w:p>
        </w:tc>
      </w:tr>
    </w:tbl>
    <w:p>
      <w:pPr>
        <w:pStyle w:val="35"/>
        <w:rPr>
          <w:rFonts w:hint="default"/>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49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86"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
                <w:bCs w:val="0"/>
                <w:color w:val="000000"/>
                <w:szCs w:val="21"/>
              </w:rPr>
              <w:t>措施</w:t>
            </w:r>
          </w:p>
        </w:tc>
        <w:tc>
          <w:tcPr>
            <w:tcW w:w="4713" w:type="pct"/>
            <w:noWrap w:val="0"/>
            <w:vAlign w:val="top"/>
          </w:tcPr>
          <w:p>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eastAsiaTheme="minorEastAsia"/>
                <w:b/>
                <w:bCs/>
                <w:color w:val="000000"/>
                <w:sz w:val="24"/>
                <w:szCs w:val="24"/>
                <w:lang w:eastAsia="zh-CN"/>
              </w:rPr>
            </w:pPr>
            <w:r>
              <w:rPr>
                <w:rFonts w:hint="default" w:ascii="Times New Roman" w:hAnsi="Times New Roman" w:cs="Times New Roman" w:eastAsiaTheme="minorEastAsia"/>
                <w:b/>
                <w:bCs/>
                <w:color w:val="000000"/>
                <w:sz w:val="24"/>
                <w:szCs w:val="24"/>
                <w:lang w:eastAsia="zh-CN"/>
              </w:rPr>
              <w:t>固体废物处置利用情况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本项目固体废物利用处置方式见表</w:t>
            </w:r>
            <w:r>
              <w:rPr>
                <w:rFonts w:hint="default" w:ascii="Times New Roman" w:hAnsi="Times New Roman" w:cs="Times New Roman" w:eastAsiaTheme="minorEastAsia"/>
                <w:color w:val="000000"/>
                <w:sz w:val="24"/>
                <w:szCs w:val="24"/>
                <w:lang w:val="en-US" w:eastAsia="zh-CN"/>
              </w:rPr>
              <w:t>4-</w:t>
            </w:r>
            <w:r>
              <w:rPr>
                <w:rFonts w:hint="eastAsia" w:ascii="Times New Roman" w:hAnsi="Times New Roman" w:cs="Times New Roman" w:eastAsiaTheme="minorEastAsia"/>
                <w:color w:val="000000"/>
                <w:sz w:val="24"/>
                <w:szCs w:val="24"/>
                <w:lang w:val="en-US" w:eastAsia="zh-CN"/>
              </w:rPr>
              <w:t>30</w:t>
            </w:r>
            <w:r>
              <w:rPr>
                <w:rFonts w:hint="default" w:ascii="Times New Roman" w:hAnsi="Times New Roman" w:cs="Times New Roman" w:eastAsiaTheme="minorEastAsia"/>
                <w:color w:val="00000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sz w:val="24"/>
                <w:szCs w:val="24"/>
                <w:lang w:val="en-US" w:eastAsia="zh-CN"/>
              </w:rPr>
            </w:pPr>
            <w:r>
              <w:rPr>
                <w:rFonts w:hint="default" w:ascii="Times New Roman" w:hAnsi="Times New Roman" w:cs="Times New Roman" w:eastAsiaTheme="minorEastAsia"/>
                <w:b/>
                <w:color w:val="000000"/>
                <w:sz w:val="24"/>
                <w:szCs w:val="24"/>
                <w:lang w:val="en-US" w:eastAsia="zh-CN"/>
              </w:rPr>
              <w:t>表4-</w:t>
            </w:r>
            <w:r>
              <w:rPr>
                <w:rFonts w:hint="eastAsia" w:ascii="Times New Roman" w:hAnsi="Times New Roman" w:cs="Times New Roman" w:eastAsiaTheme="minorEastAsia"/>
                <w:b/>
                <w:color w:val="000000"/>
                <w:sz w:val="24"/>
                <w:szCs w:val="24"/>
                <w:lang w:val="en-US" w:eastAsia="zh-CN"/>
              </w:rPr>
              <w:t>30</w:t>
            </w:r>
            <w:r>
              <w:rPr>
                <w:rFonts w:hint="default" w:ascii="Times New Roman" w:hAnsi="Times New Roman" w:cs="Times New Roman" w:eastAsiaTheme="minorEastAsia"/>
                <w:b/>
                <w:color w:val="000000"/>
                <w:sz w:val="24"/>
                <w:szCs w:val="24"/>
                <w:lang w:val="en-US" w:eastAsia="zh-CN"/>
              </w:rPr>
              <w:t xml:space="preserve"> 本项目营运期固体废物排放情况汇总表</w:t>
            </w:r>
          </w:p>
          <w:tbl>
            <w:tblPr>
              <w:tblStyle w:val="27"/>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8"/>
              <w:gridCol w:w="1114"/>
              <w:gridCol w:w="901"/>
              <w:gridCol w:w="884"/>
              <w:gridCol w:w="1256"/>
              <w:gridCol w:w="754"/>
              <w:gridCol w:w="845"/>
              <w:gridCol w:w="775"/>
              <w:gridCol w:w="1024"/>
              <w:gridCol w:w="862"/>
              <w:gridCol w:w="705"/>
              <w:gridCol w:w="1721"/>
              <w:gridCol w:w="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4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序号</w:t>
                  </w:r>
                </w:p>
              </w:tc>
              <w:tc>
                <w:tcPr>
                  <w:tcW w:w="461"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名称</w:t>
                  </w:r>
                </w:p>
              </w:tc>
              <w:tc>
                <w:tcPr>
                  <w:tcW w:w="373"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产生环节</w:t>
                  </w:r>
                </w:p>
              </w:tc>
              <w:tc>
                <w:tcPr>
                  <w:tcW w:w="366"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属性</w:t>
                  </w:r>
                </w:p>
              </w:tc>
              <w:tc>
                <w:tcPr>
                  <w:tcW w:w="520"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主要有毒有害物质</w:t>
                  </w:r>
                </w:p>
              </w:tc>
              <w:tc>
                <w:tcPr>
                  <w:tcW w:w="31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物理状态</w:t>
                  </w:r>
                </w:p>
              </w:tc>
              <w:tc>
                <w:tcPr>
                  <w:tcW w:w="1095" w:type="pct"/>
                  <w:gridSpan w:val="3"/>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环境危险特性</w:t>
                  </w:r>
                </w:p>
              </w:tc>
              <w:tc>
                <w:tcPr>
                  <w:tcW w:w="357"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年度产生量（t/a）</w:t>
                  </w:r>
                </w:p>
              </w:tc>
              <w:tc>
                <w:tcPr>
                  <w:tcW w:w="29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贮存方式</w:t>
                  </w:r>
                </w:p>
              </w:tc>
              <w:tc>
                <w:tcPr>
                  <w:tcW w:w="713"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利用处置方式和去向</w:t>
                  </w:r>
                </w:p>
              </w:tc>
              <w:tc>
                <w:tcPr>
                  <w:tcW w:w="366"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利用或处置量（t/a）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461"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37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36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520"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31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350" w:type="pct"/>
                  <w:tcBorders>
                    <w:tl2br w:val="nil"/>
                    <w:tr2bl w:val="nil"/>
                  </w:tcBorders>
                  <w:noWrap w:val="0"/>
                  <w:vAlign w:val="center"/>
                </w:tcPr>
                <w:p>
                  <w:pPr>
                    <w:pStyle w:val="61"/>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color w:val="000000"/>
                      <w:sz w:val="21"/>
                      <w:szCs w:val="21"/>
                    </w:rPr>
                    <w:t>危险特性</w:t>
                  </w:r>
                </w:p>
              </w:tc>
              <w:tc>
                <w:tcPr>
                  <w:tcW w:w="321" w:type="pct"/>
                  <w:tcBorders>
                    <w:tl2br w:val="nil"/>
                    <w:tr2bl w:val="nil"/>
                  </w:tcBorders>
                  <w:noWrap w:val="0"/>
                  <w:vAlign w:val="center"/>
                </w:tcPr>
                <w:p>
                  <w:pPr>
                    <w:pStyle w:val="61"/>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color w:val="000000"/>
                      <w:sz w:val="21"/>
                      <w:szCs w:val="21"/>
                    </w:rPr>
                    <w:t>废物类别</w:t>
                  </w:r>
                </w:p>
              </w:tc>
              <w:tc>
                <w:tcPr>
                  <w:tcW w:w="424" w:type="pct"/>
                  <w:tcBorders>
                    <w:tl2br w:val="nil"/>
                    <w:tr2bl w:val="nil"/>
                  </w:tcBorders>
                  <w:noWrap w:val="0"/>
                  <w:vAlign w:val="center"/>
                </w:tcPr>
                <w:p>
                  <w:pPr>
                    <w:pStyle w:val="61"/>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color w:val="000000"/>
                      <w:sz w:val="21"/>
                      <w:szCs w:val="21"/>
                    </w:rPr>
                    <w:t>废物代码</w:t>
                  </w:r>
                </w:p>
              </w:tc>
              <w:tc>
                <w:tcPr>
                  <w:tcW w:w="357"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c>
                <w:tcPr>
                  <w:tcW w:w="366"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noWrap w:val="0"/>
                  <w:vAlign w:val="center"/>
                </w:tcPr>
                <w:p>
                  <w:pPr>
                    <w:pStyle w:val="65"/>
                    <w:keepNext w:val="0"/>
                    <w:keepLines w:val="0"/>
                    <w:suppressLineNumbers w:val="0"/>
                    <w:spacing w:before="100" w:beforeAutospacing="1" w:after="100" w:afterAutospacing="1" w:line="320" w:lineRule="exact"/>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w:t>
                  </w:r>
                </w:p>
              </w:tc>
              <w:tc>
                <w:tcPr>
                  <w:tcW w:w="46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边角料</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裁切</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一般固废</w:t>
                  </w:r>
                </w:p>
              </w:tc>
              <w:tc>
                <w:tcPr>
                  <w:tcW w:w="520"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固态</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SW17</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 xml:space="preserve">900-003-S17 </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240</w:t>
                  </w:r>
                </w:p>
              </w:tc>
              <w:tc>
                <w:tcPr>
                  <w:tcW w:w="29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边角料区贮存</w:t>
                  </w:r>
                </w:p>
              </w:tc>
              <w:tc>
                <w:tcPr>
                  <w:tcW w:w="71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回用生产</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2</w:t>
                  </w:r>
                </w:p>
              </w:tc>
              <w:tc>
                <w:tcPr>
                  <w:tcW w:w="46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废模具</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生产</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固废</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color w:val="000000"/>
                      <w:sz w:val="21"/>
                      <w:szCs w:val="21"/>
                      <w:vertAlign w:val="baseline"/>
                      <w:lang w:val="en-US" w:eastAsia="zh-CN"/>
                    </w:rPr>
                  </w:pPr>
                  <w:r>
                    <w:rPr>
                      <w:rFonts w:hint="default" w:ascii="Times New Roman" w:hAnsi="Times New Roman" w:cs="Times New Roman" w:eastAsiaTheme="minorEastAsia"/>
                      <w:b/>
                      <w:color w:val="000000"/>
                      <w:sz w:val="21"/>
                      <w:szCs w:val="21"/>
                      <w:vertAlign w:val="baseline"/>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SW17</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val="0"/>
                      <w:bCs/>
                      <w:color w:val="000000"/>
                      <w:sz w:val="21"/>
                      <w:szCs w:val="21"/>
                      <w:vertAlign w:val="baseline"/>
                      <w:lang w:val="en-US" w:eastAsia="zh-CN"/>
                    </w:rPr>
                    <w:t>900-099-S17</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w:t>
                  </w:r>
                </w:p>
              </w:tc>
              <w:tc>
                <w:tcPr>
                  <w:tcW w:w="29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w:t>
                  </w:r>
                </w:p>
              </w:tc>
              <w:tc>
                <w:tcPr>
                  <w:tcW w:w="71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供货方回收</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3</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废包装袋</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生产拆袋</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SW17</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900-003-S17</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9.6</w:t>
                  </w:r>
                </w:p>
              </w:tc>
              <w:tc>
                <w:tcPr>
                  <w:tcW w:w="29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一般固废贮存</w:t>
                  </w:r>
                </w:p>
              </w:tc>
              <w:tc>
                <w:tcPr>
                  <w:tcW w:w="713"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一般工业固废处置单位处理</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4</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废PE膜</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淋涂、破碎</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SW17</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eastAsia" w:ascii="Times New Roman" w:hAnsi="Times New Roman" w:cs="Times New Roman" w:eastAsiaTheme="minorEastAsia"/>
                      <w:b w:val="0"/>
                      <w:bCs/>
                      <w:color w:val="000000"/>
                      <w:sz w:val="21"/>
                      <w:szCs w:val="21"/>
                      <w:lang w:val="en-US" w:eastAsia="zh-CN"/>
                    </w:rPr>
                    <w:t>900-003-S17</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3.5</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5</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碎屑</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雕刻</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SW17</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eastAsia" w:ascii="Times New Roman" w:hAnsi="Times New Roman" w:cs="Times New Roman" w:eastAsiaTheme="minorEastAsia"/>
                      <w:b w:val="0"/>
                      <w:bCs/>
                      <w:color w:val="000000"/>
                      <w:sz w:val="21"/>
                      <w:szCs w:val="21"/>
                      <w:lang w:val="en-US" w:eastAsia="zh-CN"/>
                    </w:rPr>
                    <w:t>900-003-S17</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10</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6</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集尘灰</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破碎</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SW59</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eastAsia" w:ascii="Times New Roman" w:hAnsi="Times New Roman" w:cs="Times New Roman" w:eastAsiaTheme="minorEastAsia"/>
                      <w:b w:val="0"/>
                      <w:bCs/>
                      <w:color w:val="000000"/>
                      <w:sz w:val="21"/>
                      <w:szCs w:val="21"/>
                      <w:lang w:val="en-US" w:eastAsia="zh-CN"/>
                    </w:rPr>
                    <w:t>900-099-S59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0.0769</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0.0769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7</w:t>
                  </w:r>
                </w:p>
              </w:tc>
              <w:tc>
                <w:tcPr>
                  <w:tcW w:w="461"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废布袋</w:t>
                  </w:r>
                </w:p>
              </w:tc>
              <w:tc>
                <w:tcPr>
                  <w:tcW w:w="373"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废气处理</w:t>
                  </w:r>
                </w:p>
              </w:tc>
              <w:tc>
                <w:tcPr>
                  <w:tcW w:w="366"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w:t>
                  </w:r>
                </w:p>
              </w:tc>
              <w:tc>
                <w:tcPr>
                  <w:tcW w:w="321"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SW59</w:t>
                  </w:r>
                </w:p>
              </w:tc>
              <w:tc>
                <w:tcPr>
                  <w:tcW w:w="424"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eastAsia" w:ascii="Times New Roman" w:hAnsi="Times New Roman" w:cs="Times New Roman" w:eastAsiaTheme="minorEastAsia"/>
                      <w:b w:val="0"/>
                      <w:bCs/>
                      <w:color w:val="000000"/>
                      <w:kern w:val="2"/>
                      <w:sz w:val="21"/>
                      <w:szCs w:val="21"/>
                      <w:lang w:val="en-US" w:eastAsia="zh-CN" w:bidi="ar-SA"/>
                    </w:rPr>
                  </w:pPr>
                  <w:r>
                    <w:rPr>
                      <w:rFonts w:hint="default" w:ascii="Times New Roman" w:hAnsi="Times New Roman" w:cs="Times New Roman" w:eastAsiaTheme="minorEastAsia"/>
                      <w:b w:val="0"/>
                      <w:bCs/>
                      <w:color w:val="000000"/>
                      <w:sz w:val="21"/>
                      <w:szCs w:val="21"/>
                      <w:lang w:val="en-US" w:eastAsia="zh-CN"/>
                    </w:rPr>
                    <w:t>900-009-S59</w:t>
                  </w:r>
                </w:p>
              </w:tc>
              <w:tc>
                <w:tcPr>
                  <w:tcW w:w="35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0.05</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8</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废滤渣</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挤出</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固废</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SW59</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900-099-S59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9</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废滤网</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挤出</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固废</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SW59</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900-009-S59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0.5</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10</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废槽渣</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冷却</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一般固废</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固废</w:t>
                  </w:r>
                </w:p>
              </w:tc>
              <w:tc>
                <w:tcPr>
                  <w:tcW w:w="3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32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SW59</w:t>
                  </w:r>
                </w:p>
              </w:tc>
              <w:tc>
                <w:tcPr>
                  <w:tcW w:w="4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b w:val="0"/>
                      <w:bCs/>
                      <w:color w:val="000000"/>
                      <w:sz w:val="21"/>
                      <w:szCs w:val="21"/>
                      <w:lang w:val="en-US" w:eastAsia="zh-CN"/>
                    </w:rPr>
                  </w:pPr>
                  <w:r>
                    <w:rPr>
                      <w:rFonts w:hint="default" w:ascii="Times New Roman" w:hAnsi="Times New Roman" w:cs="Times New Roman" w:eastAsiaTheme="minorEastAsia"/>
                      <w:b w:val="0"/>
                      <w:bCs/>
                      <w:color w:val="000000"/>
                      <w:sz w:val="21"/>
                      <w:szCs w:val="21"/>
                      <w:lang w:val="en-US" w:eastAsia="zh-CN"/>
                    </w:rPr>
                    <w:t>900-099-S59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0.5</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11</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废活性炭</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废气处理</w:t>
                  </w:r>
                </w:p>
              </w:tc>
              <w:tc>
                <w:tcPr>
                  <w:tcW w:w="366" w:type="pct"/>
                  <w:vMerge w:val="restar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危险废物</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有机物</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rPr>
                    <w:t>T</w:t>
                  </w:r>
                </w:p>
              </w:tc>
              <w:tc>
                <w:tcPr>
                  <w:tcW w:w="321"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HW49</w:t>
                  </w:r>
                </w:p>
              </w:tc>
              <w:tc>
                <w:tcPr>
                  <w:tcW w:w="42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900-039-49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28.9305</w:t>
                  </w:r>
                </w:p>
              </w:tc>
              <w:tc>
                <w:tcPr>
                  <w:tcW w:w="292"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危废仓库分区贮存</w:t>
                  </w:r>
                </w:p>
              </w:tc>
              <w:tc>
                <w:tcPr>
                  <w:tcW w:w="713" w:type="pct"/>
                  <w:vMerge w:val="restar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委托有资质的单位处置</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28.9305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12</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eastAsia" w:ascii="Times New Roman" w:hAnsi="Times New Roman" w:cs="Times New Roman" w:eastAsiaTheme="minorEastAsia"/>
                      <w:color w:val="000000"/>
                      <w:kern w:val="0"/>
                      <w:sz w:val="21"/>
                      <w:szCs w:val="21"/>
                      <w:highlight w:val="none"/>
                      <w:lang w:val="en-US" w:eastAsia="zh-CN" w:bidi="ar-SA"/>
                    </w:rPr>
                    <w:t>废包装桶</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拆包</w:t>
                  </w:r>
                </w:p>
              </w:tc>
              <w:tc>
                <w:tcPr>
                  <w:tcW w:w="366" w:type="pct"/>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有机物</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rPr>
                  </w:pPr>
                  <w:r>
                    <w:rPr>
                      <w:rFonts w:hint="eastAsia" w:ascii="Times New Roman" w:hAnsi="Times New Roman" w:cs="Times New Roman" w:eastAsiaTheme="minorEastAsia"/>
                      <w:color w:val="000000"/>
                      <w:spacing w:val="4"/>
                      <w:kern w:val="18"/>
                      <w:sz w:val="21"/>
                      <w:szCs w:val="21"/>
                      <w:lang w:val="en-US" w:eastAsia="zh-CN"/>
                    </w:rPr>
                    <w:t>T/In</w:t>
                  </w:r>
                </w:p>
              </w:tc>
              <w:tc>
                <w:tcPr>
                  <w:tcW w:w="321"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eastAsia" w:ascii="Times New Roman" w:hAnsi="Times New Roman" w:cs="Times New Roman" w:eastAsiaTheme="minorEastAsia"/>
                      <w:color w:val="000000"/>
                      <w:spacing w:val="4"/>
                      <w:kern w:val="18"/>
                      <w:sz w:val="21"/>
                      <w:szCs w:val="21"/>
                      <w:lang w:val="en-US" w:eastAsia="zh-CN" w:bidi="ar-SA"/>
                    </w:rPr>
                    <w:t>HW49</w:t>
                  </w:r>
                </w:p>
              </w:tc>
              <w:tc>
                <w:tcPr>
                  <w:tcW w:w="42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eastAsia" w:ascii="Times New Roman" w:hAnsi="Times New Roman" w:cs="Times New Roman" w:eastAsiaTheme="minorEastAsia"/>
                      <w:color w:val="000000"/>
                      <w:spacing w:val="4"/>
                      <w:kern w:val="18"/>
                      <w:sz w:val="21"/>
                      <w:szCs w:val="21"/>
                      <w:lang w:val="en-US" w:eastAsia="zh-CN" w:bidi="ar-SA"/>
                    </w:rPr>
                    <w:t>900-041-49</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0.116</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eastAsia" w:ascii="Times New Roman" w:hAnsi="Times New Roman" w:cs="Times New Roman" w:eastAsiaTheme="minorEastAsia"/>
                      <w:b w:val="0"/>
                      <w:bCs/>
                      <w:color w:val="000000"/>
                      <w:kern w:val="2"/>
                      <w:sz w:val="21"/>
                      <w:szCs w:val="21"/>
                      <w:vertAlign w:val="baseline"/>
                      <w:lang w:val="en-US" w:eastAsia="zh-CN" w:bidi="ar-SA"/>
                    </w:rPr>
                    <w:t>0.116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13</w:t>
                  </w:r>
                </w:p>
              </w:tc>
              <w:tc>
                <w:tcPr>
                  <w:tcW w:w="461"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废润滑油</w:t>
                  </w:r>
                </w:p>
              </w:tc>
              <w:tc>
                <w:tcPr>
                  <w:tcW w:w="373"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设备维护</w:t>
                  </w:r>
                </w:p>
              </w:tc>
              <w:tc>
                <w:tcPr>
                  <w:tcW w:w="366" w:type="pct"/>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p>
              </w:tc>
              <w:tc>
                <w:tcPr>
                  <w:tcW w:w="52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矿物油</w:t>
                  </w:r>
                </w:p>
              </w:tc>
              <w:tc>
                <w:tcPr>
                  <w:tcW w:w="312"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液态</w:t>
                  </w:r>
                </w:p>
              </w:tc>
              <w:tc>
                <w:tcPr>
                  <w:tcW w:w="350"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T,I</w:t>
                  </w:r>
                </w:p>
              </w:tc>
              <w:tc>
                <w:tcPr>
                  <w:tcW w:w="321" w:type="pct"/>
                  <w:tcBorders>
                    <w:tl2br w:val="nil"/>
                    <w:tr2bl w:val="nil"/>
                  </w:tcBorders>
                  <w:shd w:val="clear" w:color="auto" w:fill="auto"/>
                  <w:noWrap w:val="0"/>
                  <w:vAlign w:val="center"/>
                </w:tcPr>
                <w:p>
                  <w:pPr>
                    <w:pStyle w:val="65"/>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HW08</w:t>
                  </w:r>
                </w:p>
              </w:tc>
              <w:tc>
                <w:tcPr>
                  <w:tcW w:w="424"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900-214-08</w:t>
                  </w:r>
                </w:p>
              </w:tc>
              <w:tc>
                <w:tcPr>
                  <w:tcW w:w="35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0.02</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14</w:t>
                  </w:r>
                </w:p>
              </w:tc>
              <w:tc>
                <w:tcPr>
                  <w:tcW w:w="461"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废润滑油桶</w:t>
                  </w:r>
                </w:p>
              </w:tc>
              <w:tc>
                <w:tcPr>
                  <w:tcW w:w="373"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设备维护</w:t>
                  </w:r>
                </w:p>
              </w:tc>
              <w:tc>
                <w:tcPr>
                  <w:tcW w:w="366" w:type="pct"/>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p>
              </w:tc>
              <w:tc>
                <w:tcPr>
                  <w:tcW w:w="52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矿物油</w:t>
                  </w:r>
                </w:p>
              </w:tc>
              <w:tc>
                <w:tcPr>
                  <w:tcW w:w="312"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固态</w:t>
                  </w:r>
                </w:p>
              </w:tc>
              <w:tc>
                <w:tcPr>
                  <w:tcW w:w="350"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T,I</w:t>
                  </w:r>
                </w:p>
              </w:tc>
              <w:tc>
                <w:tcPr>
                  <w:tcW w:w="321" w:type="pct"/>
                  <w:tcBorders>
                    <w:tl2br w:val="nil"/>
                    <w:tr2bl w:val="nil"/>
                  </w:tcBorders>
                  <w:shd w:val="clear" w:color="auto" w:fill="auto"/>
                  <w:noWrap w:val="0"/>
                  <w:vAlign w:val="center"/>
                </w:tcPr>
                <w:p>
                  <w:pPr>
                    <w:pStyle w:val="65"/>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HW08</w:t>
                  </w:r>
                </w:p>
              </w:tc>
              <w:tc>
                <w:tcPr>
                  <w:tcW w:w="424"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900-249-08</w:t>
                  </w:r>
                </w:p>
              </w:tc>
              <w:tc>
                <w:tcPr>
                  <w:tcW w:w="35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0.002</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shd w:val="clear" w:color="auto" w:fill="auto"/>
                  <w:noWrap w:val="0"/>
                  <w:vAlign w:val="center"/>
                </w:tcPr>
                <w:p>
                  <w:pPr>
                    <w:pStyle w:val="65"/>
                    <w:keepNext w:val="0"/>
                    <w:keepLines w:val="0"/>
                    <w:suppressLineNumbers w:val="0"/>
                    <w:spacing w:before="100" w:beforeAutospacing="1" w:after="100" w:afterAutospacing="1" w:line="320" w:lineRule="exact"/>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15</w:t>
                  </w:r>
                </w:p>
              </w:tc>
              <w:tc>
                <w:tcPr>
                  <w:tcW w:w="461"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空压机含油废水</w:t>
                  </w:r>
                </w:p>
              </w:tc>
              <w:tc>
                <w:tcPr>
                  <w:tcW w:w="373"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辅助生产</w:t>
                  </w:r>
                </w:p>
              </w:tc>
              <w:tc>
                <w:tcPr>
                  <w:tcW w:w="366" w:type="pct"/>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p>
              </w:tc>
              <w:tc>
                <w:tcPr>
                  <w:tcW w:w="52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矿物油、水</w:t>
                  </w:r>
                </w:p>
              </w:tc>
              <w:tc>
                <w:tcPr>
                  <w:tcW w:w="312" w:type="pct"/>
                  <w:tcBorders>
                    <w:tl2br w:val="nil"/>
                    <w:tr2bl w:val="nil"/>
                  </w:tcBorders>
                  <w:shd w:val="clear" w:color="auto" w:fill="auto"/>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液态</w:t>
                  </w:r>
                </w:p>
              </w:tc>
              <w:tc>
                <w:tcPr>
                  <w:tcW w:w="350"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rPr>
                    <w:t>T</w:t>
                  </w:r>
                </w:p>
              </w:tc>
              <w:tc>
                <w:tcPr>
                  <w:tcW w:w="321" w:type="pct"/>
                  <w:tcBorders>
                    <w:tl2br w:val="nil"/>
                    <w:tr2bl w:val="nil"/>
                  </w:tcBorders>
                  <w:shd w:val="clear" w:color="auto" w:fill="auto"/>
                  <w:noWrap w:val="0"/>
                  <w:vAlign w:val="center"/>
                </w:tcPr>
                <w:p>
                  <w:pPr>
                    <w:pStyle w:val="65"/>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HW09</w:t>
                  </w:r>
                </w:p>
              </w:tc>
              <w:tc>
                <w:tcPr>
                  <w:tcW w:w="424" w:type="pct"/>
                  <w:tcBorders>
                    <w:tl2br w:val="nil"/>
                    <w:tr2bl w:val="nil"/>
                  </w:tcBorders>
                  <w:shd w:val="clear" w:color="auto" w:fill="auto"/>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900-005-09</w:t>
                  </w:r>
                </w:p>
              </w:tc>
              <w:tc>
                <w:tcPr>
                  <w:tcW w:w="35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2.592</w:t>
                  </w:r>
                </w:p>
              </w:tc>
              <w:tc>
                <w:tcPr>
                  <w:tcW w:w="292"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713" w:type="pct"/>
                  <w:vMerge w:val="continue"/>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2.592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0" w:type="pct"/>
                  <w:tcBorders>
                    <w:tl2br w:val="nil"/>
                    <w:tr2bl w:val="nil"/>
                  </w:tcBorders>
                  <w:noWrap w:val="0"/>
                  <w:vAlign w:val="center"/>
                </w:tcPr>
                <w:p>
                  <w:pPr>
                    <w:pStyle w:val="65"/>
                    <w:keepNext w:val="0"/>
                    <w:keepLines w:val="0"/>
                    <w:suppressLineNumbers w:val="0"/>
                    <w:spacing w:before="100" w:beforeAutospacing="1" w:after="100" w:afterAutospacing="1" w:line="320" w:lineRule="exact"/>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16</w:t>
                  </w:r>
                </w:p>
              </w:tc>
              <w:tc>
                <w:tcPr>
                  <w:tcW w:w="461"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生活垃圾</w:t>
                  </w:r>
                </w:p>
              </w:tc>
              <w:tc>
                <w:tcPr>
                  <w:tcW w:w="3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职工生活</w:t>
                  </w:r>
                </w:p>
              </w:tc>
              <w:tc>
                <w:tcPr>
                  <w:tcW w:w="366"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SA"/>
                    </w:rPr>
                    <w:t>生活垃圾</w:t>
                  </w:r>
                </w:p>
              </w:tc>
              <w:tc>
                <w:tcPr>
                  <w:tcW w:w="52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瓜皮纸屑等</w:t>
                  </w:r>
                </w:p>
              </w:tc>
              <w:tc>
                <w:tcPr>
                  <w:tcW w:w="312"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 xml:space="preserve">固态 </w:t>
                  </w:r>
                </w:p>
              </w:tc>
              <w:tc>
                <w:tcPr>
                  <w:tcW w:w="35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rPr>
                  </w:pPr>
                  <w:r>
                    <w:rPr>
                      <w:rFonts w:hint="default" w:ascii="Times New Roman" w:hAnsi="Times New Roman" w:cs="Times New Roman" w:eastAsiaTheme="minorEastAsia"/>
                      <w:color w:val="000000"/>
                      <w:spacing w:val="4"/>
                      <w:kern w:val="18"/>
                      <w:sz w:val="21"/>
                      <w:szCs w:val="21"/>
                      <w:lang w:val="en-US" w:eastAsia="zh-CN"/>
                    </w:rPr>
                    <w:t>/</w:t>
                  </w:r>
                </w:p>
              </w:tc>
              <w:tc>
                <w:tcPr>
                  <w:tcW w:w="321" w:type="pct"/>
                  <w:tcBorders>
                    <w:tl2br w:val="nil"/>
                    <w:tr2bl w:val="nil"/>
                  </w:tcBorders>
                  <w:noWrap w:val="0"/>
                  <w:vAlign w:val="center"/>
                </w:tcPr>
                <w:p>
                  <w:pPr>
                    <w:pStyle w:val="6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SW64</w:t>
                  </w:r>
                </w:p>
              </w:tc>
              <w:tc>
                <w:tcPr>
                  <w:tcW w:w="424"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000000"/>
                      <w:spacing w:val="4"/>
                      <w:kern w:val="18"/>
                      <w:sz w:val="21"/>
                      <w:szCs w:val="21"/>
                      <w:lang w:val="en-US" w:eastAsia="zh-CN" w:bidi="ar-SA"/>
                    </w:rPr>
                  </w:pPr>
                  <w:r>
                    <w:rPr>
                      <w:rFonts w:hint="default" w:ascii="Times New Roman" w:hAnsi="Times New Roman" w:cs="Times New Roman" w:eastAsiaTheme="minorEastAsia"/>
                      <w:color w:val="000000"/>
                      <w:spacing w:val="4"/>
                      <w:kern w:val="18"/>
                      <w:sz w:val="21"/>
                      <w:szCs w:val="21"/>
                      <w:lang w:val="en-US" w:eastAsia="zh-CN" w:bidi="ar-SA"/>
                    </w:rPr>
                    <w:t>900-099-S64</w:t>
                  </w:r>
                </w:p>
              </w:tc>
              <w:tc>
                <w:tcPr>
                  <w:tcW w:w="35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9</w:t>
                  </w:r>
                </w:p>
              </w:tc>
              <w:tc>
                <w:tcPr>
                  <w:tcW w:w="292"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sz w:val="21"/>
                      <w:szCs w:val="21"/>
                      <w:vertAlign w:val="baseline"/>
                      <w:lang w:val="en-US" w:eastAsia="zh-CN"/>
                    </w:rPr>
                    <w:t>/</w:t>
                  </w:r>
                </w:p>
              </w:tc>
              <w:tc>
                <w:tcPr>
                  <w:tcW w:w="713" w:type="pct"/>
                  <w:tcBorders>
                    <w:tl2br w:val="nil"/>
                    <w:tr2bl w:val="nil"/>
                  </w:tcBorders>
                  <w:noWrap w:val="0"/>
                  <w:vAlign w:val="center"/>
                </w:tcPr>
                <w:p>
                  <w:pPr>
                    <w:pStyle w:val="48"/>
                    <w:keepNext w:val="0"/>
                    <w:keepLines w:val="0"/>
                    <w:pageBreakBefore w:val="0"/>
                    <w:widowControl/>
                    <w:suppressLineNumbers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cs="Times New Roman" w:eastAsiaTheme="minorEastAsia"/>
                      <w:b w:val="0"/>
                      <w:bCs/>
                      <w:color w:val="000000"/>
                      <w:sz w:val="21"/>
                      <w:szCs w:val="21"/>
                      <w:vertAlign w:val="baseline"/>
                      <w:lang w:val="en-US" w:eastAsia="zh-CN"/>
                    </w:rPr>
                  </w:pPr>
                  <w:r>
                    <w:rPr>
                      <w:rFonts w:hint="default" w:ascii="Times New Roman" w:hAnsi="Times New Roman" w:cs="Times New Roman" w:eastAsiaTheme="minorEastAsia"/>
                      <w:b w:val="0"/>
                      <w:bCs/>
                      <w:color w:val="000000"/>
                      <w:kern w:val="2"/>
                      <w:sz w:val="21"/>
                      <w:szCs w:val="21"/>
                      <w:vertAlign w:val="baseline"/>
                      <w:lang w:val="en-US" w:eastAsia="zh-CN" w:bidi="ar-SA"/>
                    </w:rPr>
                    <w:t>环卫清运</w:t>
                  </w:r>
                </w:p>
              </w:tc>
              <w:tc>
                <w:tcPr>
                  <w:tcW w:w="3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color w:val="000000"/>
                      <w:kern w:val="2"/>
                      <w:sz w:val="21"/>
                      <w:szCs w:val="21"/>
                      <w:vertAlign w:val="baseline"/>
                      <w:lang w:val="en-US" w:eastAsia="zh-CN" w:bidi="ar-SA"/>
                    </w:rPr>
                  </w:pPr>
                  <w:r>
                    <w:rPr>
                      <w:rFonts w:hint="default" w:ascii="Times New Roman" w:hAnsi="Times New Roman" w:cs="Times New Roman" w:eastAsiaTheme="minorEastAsia"/>
                      <w:b w:val="0"/>
                      <w:bCs/>
                      <w:color w:val="000000"/>
                      <w:kern w:val="2"/>
                      <w:sz w:val="21"/>
                      <w:szCs w:val="21"/>
                      <w:vertAlign w:val="baseline"/>
                      <w:lang w:val="en-US" w:eastAsia="zh-CN" w:bidi="ar-SA"/>
                    </w:rPr>
                    <w:t>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4"/>
                <w:szCs w:val="24"/>
                <w:lang w:val="en-US" w:eastAsia="zh-CN"/>
              </w:rPr>
              <w:t>从项目采用的固废利用及处置方式来分析，对产生的各类固废按其性质分类分区收集和暂存，并均能得到有效利用或妥善处置。在严格管理下，本项目的固体废物对周围环境不会产生二次污染。</w:t>
            </w:r>
          </w:p>
        </w:tc>
      </w:tr>
    </w:tbl>
    <w:p>
      <w:pPr>
        <w:rPr>
          <w:rFonts w:hint="default" w:ascii="Times New Roman" w:hAnsi="Times New Roman" w:cs="Times New Roman"/>
          <w:color w:val="000000"/>
        </w:rPr>
        <w:sectPr>
          <w:pgSz w:w="16838" w:h="11906"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6"/>
        <w:tblW w:w="49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0"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auto"/>
                <w:szCs w:val="21"/>
              </w:rPr>
            </w:pPr>
            <w:r>
              <w:rPr>
                <w:rFonts w:hint="default" w:ascii="Times New Roman" w:hAnsi="Times New Roman" w:cs="Times New Roman" w:eastAsiaTheme="minorEastAsia"/>
                <w:b/>
                <w:bCs w:val="0"/>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auto"/>
                <w:szCs w:val="21"/>
              </w:rPr>
            </w:pPr>
            <w:r>
              <w:rPr>
                <w:rFonts w:hint="default" w:ascii="Times New Roman" w:hAnsi="Times New Roman" w:cs="Times New Roman" w:eastAsiaTheme="minorEastAsia"/>
                <w:b/>
                <w:bCs w:val="0"/>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auto"/>
                <w:szCs w:val="21"/>
              </w:rPr>
            </w:pPr>
            <w:r>
              <w:rPr>
                <w:rFonts w:hint="default" w:ascii="Times New Roman" w:hAnsi="Times New Roman" w:cs="Times New Roman" w:eastAsiaTheme="minorEastAsia"/>
                <w:b/>
                <w:bCs w:val="0"/>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auto"/>
                <w:szCs w:val="21"/>
              </w:rPr>
            </w:pPr>
            <w:r>
              <w:rPr>
                <w:rFonts w:hint="default" w:ascii="Times New Roman" w:hAnsi="Times New Roman" w:cs="Times New Roman" w:eastAsiaTheme="minorEastAsia"/>
                <w:b/>
                <w:bCs w:val="0"/>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val="0"/>
                <w:color w:val="auto"/>
                <w:szCs w:val="21"/>
              </w:rPr>
            </w:pPr>
            <w:r>
              <w:rPr>
                <w:rFonts w:hint="default" w:ascii="Times New Roman" w:hAnsi="Times New Roman" w:cs="Times New Roman" w:eastAsiaTheme="minorEastAsia"/>
                <w:b/>
                <w:bCs w:val="0"/>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Cs w:val="21"/>
              </w:rPr>
            </w:pPr>
            <w:r>
              <w:rPr>
                <w:rFonts w:hint="default" w:ascii="Times New Roman" w:hAnsi="Times New Roman" w:cs="Times New Roman" w:eastAsiaTheme="minorEastAsia"/>
                <w:b/>
                <w:bCs w:val="0"/>
                <w:color w:val="auto"/>
                <w:szCs w:val="21"/>
              </w:rPr>
              <w:t>措施</w:t>
            </w:r>
          </w:p>
        </w:tc>
        <w:tc>
          <w:tcPr>
            <w:tcW w:w="4649" w:type="pct"/>
            <w:noWrap w:val="0"/>
            <w:vAlign w:val="center"/>
          </w:tcPr>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（3）环境管理要求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①一般工业固体废物贮存场所（设施）影响分析</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本项目新建一座20m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的一般工业固废库，一般固废堆场应按照《一般工业固体废物贮存和填埋污染控制标准》（GB 18599-2020）要求建设，对一般固废堆放区地面进行了硬化，并做好防腐、防渗和防漏处理，制定了“一般固废仓库管理制度”“一般工业固废处置管理规定”，由专人维护。</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（1）废包装袋：本项目废包装袋产生量约9.6t/a，每季度清理一次，室内堆放，所需面积约3平方米；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（2）废PE膜：本项目废PE膜产生量约3.5t/a，每季度清理一次，室内堆放，所需面积约1平方米；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（3）碎屑：本项目碎屑产生量约10t/a。每季度清理一次，室内堆放，所需面积约3平方米；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（4）集尘灰，本项目集尘灰产生量约0.0769t/a。每年清理一次，室内堆放，所需面积约0.5平方米；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（5）废布袋：本项目废布袋产生量约0.05t/a，每年清理一次，采用吨包叠放存储，所需面积约0.5平方米；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（6）废滤渣：本项目废滤渣产生量约2t/a，每半年清理一次，采用吨包叠放存储，所需面积约1平方米；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（7）废滤网：本项目废滤网产生量约0.5t/a，每年清理一次，采用吨包叠放存储，所需面积约1平方米；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（8）废槽渣：本项目废槽渣产生量约0.5t/a，每半年清理一次，采用吨桶存储，所需面积约1平方米。</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综上，全厂一般固废共需要11m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的面积用于一般固废暂存，新建一座20m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的一般工业固废库可行。</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一般工业固体废物贮存设施警示标识牌如下：</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表4-</w:t>
            </w:r>
            <w:r>
              <w:rPr>
                <w:rFonts w:hint="eastAsia" w:ascii="Times New Roman" w:hAnsi="Times New Roman" w:cs="Times New Roman" w:eastAsiaTheme="minorEastAsia"/>
                <w:b/>
                <w:bCs/>
                <w:color w:val="auto"/>
                <w:sz w:val="24"/>
                <w:szCs w:val="24"/>
                <w:lang w:val="en-US" w:eastAsia="zh-CN"/>
              </w:rPr>
              <w:t>31</w:t>
            </w:r>
            <w:r>
              <w:rPr>
                <w:rFonts w:hint="default" w:ascii="Times New Roman" w:hAnsi="Times New Roman" w:cs="Times New Roman" w:eastAsiaTheme="minorEastAsia"/>
                <w:b/>
                <w:bCs/>
                <w:color w:val="auto"/>
                <w:sz w:val="24"/>
                <w:szCs w:val="24"/>
                <w:lang w:val="en-US" w:eastAsia="zh-CN"/>
              </w:rPr>
              <w:t xml:space="preserve"> 一般工业固体废物贮存设施警示标识牌</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328"/>
              <w:gridCol w:w="1139"/>
              <w:gridCol w:w="957"/>
              <w:gridCol w:w="1062"/>
              <w:gridCol w:w="2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排放口名称</w:t>
                  </w:r>
                </w:p>
              </w:tc>
              <w:tc>
                <w:tcPr>
                  <w:tcW w:w="8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图形标志</w:t>
                  </w:r>
                </w:p>
              </w:tc>
              <w:tc>
                <w:tcPr>
                  <w:tcW w:w="716"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形状</w:t>
                  </w:r>
                </w:p>
              </w:tc>
              <w:tc>
                <w:tcPr>
                  <w:tcW w:w="60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背景</w:t>
                  </w:r>
                </w:p>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颜色</w:t>
                  </w:r>
                </w:p>
              </w:tc>
              <w:tc>
                <w:tcPr>
                  <w:tcW w:w="668"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图形颜色</w:t>
                  </w:r>
                </w:p>
              </w:tc>
              <w:tc>
                <w:tcPr>
                  <w:tcW w:w="137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一般固废暂存场所</w:t>
                  </w:r>
                </w:p>
              </w:tc>
              <w:tc>
                <w:tcPr>
                  <w:tcW w:w="8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提示标志</w:t>
                  </w:r>
                </w:p>
              </w:tc>
              <w:tc>
                <w:tcPr>
                  <w:tcW w:w="716"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70</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0"/>
                      <w:sz w:val="21"/>
                      <w:szCs w:val="21"/>
                    </w:rPr>
                    <w:t>50cm</w:t>
                  </w:r>
                </w:p>
              </w:tc>
              <w:tc>
                <w:tcPr>
                  <w:tcW w:w="60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绿色</w:t>
                  </w:r>
                </w:p>
              </w:tc>
              <w:tc>
                <w:tcPr>
                  <w:tcW w:w="668"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白色</w:t>
                  </w:r>
                </w:p>
              </w:tc>
              <w:tc>
                <w:tcPr>
                  <w:tcW w:w="137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drawing>
                      <wp:inline distT="0" distB="0" distL="114300" distR="114300">
                        <wp:extent cx="952500" cy="671830"/>
                        <wp:effectExtent l="0" t="0" r="0" b="1397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22"/>
                                <a:stretch>
                                  <a:fillRect/>
                                </a:stretch>
                              </pic:blipFill>
                              <pic:spPr>
                                <a:xfrm>
                                  <a:off x="0" y="0"/>
                                  <a:ext cx="952500" cy="671830"/>
                                </a:xfrm>
                                <a:prstGeom prst="rect">
                                  <a:avLst/>
                                </a:prstGeom>
                                <a:noFill/>
                                <a:ln>
                                  <a:noFill/>
                                </a:ln>
                              </pic:spPr>
                            </pic:pic>
                          </a:graphicData>
                        </a:graphic>
                      </wp:inline>
                    </w:drawing>
                  </w:r>
                </w:p>
              </w:tc>
            </w:tr>
          </w:tbl>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②危险废物贮存场所（设施）环境影响分析</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企业需严格按照《环境保护图形标志-固体废物贮存（处置）场》及修改单和《危险废物识别标志设置技术规范》（HJ 1276-2022）设置标志，配备通讯设备、照明设施和消防设施；在出入口、设施内部、危险废物运输车辆通道等关键位置按照危险废物贮存设施视频监控布设要求设置视频监控。</w:t>
            </w:r>
          </w:p>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项目产生的废物应分区、分类收集、分类贮存，并张贴标签储存在专门的场所内，一般固废、生活垃圾、危险废物分开，不得混放。危废定期周转，危废仓库按照《危险废物贮存污染控制标准》（GB 18597-2023）要求设置，设有防渗漏、防雨淋、防扬散措施，并设置危险废物标识和警示牌。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Cs/>
                <w:color w:val="auto"/>
                <w:sz w:val="24"/>
                <w:szCs w:val="24"/>
              </w:rPr>
              <w:t>废活性炭：采用密封袋贮存，且用缠绕膜包裹，每3个月转运一次，每次约</w:t>
            </w:r>
            <w:r>
              <w:rPr>
                <w:rFonts w:hint="default" w:ascii="Times New Roman" w:hAnsi="Times New Roman" w:cs="Times New Roman" w:eastAsiaTheme="minorEastAsia"/>
                <w:bCs/>
                <w:color w:val="auto"/>
                <w:sz w:val="24"/>
                <w:szCs w:val="24"/>
                <w:lang w:val="en-US" w:eastAsia="zh-CN"/>
              </w:rPr>
              <w:t>8</w:t>
            </w:r>
            <w:r>
              <w:rPr>
                <w:rFonts w:hint="default" w:ascii="Times New Roman" w:hAnsi="Times New Roman" w:cs="Times New Roman" w:eastAsiaTheme="minorEastAsia"/>
                <w:bCs/>
                <w:color w:val="auto"/>
                <w:sz w:val="24"/>
                <w:szCs w:val="24"/>
              </w:rPr>
              <w:t>个吨袋，每个吨袋占地约1.5m</w:t>
            </w:r>
            <w:r>
              <w:rPr>
                <w:rFonts w:hint="default" w:ascii="Times New Roman" w:hAnsi="Times New Roman" w:cs="Times New Roman" w:eastAsiaTheme="minorEastAsia"/>
                <w:bCs/>
                <w:color w:val="auto"/>
                <w:sz w:val="24"/>
                <w:szCs w:val="24"/>
                <w:vertAlign w:val="superscript"/>
              </w:rPr>
              <w:t>2</w:t>
            </w:r>
            <w:r>
              <w:rPr>
                <w:rFonts w:hint="default" w:ascii="Times New Roman" w:hAnsi="Times New Roman" w:cs="Times New Roman" w:eastAsiaTheme="minorEastAsia"/>
                <w:bCs/>
                <w:color w:val="auto"/>
                <w:sz w:val="24"/>
                <w:szCs w:val="24"/>
              </w:rPr>
              <w:t>，废活性炭设置贮存区面积约</w:t>
            </w:r>
            <w:r>
              <w:rPr>
                <w:rFonts w:hint="default" w:ascii="Times New Roman" w:hAnsi="Times New Roman" w:cs="Times New Roman" w:eastAsiaTheme="minorEastAsia"/>
                <w:bCs/>
                <w:color w:val="auto"/>
                <w:sz w:val="24"/>
                <w:szCs w:val="24"/>
                <w:lang w:val="en-US" w:eastAsia="zh-CN"/>
              </w:rPr>
              <w:t>12</w:t>
            </w:r>
            <w:r>
              <w:rPr>
                <w:rFonts w:hint="default" w:ascii="Times New Roman" w:hAnsi="Times New Roman" w:cs="Times New Roman" w:eastAsiaTheme="minorEastAsia"/>
                <w:bCs/>
                <w:color w:val="auto"/>
                <w:sz w:val="24"/>
                <w:szCs w:val="24"/>
              </w:rPr>
              <w:t>m</w:t>
            </w:r>
            <w:r>
              <w:rPr>
                <w:rFonts w:hint="default" w:ascii="Times New Roman" w:hAnsi="Times New Roman" w:cs="Times New Roman" w:eastAsiaTheme="minorEastAsia"/>
                <w:bCs/>
                <w:color w:val="auto"/>
                <w:sz w:val="24"/>
                <w:szCs w:val="24"/>
                <w:vertAlign w:val="superscript"/>
              </w:rPr>
              <w:t>2</w:t>
            </w:r>
            <w:r>
              <w:rPr>
                <w:rFonts w:hint="default" w:ascii="Times New Roman" w:hAnsi="Times New Roman" w:cs="Times New Roman" w:eastAsiaTheme="minorEastAsia"/>
                <w:bCs/>
                <w:color w:val="auto"/>
                <w:sz w:val="24"/>
                <w:szCs w:val="24"/>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废包装桶：废包装桶加盖密封后码放。地步设托盘，每季度转运一次，废包装桶设置贮存面积约1m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废润滑油：采用密封桶贮存，且用缠绕膜包裹，每年转运一次，每次约1个密封桶，每个密封桶占地约0.1m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，废润滑油设置贮存区面积约1m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vertAlign w:val="baseli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废润滑油桶：废润滑油桶加盖密封后码放，底部设托盘，每年转运一次，废润滑油桶设置贮存区面积约1m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空压机含油废水：采用密封吨桶贮存，且用缠绕膜包裹，每年转运一次，每次约3个吨桶，每个吨桶占地约1m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lang w:val="en-US" w:eastAsia="zh-CN"/>
              </w:rPr>
              <w:t>，空压机含油废水设置贮存区面积约3m</w:t>
            </w:r>
            <w:r>
              <w:rPr>
                <w:rFonts w:hint="default" w:ascii="Times New Roman" w:hAnsi="Times New Roman" w:cs="Times New Roman" w:eastAsiaTheme="minorEastAsia"/>
                <w:b w:val="0"/>
                <w:bCs w:val="0"/>
                <w:color w:val="auto"/>
                <w:sz w:val="24"/>
                <w:szCs w:val="24"/>
                <w:vertAlign w:val="superscript"/>
                <w:lang w:val="en-US" w:eastAsia="zh-CN"/>
              </w:rPr>
              <w:t>2</w:t>
            </w:r>
            <w:r>
              <w:rPr>
                <w:rFonts w:hint="default" w:ascii="Times New Roman" w:hAnsi="Times New Roman" w:cs="Times New Roman" w:eastAsiaTheme="minorEastAsia"/>
                <w:b w:val="0"/>
                <w:bCs w:val="0"/>
                <w:color w:val="auto"/>
                <w:sz w:val="24"/>
                <w:szCs w:val="24"/>
                <w:vertAlign w:val="baseline"/>
                <w:lang w:val="en-US"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根据上述分析，各类危险废物所需面积约18m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lang w:val="en-US" w:eastAsia="zh-CN"/>
              </w:rPr>
              <w:t>，本项目拟设置30m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b w:val="0"/>
                <w:bCs w:val="0"/>
                <w:color w:val="auto"/>
                <w:sz w:val="24"/>
                <w:szCs w:val="24"/>
                <w:vertAlign w:val="baseline"/>
                <w:lang w:val="en-US" w:eastAsia="zh-CN"/>
              </w:rPr>
              <w:t>的危废仓库，可以满足本项目危险废物暂存量需求。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b w:val="0"/>
                <w:bCs w:val="0"/>
                <w:color w:val="auto"/>
                <w:sz w:val="24"/>
                <w:szCs w:val="24"/>
                <w:lang w:val="en-US" w:eastAsia="zh-CN"/>
              </w:rPr>
              <w:t>本项目</w:t>
            </w:r>
            <w:r>
              <w:rPr>
                <w:rFonts w:hint="default" w:ascii="Times New Roman" w:hAnsi="Times New Roman" w:cs="Times New Roman" w:eastAsiaTheme="minorEastAsia"/>
                <w:color w:val="auto"/>
                <w:kern w:val="0"/>
                <w:sz w:val="24"/>
                <w:szCs w:val="24"/>
              </w:rPr>
              <w:t>危废拟分类存放、贮存，不相容的危险废物除分类存放，拟设置隔离间隔断。危险废物贮存仓库面积具体见表</w:t>
            </w:r>
            <w:r>
              <w:rPr>
                <w:rFonts w:hint="default" w:ascii="Times New Roman" w:hAnsi="Times New Roman" w:cs="Times New Roman" w:eastAsiaTheme="minorEastAsia"/>
                <w:color w:val="auto"/>
                <w:kern w:val="0"/>
                <w:sz w:val="24"/>
                <w:szCs w:val="24"/>
                <w:lang w:val="en-US" w:eastAsia="zh-CN"/>
              </w:rPr>
              <w:t>4-</w:t>
            </w:r>
            <w:r>
              <w:rPr>
                <w:rFonts w:hint="eastAsia" w:ascii="Times New Roman" w:hAnsi="Times New Roman" w:cs="Times New Roman" w:eastAsiaTheme="minorEastAsia"/>
                <w:color w:val="auto"/>
                <w:kern w:val="0"/>
                <w:sz w:val="24"/>
                <w:szCs w:val="24"/>
                <w:lang w:val="en-US" w:eastAsia="zh-CN"/>
              </w:rPr>
              <w:t>32</w:t>
            </w:r>
            <w:r>
              <w:rPr>
                <w:rFonts w:hint="default" w:ascii="Times New Roman" w:hAnsi="Times New Roman" w:cs="Times New Roman" w:eastAsiaTheme="minorEastAsia"/>
                <w:color w:val="auto"/>
                <w:kern w:val="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4-</w:t>
            </w:r>
            <w:r>
              <w:rPr>
                <w:rFonts w:hint="eastAsia" w:ascii="Times New Roman" w:hAnsi="Times New Roman" w:cs="Times New Roman" w:eastAsiaTheme="minorEastAsia"/>
                <w:b/>
                <w:bCs/>
                <w:color w:val="auto"/>
                <w:sz w:val="24"/>
                <w:szCs w:val="24"/>
                <w:lang w:val="en-US" w:eastAsia="zh-CN"/>
              </w:rPr>
              <w:t>32</w:t>
            </w:r>
            <w:r>
              <w:rPr>
                <w:rFonts w:hint="default" w:ascii="Times New Roman" w:hAnsi="Times New Roman" w:cs="Times New Roman" w:eastAsiaTheme="minorEastAsia"/>
                <w:b/>
                <w:bCs/>
                <w:color w:val="auto"/>
                <w:sz w:val="24"/>
                <w:szCs w:val="24"/>
              </w:rPr>
              <w:t xml:space="preserve"> 本项目危险废物贮存场所（设施）基本情况表</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28"/>
              <w:gridCol w:w="1150"/>
              <w:gridCol w:w="776"/>
              <w:gridCol w:w="994"/>
              <w:gridCol w:w="477"/>
              <w:gridCol w:w="681"/>
              <w:gridCol w:w="571"/>
              <w:gridCol w:w="606"/>
              <w:gridCol w:w="537"/>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58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贮存场所（设施）</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名称</w:t>
                  </w:r>
                </w:p>
              </w:tc>
              <w:tc>
                <w:tcPr>
                  <w:tcW w:w="7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危险废物名称</w:t>
                  </w:r>
                </w:p>
              </w:tc>
              <w:tc>
                <w:tcPr>
                  <w:tcW w:w="48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危险废物类别</w:t>
                  </w:r>
                </w:p>
              </w:tc>
              <w:tc>
                <w:tcPr>
                  <w:tcW w:w="625"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危险废物代码</w:t>
                  </w:r>
                </w:p>
              </w:tc>
              <w:tc>
                <w:tcPr>
                  <w:tcW w:w="300"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位置</w:t>
                  </w: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所需面积</w:t>
                  </w:r>
                </w:p>
              </w:tc>
              <w:tc>
                <w:tcPr>
                  <w:tcW w:w="359"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占地面积</w:t>
                  </w:r>
                </w:p>
              </w:tc>
              <w:tc>
                <w:tcPr>
                  <w:tcW w:w="38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贮存方式</w:t>
                  </w:r>
                </w:p>
              </w:tc>
              <w:tc>
                <w:tcPr>
                  <w:tcW w:w="337"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贮存</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能力</w:t>
                  </w: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贮存</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583"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危废库</w:t>
                  </w:r>
                </w:p>
              </w:tc>
              <w:tc>
                <w:tcPr>
                  <w:tcW w:w="723"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废活性炭</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HW49</w:t>
                  </w:r>
                </w:p>
              </w:tc>
              <w:tc>
                <w:tcPr>
                  <w:tcW w:w="6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900-039-49</w:t>
                  </w:r>
                </w:p>
              </w:tc>
              <w:tc>
                <w:tcPr>
                  <w:tcW w:w="300"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危废库</w:t>
                  </w: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2</w:t>
                  </w:r>
                </w:p>
              </w:tc>
              <w:tc>
                <w:tcPr>
                  <w:tcW w:w="359"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30m</w:t>
                  </w:r>
                  <w:r>
                    <w:rPr>
                      <w:rFonts w:hint="default" w:ascii="Times New Roman" w:hAnsi="Times New Roman" w:cs="Times New Roman" w:eastAsiaTheme="minorEastAsia"/>
                      <w:color w:val="auto"/>
                      <w:sz w:val="21"/>
                      <w:szCs w:val="21"/>
                      <w:vertAlign w:val="superscript"/>
                      <w:lang w:val="en-US" w:eastAsia="zh-CN"/>
                    </w:rPr>
                    <w:t>2</w:t>
                  </w:r>
                </w:p>
              </w:tc>
              <w:tc>
                <w:tcPr>
                  <w:tcW w:w="381"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分区贮存</w:t>
                  </w:r>
                </w:p>
              </w:tc>
              <w:tc>
                <w:tcPr>
                  <w:tcW w:w="337"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p>
              </w:tc>
              <w:tc>
                <w:tcPr>
                  <w:tcW w:w="583"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p>
              </w:tc>
              <w:tc>
                <w:tcPr>
                  <w:tcW w:w="723"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废包装桶</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HW49</w:t>
                  </w:r>
                </w:p>
              </w:tc>
              <w:tc>
                <w:tcPr>
                  <w:tcW w:w="6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900-041-49</w:t>
                  </w:r>
                </w:p>
              </w:tc>
              <w:tc>
                <w:tcPr>
                  <w:tcW w:w="300"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1m</w:t>
                  </w:r>
                  <w:r>
                    <w:rPr>
                      <w:rFonts w:hint="eastAsia" w:ascii="Times New Roman" w:hAnsi="Times New Roman" w:cs="Times New Roman" w:eastAsiaTheme="minorEastAsia"/>
                      <w:color w:val="auto"/>
                      <w:sz w:val="21"/>
                      <w:szCs w:val="21"/>
                      <w:vertAlign w:val="superscript"/>
                      <w:lang w:val="en-US" w:eastAsia="zh-CN"/>
                    </w:rPr>
                    <w:t>2</w:t>
                  </w:r>
                </w:p>
              </w:tc>
              <w:tc>
                <w:tcPr>
                  <w:tcW w:w="359"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81"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37"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83"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p>
              </w:tc>
              <w:tc>
                <w:tcPr>
                  <w:tcW w:w="723"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废润滑油</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HW08</w:t>
                  </w:r>
                </w:p>
              </w:tc>
              <w:tc>
                <w:tcPr>
                  <w:tcW w:w="6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900-214-08</w:t>
                  </w:r>
                </w:p>
              </w:tc>
              <w:tc>
                <w:tcPr>
                  <w:tcW w:w="300"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1m</w:t>
                  </w:r>
                  <w:r>
                    <w:rPr>
                      <w:rFonts w:hint="default" w:ascii="Times New Roman" w:hAnsi="Times New Roman" w:cs="Times New Roman" w:eastAsiaTheme="minorEastAsia"/>
                      <w:color w:val="auto"/>
                      <w:sz w:val="21"/>
                      <w:szCs w:val="21"/>
                      <w:vertAlign w:val="superscript"/>
                      <w:lang w:val="en-US" w:eastAsia="zh-CN"/>
                    </w:rPr>
                    <w:t>2</w:t>
                  </w:r>
                </w:p>
              </w:tc>
              <w:tc>
                <w:tcPr>
                  <w:tcW w:w="359"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81"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37"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83"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p>
              </w:tc>
              <w:tc>
                <w:tcPr>
                  <w:tcW w:w="723"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废润滑油桶</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HW08</w:t>
                  </w:r>
                </w:p>
              </w:tc>
              <w:tc>
                <w:tcPr>
                  <w:tcW w:w="6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900-249-08</w:t>
                  </w:r>
                </w:p>
              </w:tc>
              <w:tc>
                <w:tcPr>
                  <w:tcW w:w="300"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1m</w:t>
                  </w:r>
                  <w:r>
                    <w:rPr>
                      <w:rFonts w:hint="default" w:ascii="Times New Roman" w:hAnsi="Times New Roman" w:cs="Times New Roman" w:eastAsiaTheme="minorEastAsia"/>
                      <w:color w:val="auto"/>
                      <w:sz w:val="21"/>
                      <w:szCs w:val="21"/>
                      <w:vertAlign w:val="superscript"/>
                      <w:lang w:val="en-US" w:eastAsia="zh-CN"/>
                    </w:rPr>
                    <w:t>2</w:t>
                  </w:r>
                </w:p>
              </w:tc>
              <w:tc>
                <w:tcPr>
                  <w:tcW w:w="359"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81"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37"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68"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83"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rPr>
                  </w:pPr>
                </w:p>
              </w:tc>
              <w:tc>
                <w:tcPr>
                  <w:tcW w:w="723" w:type="pc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空压机含油废水</w:t>
                  </w:r>
                </w:p>
              </w:tc>
              <w:tc>
                <w:tcPr>
                  <w:tcW w:w="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HW09</w:t>
                  </w:r>
                </w:p>
              </w:tc>
              <w:tc>
                <w:tcPr>
                  <w:tcW w:w="6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900-005-09</w:t>
                  </w:r>
                </w:p>
              </w:tc>
              <w:tc>
                <w:tcPr>
                  <w:tcW w:w="300"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p>
              </w:tc>
              <w:tc>
                <w:tcPr>
                  <w:tcW w:w="428"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3m</w:t>
                  </w:r>
                  <w:r>
                    <w:rPr>
                      <w:rFonts w:hint="default" w:ascii="Times New Roman" w:hAnsi="Times New Roman" w:cs="Times New Roman" w:eastAsiaTheme="minorEastAsia"/>
                      <w:color w:val="auto"/>
                      <w:sz w:val="21"/>
                      <w:szCs w:val="21"/>
                      <w:vertAlign w:val="superscript"/>
                      <w:lang w:val="en-US" w:eastAsia="zh-CN"/>
                    </w:rPr>
                    <w:t>2</w:t>
                  </w:r>
                </w:p>
              </w:tc>
              <w:tc>
                <w:tcPr>
                  <w:tcW w:w="359"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81"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337"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p>
              </w:tc>
              <w:tc>
                <w:tcPr>
                  <w:tcW w:w="50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年</w:t>
                  </w:r>
                </w:p>
              </w:tc>
            </w:tr>
          </w:tbl>
          <w:p>
            <w:pPr>
              <w:keepNext w:val="0"/>
              <w:keepLines w:val="0"/>
              <w:widowControl w:val="0"/>
              <w:suppressLineNumbers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eastAsia="zh-CN"/>
              </w:rPr>
              <w:t>（</w:t>
            </w:r>
            <w:r>
              <w:rPr>
                <w:rFonts w:hint="default" w:ascii="Times New Roman" w:hAnsi="Times New Roman" w:cs="Times New Roman" w:eastAsiaTheme="minorEastAsia"/>
                <w:b/>
                <w:bCs/>
                <w:color w:val="auto"/>
                <w:sz w:val="24"/>
                <w:szCs w:val="24"/>
                <w:highlight w:val="none"/>
                <w:lang w:val="en-US" w:eastAsia="zh-CN"/>
              </w:rPr>
              <w:t>1</w:t>
            </w:r>
            <w:r>
              <w:rPr>
                <w:rFonts w:hint="default" w:ascii="Times New Roman" w:hAnsi="Times New Roman" w:cs="Times New Roman" w:eastAsiaTheme="minorEastAsia"/>
                <w:b/>
                <w:bCs/>
                <w:color w:val="auto"/>
                <w:sz w:val="24"/>
                <w:szCs w:val="24"/>
                <w:highlight w:val="none"/>
                <w:lang w:eastAsia="zh-CN"/>
              </w:rPr>
              <w:t>）</w:t>
            </w:r>
            <w:r>
              <w:rPr>
                <w:rFonts w:hint="default" w:ascii="Times New Roman" w:hAnsi="Times New Roman" w:cs="Times New Roman" w:eastAsiaTheme="minorEastAsia"/>
                <w:b/>
                <w:bCs/>
                <w:color w:val="auto"/>
                <w:sz w:val="24"/>
                <w:szCs w:val="24"/>
                <w:highlight w:val="none"/>
              </w:rPr>
              <w:t>危险废物收集污染防治措施分析</w:t>
            </w:r>
          </w:p>
          <w:p>
            <w:pPr>
              <w:keepNext w:val="0"/>
              <w:keepLines w:val="0"/>
              <w:widowControl w:val="0"/>
              <w:suppressLineNumbers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rPr>
            </w:pPr>
            <w:r>
              <w:rPr>
                <w:rFonts w:hint="default"/>
                <w:sz w:val="24"/>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原江苏省环保厅（苏环办〔2024〕16号）《关于加强危险废物交换和转移管理工作的通知》要求，对危险废物进行安全包装，并在包装的明显位置附上危险废物标签</w:t>
            </w:r>
            <w:r>
              <w:rPr>
                <w:rFonts w:hint="default" w:ascii="Times New Roman" w:hAnsi="Times New Roman" w:cs="Times New Roman" w:eastAsiaTheme="minorEastAsia"/>
                <w:color w:val="auto"/>
                <w:sz w:val="24"/>
                <w:szCs w:val="24"/>
                <w:highlight w:val="none"/>
              </w:rPr>
              <w:t>。</w:t>
            </w:r>
          </w:p>
          <w:p>
            <w:pPr>
              <w:keepNext w:val="0"/>
              <w:keepLines w:val="0"/>
              <w:widowControl w:val="0"/>
              <w:suppressLineNumbers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lang w:eastAsia="zh-CN"/>
              </w:rPr>
              <w:t>（</w:t>
            </w: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w:t>
            </w:r>
            <w:r>
              <w:rPr>
                <w:rFonts w:hint="default" w:ascii="Times New Roman" w:hAnsi="Times New Roman" w:cs="Times New Roman" w:eastAsiaTheme="minorEastAsia"/>
                <w:b/>
                <w:bCs/>
                <w:color w:val="auto"/>
                <w:sz w:val="24"/>
                <w:szCs w:val="24"/>
                <w:highlight w:val="none"/>
              </w:rPr>
              <w:t>危险废物暂存污染防治措施分析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危废贮存设施污染防治措施见表4-</w:t>
            </w:r>
            <w:r>
              <w:rPr>
                <w:rFonts w:hint="eastAsia" w:ascii="Times New Roman" w:hAnsi="Times New Roman" w:cs="Times New Roman" w:eastAsiaTheme="minorEastAsia"/>
                <w:bCs/>
                <w:color w:val="auto"/>
                <w:sz w:val="24"/>
                <w:szCs w:val="24"/>
                <w:lang w:val="en-US" w:eastAsia="zh-CN"/>
              </w:rPr>
              <w:t>33</w:t>
            </w:r>
            <w:r>
              <w:rPr>
                <w:rFonts w:hint="default" w:ascii="Times New Roman" w:hAnsi="Times New Roman" w:cs="Times New Roman" w:eastAsiaTheme="minorEastAsia"/>
                <w:bCs/>
                <w:color w:val="auto"/>
                <w:sz w:val="24"/>
                <w:szCs w:val="24"/>
              </w:rPr>
              <w:t>。</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表4-</w:t>
            </w:r>
            <w:r>
              <w:rPr>
                <w:rFonts w:hint="eastAsia" w:ascii="Times New Roman" w:hAnsi="Times New Roman" w:cs="Times New Roman" w:eastAsiaTheme="minorEastAsia"/>
                <w:b/>
                <w:bCs/>
                <w:color w:val="auto"/>
                <w:sz w:val="24"/>
                <w:szCs w:val="24"/>
                <w:lang w:val="en-US" w:eastAsia="zh-CN"/>
              </w:rPr>
              <w:t>33</w:t>
            </w:r>
            <w:r>
              <w:rPr>
                <w:rFonts w:hint="default" w:ascii="Times New Roman" w:hAnsi="Times New Roman" w:cs="Times New Roman" w:eastAsiaTheme="minorEastAsia"/>
                <w:b/>
                <w:bCs/>
                <w:color w:val="auto"/>
                <w:sz w:val="24"/>
                <w:szCs w:val="24"/>
                <w:lang w:val="en-US" w:eastAsia="zh-CN"/>
              </w:rPr>
              <w:t xml:space="preserve"> 危险废物贮存场所规范设置</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2300"/>
              <w:gridCol w:w="4200"/>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序号</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规范设置要求</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拟设置情况</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应严格执行《危险废物贮存污染控制标准》(GB18597-2023)、《环境保护图形标志一固体废物贮存（处置）场》(GB15562.2-1995）修改单和《危险废物识别标志设置技术规范》(HJ1276-2022) ，规范设置标识牌，配备通讯设备、照明设施和消防设施，设置气体导出口及气体净化装置。</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将严格按照《危险废物贮存污染控制标准</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GB18597-2023) 、《环境保护图形标志一固体废物贮存（处置）场》(GB15562 2-1995）修改单和《危险废物识别标志设置技术规范》(HJ1276-2022）设置标志，采用立式固定方式将危废废物信息公开栏固定在厂区门口醒目的位置，其顶端距离地面200cm处，材料及尺寸：底板采用5mm铝板、底板120cm×80cm，严格按照规范设置公开内容：危废贮存设施内部分区规范设置警示标志牌：顶端距离地面200cm处，材料及尺寸：采用5mm铝板，不锈钢边框2cm压边，尺寸：75cm×4Scm，三角形警示标志边长42cm，外檐2.5cm，并严格按照规范设置公开内容：规范设置包装识别标签，底色为醒目的桔黄色，文字样色为黑色，字体为黑体，尺寸：粘贴式标签20cm×20cm，系挂式标签10cm×10cm。危废废物贮存设施拟规范配备通讯设备、照明设施和消防设施。本项目贮存的危险废物为废活性炭、废</w:t>
                  </w:r>
                  <w:r>
                    <w:rPr>
                      <w:rFonts w:hint="default" w:ascii="Times New Roman" w:hAnsi="Times New Roman" w:cs="Times New Roman" w:eastAsiaTheme="minorEastAsia"/>
                      <w:color w:val="auto"/>
                      <w:kern w:val="0"/>
                      <w:sz w:val="21"/>
                      <w:szCs w:val="21"/>
                      <w:lang w:val="en-US" w:eastAsia="zh-CN"/>
                    </w:rPr>
                    <w:t>润滑油</w:t>
                  </w:r>
                  <w:r>
                    <w:rPr>
                      <w:rFonts w:hint="default" w:ascii="Times New Roman" w:hAnsi="Times New Roman" w:cs="Times New Roman" w:eastAsiaTheme="minorEastAsia"/>
                      <w:color w:val="auto"/>
                      <w:kern w:val="0"/>
                      <w:sz w:val="21"/>
                      <w:szCs w:val="21"/>
                    </w:rPr>
                    <w:t>桶等，不涉及废气排放。故无须设置气体导出口及气体净化装置。</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在出入口、设施内部、危险废物运输车辆通道等关键位置按照危险废物贮存设施视频监控布设要求设置视频监控，并与中控室联网。</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拟在出入口、设施内部、危险废物运输车辆通道、装卸区域等关键位置规范设置视频监控，并与中控室联网。监控系统按《公共安全视频监控联网系统信息传输、交换、控制技术要求》(GB/T28181-2016)、《安全</w:t>
                  </w:r>
                  <w:r>
                    <w:rPr>
                      <w:rFonts w:hint="default" w:ascii="Times New Roman" w:hAnsi="Times New Roman" w:cs="Times New Roman" w:eastAsiaTheme="minorEastAsia"/>
                      <w:color w:val="auto"/>
                      <w:kern w:val="0"/>
                      <w:sz w:val="21"/>
                      <w:szCs w:val="21"/>
                      <w:lang w:val="en-US" w:eastAsia="zh-CN"/>
                    </w:rPr>
                    <w:t>防范</w:t>
                  </w:r>
                  <w:r>
                    <w:rPr>
                      <w:rFonts w:hint="default" w:ascii="Times New Roman" w:hAnsi="Times New Roman" w:cs="Times New Roman" w:eastAsiaTheme="minorEastAsia"/>
                      <w:color w:val="auto"/>
                      <w:kern w:val="0"/>
                      <w:sz w:val="21"/>
                      <w:szCs w:val="21"/>
                    </w:rPr>
                    <w:t>高清视频监控系统技术要求》(GAT1211-2014）等标准设置，监控区域24小时须有足够的光源以保证画面清晰辨识，视频监控录像画面分辨率达到300万像素以上，监控视频保存时间至少为3个月。</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根据危险废物的种类和特性进行分区、分类贮存，设置防雨、防火、防雷、防扬散、防渗漏装置及泄漏液体收集装置。</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本项目危险废物拟进行分区、分类贮存，危险废物贮存设施规范设置防雨、防火、防雷、防扬散等措施。</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4</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对易爆、易燃及排出有毒气体的危险物进行预处理，稳定后贮存，否则按易爆、易燃危险品贮存</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本项目不涉及易爆、易燃及排出有毒气体的危险物，无需按照易爆、易燃危险品贮存。</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贮存废弃剧毒化学品的，应按照公安机关要求落实治安防治措施。</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本项目不涉及废气剧毒化学品。</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6</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贮存设施周转的累积贮存量不得超过年许可经营能力的六分之一，贮存期限原则上不得超过一年。</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本项目贮存期限不超过一年，定期清运</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7</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在常温常压下易爆、易燃及排出有毒气体的危险废物必须进行预处理，使之稳定后贮存，否则，按易爆、易燃危险品贮存。</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本项目不涉及易爆、易燃及排出有毒</w:t>
                  </w:r>
                  <w:r>
                    <w:rPr>
                      <w:rFonts w:hint="default" w:ascii="Times New Roman" w:hAnsi="Times New Roman" w:cs="Times New Roman" w:eastAsiaTheme="minorEastAsia"/>
                      <w:color w:val="auto"/>
                      <w:kern w:val="0"/>
                      <w:sz w:val="21"/>
                      <w:szCs w:val="21"/>
                      <w:lang w:val="en-US" w:eastAsia="zh-CN"/>
                    </w:rPr>
                    <w:t>气体的</w:t>
                  </w:r>
                  <w:r>
                    <w:rPr>
                      <w:rFonts w:hint="default" w:ascii="Times New Roman" w:hAnsi="Times New Roman" w:cs="Times New Roman" w:eastAsiaTheme="minorEastAsia"/>
                      <w:color w:val="auto"/>
                      <w:kern w:val="0"/>
                      <w:sz w:val="21"/>
                      <w:szCs w:val="21"/>
                    </w:rPr>
                    <w:t>危险废物，故无须进行预处理。</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禁止将不相容（相互反应）的危险废物在同一容器内混装。</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本项目不涉及不相容的危险废物混装情形。</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9</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装载液体、半固体危险废物的容器内须留足够空间，容器顶部与液体表面之间保留100毫米</w:t>
                  </w:r>
                  <w:r>
                    <w:rPr>
                      <w:rFonts w:hint="default" w:ascii="Times New Roman" w:hAnsi="Times New Roman" w:cs="Times New Roman" w:eastAsiaTheme="minorEastAsia"/>
                      <w:color w:val="auto"/>
                      <w:kern w:val="0"/>
                      <w:sz w:val="21"/>
                      <w:szCs w:val="21"/>
                      <w:lang w:val="en-US" w:eastAsia="zh-CN"/>
                    </w:rPr>
                    <w:t>以上的空间。</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本项目液态危险废物主要有废润滑油</w:t>
                  </w:r>
                  <w:r>
                    <w:rPr>
                      <w:rFonts w:hint="eastAsia" w:ascii="Times New Roman" w:hAnsi="Times New Roman" w:cs="Times New Roman" w:eastAsiaTheme="minorEastAsia"/>
                      <w:color w:val="auto"/>
                      <w:kern w:val="0"/>
                      <w:sz w:val="21"/>
                      <w:szCs w:val="21"/>
                      <w:lang w:eastAsia="zh-CN"/>
                    </w:rPr>
                    <w:t>、</w:t>
                  </w:r>
                  <w:r>
                    <w:rPr>
                      <w:rFonts w:hint="eastAsia" w:ascii="Times New Roman" w:hAnsi="Times New Roman" w:cs="Times New Roman" w:eastAsiaTheme="minorEastAsia"/>
                      <w:color w:val="auto"/>
                      <w:kern w:val="0"/>
                      <w:sz w:val="21"/>
                      <w:szCs w:val="21"/>
                      <w:lang w:val="en-US" w:eastAsia="zh-CN"/>
                    </w:rPr>
                    <w:t>空压机含油废水</w:t>
                  </w:r>
                  <w:r>
                    <w:rPr>
                      <w:rFonts w:hint="default" w:ascii="Times New Roman" w:hAnsi="Times New Roman" w:cs="Times New Roman" w:eastAsiaTheme="minorEastAsia"/>
                      <w:color w:val="auto"/>
                      <w:kern w:val="0"/>
                      <w:sz w:val="21"/>
                      <w:szCs w:val="21"/>
                    </w:rPr>
                    <w:t>等，采用桶装贮存，容器顶部与液面保持100毫米以上</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10</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产生单位或收集单位在盛装危险废物时，宜根据容器或包装物的容积按照本标准第9.1条中的要求设置合适的标签，并按本标准第5.2条中的要求填写完整。本标准指《危险废物识别标志设置技术规范》(HJ1276-2022)</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盛装危险废物的容器上粘贴符合本标准第9.1条中要求的标签，具体为：危险废物标签应以醒目的字样标注“危险废物”；危险废物标签应包含废物名称、废物类别、废物代码、废物形态、危险特性、主要成分、有害成分、注意事项、产生/收集单位名称、联系人、联系方式、产生日期、废物重量和备注；危险废物标签宜设置危险废物数字识别码和二维码。</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11</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盛装危险废物的容器材质和衬里要与危险废物相容（不相互反应）</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本项目液态危废废润滑油、空压机含油废水等采用桶装，废活性炭、废</w:t>
                  </w:r>
                  <w:r>
                    <w:rPr>
                      <w:rFonts w:hint="default" w:ascii="Times New Roman" w:hAnsi="Times New Roman" w:cs="Times New Roman" w:eastAsiaTheme="minorEastAsia"/>
                      <w:color w:val="auto"/>
                      <w:kern w:val="0"/>
                      <w:sz w:val="21"/>
                      <w:szCs w:val="21"/>
                      <w:lang w:val="en-US" w:eastAsia="zh-CN"/>
                    </w:rPr>
                    <w:t>润滑油桶</w:t>
                  </w:r>
                  <w:r>
                    <w:rPr>
                      <w:rFonts w:hint="eastAsia" w:ascii="Times New Roman" w:hAnsi="Times New Roman" w:cs="Times New Roman" w:eastAsiaTheme="minorEastAsia"/>
                      <w:color w:val="auto"/>
                      <w:kern w:val="0"/>
                      <w:sz w:val="21"/>
                      <w:szCs w:val="21"/>
                      <w:lang w:val="en-US" w:eastAsia="zh-CN"/>
                    </w:rPr>
                    <w:t>、废包装桶</w:t>
                  </w:r>
                  <w:r>
                    <w:rPr>
                      <w:rFonts w:hint="default" w:ascii="Times New Roman" w:hAnsi="Times New Roman" w:cs="Times New Roman" w:eastAsiaTheme="minorEastAsia"/>
                      <w:color w:val="auto"/>
                      <w:kern w:val="0"/>
                      <w:sz w:val="21"/>
                      <w:szCs w:val="21"/>
                    </w:rPr>
                    <w:t>等固态危废采用密封袋包装。</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12</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应在易燃、易爆等危险品仓库、高压输电线路防护区域以外</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本项目不涉及易燃、易爆等危险品仓库、高压输电线路，不在这些防护区域范围内。</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13</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危险废物贮存设施（仓库式）的设计原则</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本项目危废仓库地面与裙脚要用坚固、防渗的材料建造（涂刷防腐、防渗涂料），渗透系数≤10</w:t>
                  </w:r>
                  <w:r>
                    <w:rPr>
                      <w:rFonts w:hint="default" w:ascii="Times New Roman" w:hAnsi="Times New Roman" w:cs="Times New Roman" w:eastAsiaTheme="minorEastAsia"/>
                      <w:color w:val="auto"/>
                      <w:kern w:val="0"/>
                      <w:sz w:val="21"/>
                      <w:szCs w:val="21"/>
                      <w:vertAlign w:val="superscript"/>
                      <w:lang w:val="en-US" w:eastAsia="zh-CN"/>
                    </w:rPr>
                    <w:t>-</w:t>
                  </w:r>
                  <w:r>
                    <w:rPr>
                      <w:rFonts w:hint="default" w:ascii="Times New Roman" w:hAnsi="Times New Roman" w:cs="Times New Roman" w:eastAsiaTheme="minorEastAsia"/>
                      <w:color w:val="auto"/>
                      <w:kern w:val="0"/>
                      <w:sz w:val="21"/>
                      <w:szCs w:val="21"/>
                      <w:vertAlign w:val="superscript"/>
                    </w:rPr>
                    <w:t>10</w:t>
                  </w:r>
                  <w:r>
                    <w:rPr>
                      <w:rFonts w:hint="default" w:ascii="Times New Roman" w:hAnsi="Times New Roman" w:cs="Times New Roman" w:eastAsiaTheme="minorEastAsia"/>
                      <w:color w:val="auto"/>
                      <w:kern w:val="0"/>
                      <w:sz w:val="21"/>
                      <w:szCs w:val="21"/>
                    </w:rPr>
                    <w:t>cm/s；并满足最大泄漏液态物质的收集：仓库内设有安全照明设施和观察窗口。</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14</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危险废物堆要防风、防雨、防晒</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危废仓库密闭，地面防渗处理，四周设围堰，设置钢筋混凝土导流沟，并采用底部加设土工膜进行防渗，具备防风、防雨、防晒功能</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15</w:t>
                  </w:r>
                </w:p>
              </w:tc>
              <w:tc>
                <w:tcPr>
                  <w:tcW w:w="1447"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企业应通过“江苏省固体废物管理信息系统”进行危险废物申报登记。将危险废物的实际产生、贮存、利用、处置等情况纳入记录，建立危险废物管理台账和企业内部产生和收集、贮存、转移等部门危险废物交接制度，制定危险废物年度管理计划，报生态环境部门备案；如有重大改变及时申报</w:t>
                  </w:r>
                </w:p>
              </w:tc>
              <w:tc>
                <w:tcPr>
                  <w:tcW w:w="2642"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企业拟设立危险废物进出入台账登记管理制度，记录危险废物的名称、来源、数量、特性和包装容器的类别、入库日期、存放库位、废物出库日期及接收单位名称，严格执行危险废物电子联单制度，实行对危险废物从源头到终端处理的全过程监管，确保危险废物100%得到安全处置。危险废物的记录和货单保留三年。</w:t>
                  </w:r>
                </w:p>
              </w:tc>
              <w:tc>
                <w:tcPr>
                  <w:tcW w:w="939" w:type="dxa"/>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与《江苏省固体废物全过程环境监管工作意见》（苏环办〔2024〕16号）相符性分析见表4-</w:t>
            </w:r>
            <w:r>
              <w:rPr>
                <w:rFonts w:hint="eastAsia" w:ascii="Times New Roman" w:hAnsi="Times New Roman" w:cs="Times New Roman" w:eastAsiaTheme="minorEastAsia"/>
                <w:bCs/>
                <w:color w:val="auto"/>
                <w:sz w:val="24"/>
                <w:szCs w:val="24"/>
                <w:lang w:val="en-US" w:eastAsia="zh-CN"/>
              </w:rPr>
              <w:t>34</w:t>
            </w:r>
            <w:r>
              <w:rPr>
                <w:rFonts w:hint="default" w:ascii="Times New Roman" w:hAnsi="Times New Roman" w:cs="Times New Roman" w:eastAsiaTheme="minorEastAsia"/>
                <w:bCs/>
                <w:color w:val="auto"/>
                <w:sz w:val="24"/>
                <w:szCs w:val="24"/>
              </w:rPr>
              <w:t>。</w:t>
            </w: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表4-</w:t>
            </w:r>
            <w:r>
              <w:rPr>
                <w:rFonts w:hint="eastAsia" w:ascii="Times New Roman" w:hAnsi="Times New Roman" w:cs="Times New Roman" w:eastAsiaTheme="minorEastAsia"/>
                <w:b/>
                <w:bCs/>
                <w:color w:val="auto"/>
                <w:sz w:val="24"/>
                <w:szCs w:val="24"/>
                <w:lang w:val="en-US" w:eastAsia="zh-CN"/>
              </w:rPr>
              <w:t>34</w:t>
            </w:r>
            <w:r>
              <w:rPr>
                <w:rFonts w:hint="default" w:ascii="Times New Roman" w:hAnsi="Times New Roman" w:cs="Times New Roman" w:eastAsiaTheme="minorEastAsia"/>
                <w:b/>
                <w:bCs/>
                <w:color w:val="auto"/>
                <w:sz w:val="24"/>
                <w:szCs w:val="24"/>
                <w:lang w:val="en-US" w:eastAsia="zh-CN"/>
              </w:rPr>
              <w:t xml:space="preserve"> 与苏环办〔2024〕16号文相符性分析</w:t>
            </w:r>
          </w:p>
          <w:tbl>
            <w:tblPr>
              <w:tblStyle w:val="26"/>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
              <w:gridCol w:w="3900"/>
              <w:gridCol w:w="2600"/>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序号</w:t>
                  </w:r>
                </w:p>
              </w:tc>
              <w:tc>
                <w:tcPr>
                  <w:tcW w:w="2453"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文件规定要求</w:t>
                  </w:r>
                </w:p>
              </w:tc>
              <w:tc>
                <w:tcPr>
                  <w:tcW w:w="16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拟采取污染防治措施</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2453"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 GB34330、HJ1091 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w:t>
                  </w:r>
                </w:p>
              </w:tc>
              <w:tc>
                <w:tcPr>
                  <w:tcW w:w="16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本项目已对项目产生的固体废物提出了切实可行的污染防治对策措施，未出现“中间产物”、“再生产物”、“副产品”等表述。</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w:t>
                  </w:r>
                </w:p>
              </w:tc>
              <w:tc>
                <w:tcPr>
                  <w:tcW w:w="2453"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根据《危险废物贮存污染控制标准》（GB18597-2023）， 企业可根据实际情况选择采用危险废物贮存设施或贮存点两类方式进行贮存，符合相应的污染控制标准。</w:t>
                  </w:r>
                </w:p>
              </w:tc>
              <w:tc>
                <w:tcPr>
                  <w:tcW w:w="16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本项目将建设贮存标准的危废仓库，危险废物分区分类贮存，满足使用需求。</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9"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w:t>
                  </w:r>
                </w:p>
              </w:tc>
              <w:tc>
                <w:tcPr>
                  <w:tcW w:w="2453"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危险废物环境重点监管单位要在出入口、设施内部、危 险废物运输车辆通道等关键位置设置视频监控并与中控室联网，通过设立公开栏、标志牌等方式，主动公开 危 险废物产生和利用处置等有关信息。</w:t>
                  </w:r>
                </w:p>
              </w:tc>
              <w:tc>
                <w:tcPr>
                  <w:tcW w:w="1635"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企业将在出入口、设施内部、 危险废物运输车辆通道等关键位置设置视频监控并与中控室联网，通过设立公开栏、标志牌等方式，主动公开危险废物产生和利用处置等有关信息。</w:t>
                  </w:r>
                </w:p>
              </w:tc>
              <w:tc>
                <w:tcPr>
                  <w:tcW w:w="590" w:type="pct"/>
                  <w:tcBorders>
                    <w:tl2br w:val="nil"/>
                    <w:tr2bl w:val="nil"/>
                  </w:tcBorders>
                  <w:noWrap w:val="0"/>
                  <w:vAlign w:val="center"/>
                </w:tcPr>
                <w:p>
                  <w:pPr>
                    <w:keepNext w:val="0"/>
                    <w:keepLines w:val="0"/>
                    <w:suppressLineNumbers w:val="0"/>
                    <w:topLinePunct/>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rPr>
                    <w:t>符合</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cs="Times New Roman"/>
                <w:b w:val="0"/>
                <w:bCs w:val="0"/>
                <w:sz w:val="24"/>
              </w:rPr>
              <w:t>与《关于印发&lt;一般工业固体废物环境管理工作指南&gt;的通知》（环办固体函〔2026〕18号）相符性分析</w:t>
            </w:r>
            <w:r>
              <w:rPr>
                <w:rFonts w:hint="default" w:ascii="Times New Roman" w:hAnsi="Times New Roman" w:cs="Times New Roman"/>
                <w:b w:val="0"/>
                <w:bCs w:val="0"/>
                <w:sz w:val="24"/>
                <w:lang w:val="en-US"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表4-</w:t>
            </w:r>
            <w:r>
              <w:rPr>
                <w:rFonts w:hint="eastAsia" w:ascii="Times New Roman" w:hAnsi="Times New Roman" w:cs="Times New Roman"/>
                <w:b/>
                <w:bCs/>
                <w:sz w:val="24"/>
                <w:lang w:val="en-US" w:eastAsia="zh-CN"/>
              </w:rPr>
              <w:t>35</w:t>
            </w:r>
            <w:r>
              <w:rPr>
                <w:rFonts w:hint="default" w:ascii="Times New Roman" w:hAnsi="Times New Roman" w:cs="Times New Roman"/>
                <w:b/>
                <w:bCs/>
                <w:sz w:val="24"/>
              </w:rPr>
              <w:t xml:space="preserve"> 项目与环办固体函〔2026〕18号的相符性分析</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4"/>
              <w:gridCol w:w="689"/>
              <w:gridCol w:w="3832"/>
              <w:gridCol w:w="2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3"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844" w:type="pct"/>
                  <w:gridSpan w:val="2"/>
                  <w:tcBorders>
                    <w:tl2br w:val="nil"/>
                    <w:tr2bl w:val="nil"/>
                  </w:tcBorders>
                  <w:noWrap w:val="0"/>
                  <w:vAlign w:val="center"/>
                </w:tcPr>
                <w:p>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要求</w:t>
                  </w:r>
                </w:p>
              </w:tc>
              <w:tc>
                <w:tcPr>
                  <w:tcW w:w="1761" w:type="pct"/>
                  <w:tcBorders>
                    <w:tl2br w:val="nil"/>
                    <w:tr2bl w:val="nil"/>
                  </w:tcBorders>
                  <w:noWrap w:val="0"/>
                  <w:vAlign w:val="center"/>
                </w:tcPr>
                <w:p>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3"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44"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注重源头管理。在建设项目环境影响评价文件中明确工业固体废物的种类、名称、产生量、利用和处置方式等内容。提高排污许可证和执行报告以及排放源统计年报中一般工业固体废物信息填报的准确率。推进产废单位依法实施清洁生产审核。依法限期淘汰产生严重污染环境的工业固体废物的落后生产工艺和设备。产废单位应当按照工业固体废物的污染特性进行分类管理，采取必要措施防止工业固体废物污染。</w:t>
                  </w:r>
                </w:p>
              </w:tc>
              <w:tc>
                <w:tcPr>
                  <w:tcW w:w="17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本项目已在固废章节明确固体废物种类、名称、产生量、利用和处置方式等内容；后期严格落实排污许可制度，按要求全面、准确申报项目产生的工业固体废物产生种类，以及贮存设施和利用处置等相关情况；</w:t>
                  </w:r>
                  <w:r>
                    <w:rPr>
                      <w:rFonts w:hint="default" w:ascii="Times New Roman" w:hAnsi="Times New Roman" w:eastAsia="宋体" w:cs="Times New Roman"/>
                      <w:color w:val="auto"/>
                      <w:sz w:val="21"/>
                      <w:szCs w:val="21"/>
                      <w:lang w:eastAsia="zh-CN"/>
                    </w:rPr>
                    <w:t>一般固体废物</w:t>
                  </w:r>
                  <w:r>
                    <w:rPr>
                      <w:rFonts w:hint="default" w:ascii="Times New Roman" w:hAnsi="Times New Roman" w:eastAsia="宋体" w:cs="Times New Roman"/>
                      <w:color w:val="auto"/>
                      <w:sz w:val="21"/>
                      <w:szCs w:val="21"/>
                    </w:rPr>
                    <w:t>分类储存于一般固废仓库内，对周边环境影响较小。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3"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环境影响评价文件编制要求</w:t>
                  </w:r>
                </w:p>
              </w:tc>
              <w:tc>
                <w:tcPr>
                  <w:tcW w:w="2492" w:type="pct"/>
                  <w:tcBorders>
                    <w:tl2br w:val="nil"/>
                    <w:tr2bl w:val="nil"/>
                  </w:tcBorders>
                  <w:noWrap w:val="0"/>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1.产废单位编制建设项目环境影响报告书、环境影响报告表时，应明确一般工业固体废物的产生环节、种类、名称、物理性状、年度产生量、贮存方式、利用处置方式和去向、利用或处置量、环境管理要求。</w:t>
                  </w:r>
                </w:p>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2.填报环境影响登记表的建设项目，应当在“采取的环保措施及排放去向”部分，载明一般工业固体废物的种类及最终流向（自行利用、委托利用、自行处置、委托处置)。</w:t>
                  </w:r>
                </w:p>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环境影响评价文件应当科学预测分析一般工业固体废物的产生情况，可以依据产废系数评估一般工业固体废物的产生量，可以参照同类原材料、同类生产工艺产生的固体废物危险特性判定结果预测分析工业固体废物的属性，经分析判定不属于危险废物的，依据《固体废物分类与代码目录》开展分类。环境影响评价文件预测分析内容可作为判定项目建成投运后产生的固体废物属性的参考。项目运行实际产生固体废物后，在监管和执法等工作中有需要的，应按照国家规定的标准和方法对所产生的固体废物开展属性鉴别。</w:t>
                  </w:r>
                </w:p>
              </w:tc>
              <w:tc>
                <w:tcPr>
                  <w:tcW w:w="17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本项目已按照物料衡算、产污系数以及建设单位提供资料测算一般固废产生量，已明确一般工业固体废物的产生环节、种类、名称、物理性状、年度产生量、贮存方式、利用处置方式和去向等。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3" w:type="pct"/>
                  <w:vMerge w:val="continue"/>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p>
              </w:tc>
              <w:tc>
                <w:tcPr>
                  <w:tcW w:w="35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“三同时”管理</w:t>
                  </w:r>
                </w:p>
              </w:tc>
              <w:tc>
                <w:tcPr>
                  <w:tcW w:w="2492" w:type="pct"/>
                  <w:tcBorders>
                    <w:tl2br w:val="nil"/>
                    <w:tr2bl w:val="nil"/>
                  </w:tcBorders>
                  <w:noWrap w:val="0"/>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4.拟配套建设一般工业固体废物贮存、利用、处置设施的建设项目，应当在环境影响评价文件中明确设施建设和运行的环境保护要求，用于指导建设项目的初步设计和施工，并依法完成设施验收。</w:t>
                  </w:r>
                </w:p>
              </w:tc>
              <w:tc>
                <w:tcPr>
                  <w:tcW w:w="17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本项目设置一个</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的一般工业固废堆场，拟进行地面硬化、防腐、防渗和防漏处理，已在环评中明确环境保护要求，后期建设完成后拟进行验收。</w:t>
                  </w:r>
                </w:p>
              </w:tc>
            </w:tr>
          </w:tbl>
          <w:p>
            <w:pPr>
              <w:keepNext w:val="0"/>
              <w:keepLines w:val="0"/>
              <w:widowControl w:val="0"/>
              <w:suppressLineNumbers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（3）危废标识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根据《危险废物识别标志设置技术规范》（HJ1276-2022）设置危废标识。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表4-</w:t>
            </w:r>
            <w:r>
              <w:rPr>
                <w:rFonts w:hint="eastAsia" w:ascii="Times New Roman" w:hAnsi="Times New Roman" w:cs="Times New Roman" w:eastAsiaTheme="minorEastAsia"/>
                <w:b/>
                <w:bCs/>
                <w:color w:val="auto"/>
                <w:sz w:val="24"/>
                <w:szCs w:val="24"/>
                <w:highlight w:val="none"/>
                <w:lang w:val="en-US" w:eastAsia="zh-CN"/>
              </w:rPr>
              <w:t>3</w:t>
            </w:r>
            <w:r>
              <w:rPr>
                <w:rFonts w:hint="default" w:ascii="Times New Roman" w:hAnsi="Times New Roman" w:cs="Times New Roman" w:eastAsiaTheme="minorEastAsia"/>
                <w:b/>
                <w:bCs/>
                <w:color w:val="auto"/>
                <w:sz w:val="24"/>
                <w:szCs w:val="24"/>
                <w:highlight w:val="none"/>
                <w:lang w:val="en-US" w:eastAsia="zh-CN"/>
              </w:rPr>
              <w:t>6  危废标识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3578"/>
              <w:gridCol w:w="3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kern w:val="2"/>
                      <w:sz w:val="21"/>
                      <w:szCs w:val="21"/>
                      <w:vertAlign w:val="baseline"/>
                      <w:lang w:val="en-US" w:eastAsia="zh-CN" w:bidi="ar-SA"/>
                    </w:rPr>
                  </w:pPr>
                  <w:r>
                    <w:rPr>
                      <w:rFonts w:hint="default" w:ascii="Times New Roman" w:hAnsi="Times New Roman" w:cs="Times New Roman" w:eastAsiaTheme="minorEastAsia"/>
                      <w:b/>
                      <w:bCs w:val="0"/>
                      <w:color w:val="auto"/>
                      <w:kern w:val="2"/>
                      <w:sz w:val="21"/>
                      <w:szCs w:val="21"/>
                      <w:vertAlign w:val="baseline"/>
                      <w:lang w:val="en-US" w:eastAsia="zh-CN" w:bidi="ar-SA"/>
                    </w:rPr>
                    <w:t>标识</w:t>
                  </w:r>
                </w:p>
              </w:tc>
              <w:tc>
                <w:tcPr>
                  <w:tcW w:w="2250"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kern w:val="2"/>
                      <w:sz w:val="21"/>
                      <w:szCs w:val="21"/>
                      <w:vertAlign w:val="baseline"/>
                      <w:lang w:val="en-US" w:eastAsia="zh-CN" w:bidi="ar-SA"/>
                    </w:rPr>
                  </w:pPr>
                  <w:r>
                    <w:rPr>
                      <w:rFonts w:hint="default" w:ascii="Times New Roman" w:hAnsi="Times New Roman" w:cs="Times New Roman" w:eastAsiaTheme="minorEastAsia"/>
                      <w:b/>
                      <w:bCs w:val="0"/>
                      <w:color w:val="auto"/>
                      <w:kern w:val="2"/>
                      <w:sz w:val="21"/>
                      <w:szCs w:val="21"/>
                      <w:vertAlign w:val="baseline"/>
                      <w:lang w:val="en-US" w:eastAsia="zh-CN" w:bidi="ar-SA"/>
                    </w:rPr>
                    <w:t>标识内容要求</w:t>
                  </w:r>
                </w:p>
              </w:tc>
              <w:tc>
                <w:tcPr>
                  <w:tcW w:w="2285"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kern w:val="2"/>
                      <w:sz w:val="21"/>
                      <w:szCs w:val="21"/>
                      <w:vertAlign w:val="baseline"/>
                      <w:lang w:val="en-US" w:eastAsia="zh-CN" w:bidi="ar-SA"/>
                    </w:rPr>
                  </w:pPr>
                  <w:r>
                    <w:rPr>
                      <w:rFonts w:hint="default" w:ascii="Times New Roman" w:hAnsi="Times New Roman" w:cs="Times New Roman" w:eastAsiaTheme="minorEastAsia"/>
                      <w:b/>
                      <w:bCs w:val="0"/>
                      <w:color w:val="auto"/>
                      <w:kern w:val="2"/>
                      <w:sz w:val="21"/>
                      <w:szCs w:val="21"/>
                      <w:vertAlign w:val="baseline"/>
                      <w:lang w:val="en-US" w:eastAsia="zh-CN" w:bidi="ar-SA"/>
                    </w:rPr>
                    <w:t>图例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危废标签</w:t>
                  </w:r>
                </w:p>
              </w:tc>
              <w:tc>
                <w:tcPr>
                  <w:tcW w:w="2250"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1、危险废物标签应以醒目的字样标注“危险废物”。</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2、危险废物标签应包含废物名称、废物类别、废物代码、废物形态、危险特性、主要成分、有害成分、注意事项、产生/收集单位名称、联系人、联系方式、产生日期、废物重量和备注。</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3、危险废物标签宜设置危险废物数字识别码和二维码。</w:t>
                  </w:r>
                </w:p>
              </w:tc>
              <w:tc>
                <w:tcPr>
                  <w:tcW w:w="2285"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rPr>
                    <w:drawing>
                      <wp:inline distT="0" distB="0" distL="114300" distR="114300">
                        <wp:extent cx="2468880" cy="2773045"/>
                        <wp:effectExtent l="0" t="0" r="7620" b="8255"/>
                        <wp:docPr id="6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pic:cNvPicPr>
                                  <a:picLocks noChangeAspect="1"/>
                                </pic:cNvPicPr>
                              </pic:nvPicPr>
                              <pic:blipFill>
                                <a:blip r:embed="rId23"/>
                                <a:stretch>
                                  <a:fillRect/>
                                </a:stretch>
                              </pic:blipFill>
                              <pic:spPr>
                                <a:xfrm>
                                  <a:off x="0" y="0"/>
                                  <a:ext cx="2468880" cy="27730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危险废物贮存分区</w:t>
                  </w:r>
                </w:p>
              </w:tc>
              <w:tc>
                <w:tcPr>
                  <w:tcW w:w="2250"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1、危险废物贮存分区标志应以醒目的方式标注“危险废物贮存分区标志”字样。</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2、危险废物贮存分区标志应包含但不限于设施内部所有贮存分区的平面分布、各分区存放的危险</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废物信息、本贮存分区的具体位置、环境应急物资所在位置以及进出口位置和方向。</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3、危险废物贮存单位可根据自身贮存设施建设情况，在危险废物贮存分区标志中添加收集池、导</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流沟和通道等信息。</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4、危险废物贮存分区标志的信息应随着设施内废物贮存情况的变化及时调整。</w:t>
                  </w:r>
                </w:p>
              </w:tc>
              <w:tc>
                <w:tcPr>
                  <w:tcW w:w="2285"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rPr>
                    <w:drawing>
                      <wp:inline distT="0" distB="0" distL="114300" distR="114300">
                        <wp:extent cx="2388870" cy="2115820"/>
                        <wp:effectExtent l="0" t="0" r="11430" b="1778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24"/>
                                <a:stretch>
                                  <a:fillRect/>
                                </a:stretch>
                              </pic:blipFill>
                              <pic:spPr>
                                <a:xfrm>
                                  <a:off x="0" y="0"/>
                                  <a:ext cx="2388870" cy="21158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危险废物贮存、利用、处置设施标志</w:t>
                  </w:r>
                </w:p>
              </w:tc>
              <w:tc>
                <w:tcPr>
                  <w:tcW w:w="2250"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1、危险废物贮存、利用、处置设施标志应包含三角形警告性图形标志和文字性辅助标志，其中三角形警告性图形标志应符合 GB 15562.2 中的要求。</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2、危险废物贮存、利用、处置设施标志应以醒目的文字标注危险废物设施的类型。</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3、危险废物贮存、利用、处置设施标志还应包含危险废物设施所属的单位名称、设施编码、负责人及联系方式。</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cs="Times New Roman" w:eastAsiaTheme="minorEastAsia"/>
                      <w:b w:val="0"/>
                      <w:bCs/>
                      <w:color w:val="auto"/>
                      <w:kern w:val="2"/>
                      <w:sz w:val="21"/>
                      <w:szCs w:val="21"/>
                      <w:vertAlign w:val="baseline"/>
                      <w:lang w:val="en-US" w:eastAsia="zh-CN" w:bidi="ar-SA"/>
                    </w:rPr>
                  </w:pPr>
                  <w:r>
                    <w:rPr>
                      <w:rFonts w:hint="default" w:ascii="Times New Roman" w:hAnsi="Times New Roman" w:cs="Times New Roman" w:eastAsiaTheme="minorEastAsia"/>
                      <w:b w:val="0"/>
                      <w:bCs/>
                      <w:color w:val="auto"/>
                      <w:kern w:val="2"/>
                      <w:sz w:val="21"/>
                      <w:szCs w:val="21"/>
                      <w:vertAlign w:val="baseline"/>
                      <w:lang w:val="en-US" w:eastAsia="zh-CN" w:bidi="ar-SA"/>
                    </w:rPr>
                    <w:t>4、危险废物贮存、利用、处置设施标志宜设置二维码，对设施使用情况进行信息化管理。</w:t>
                  </w:r>
                </w:p>
              </w:tc>
              <w:tc>
                <w:tcPr>
                  <w:tcW w:w="2285" w:type="pct"/>
                  <w:tcBorders>
                    <w:tl2br w:val="nil"/>
                    <w:tr2bl w:val="nil"/>
                  </w:tcBorders>
                  <w:noWrap w:val="0"/>
                  <w:vAlign w:val="center"/>
                </w:tcPr>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drawing>
                      <wp:inline distT="0" distB="0" distL="114300" distR="114300">
                        <wp:extent cx="2400300" cy="1752600"/>
                        <wp:effectExtent l="0" t="0" r="0" b="0"/>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pic:cNvPicPr>
                              </pic:nvPicPr>
                              <pic:blipFill>
                                <a:blip r:embed="rId25"/>
                                <a:stretch>
                                  <a:fillRect/>
                                </a:stretch>
                              </pic:blipFill>
                              <pic:spPr>
                                <a:xfrm>
                                  <a:off x="0" y="0"/>
                                  <a:ext cx="2400300" cy="1752600"/>
                                </a:xfrm>
                                <a:prstGeom prst="rect">
                                  <a:avLst/>
                                </a:prstGeom>
                                <a:noFill/>
                                <a:ln>
                                  <a:noFill/>
                                </a:ln>
                              </pic:spPr>
                            </pic:pic>
                          </a:graphicData>
                        </a:graphic>
                      </wp:inline>
                    </w:drawing>
                  </w:r>
                </w:p>
              </w:tc>
            </w:tr>
          </w:tbl>
          <w:p>
            <w:pPr>
              <w:pStyle w:val="4"/>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color w:val="auto"/>
                <w:kern w:val="0"/>
                <w:sz w:val="24"/>
                <w:szCs w:val="24"/>
                <w:highlight w:val="none"/>
              </w:rPr>
              <w:t>从本项目产生固废的处置情况来看，各类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5、地下水、土壤环境影响和保护措施</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val="0"/>
                <w:bCs/>
                <w:color w:val="auto"/>
                <w:kern w:val="2"/>
                <w:sz w:val="24"/>
                <w:szCs w:val="24"/>
                <w:lang w:val="en-US" w:eastAsia="zh-CN" w:bidi="ar-SA"/>
              </w:rPr>
              <w:t>根据污染物泄漏的途径和生产功能单元所处的位置，厂区可划分为非污染防治区、一般污染防治区和重点污染防治区，</w:t>
            </w:r>
            <w:r>
              <w:rPr>
                <w:rFonts w:hint="default" w:ascii="Times New Roman" w:hAnsi="Times New Roman" w:cs="Times New Roman" w:eastAsiaTheme="minorEastAsia"/>
                <w:color w:val="auto"/>
                <w:sz w:val="24"/>
                <w:szCs w:val="24"/>
              </w:rPr>
              <w:t>全厂分区防渗区划见表</w:t>
            </w:r>
            <w:r>
              <w:rPr>
                <w:rFonts w:hint="default" w:ascii="Times New Roman" w:hAnsi="Times New Roman"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37</w:t>
            </w:r>
            <w:r>
              <w:rPr>
                <w:rFonts w:hint="default" w:ascii="Times New Roman" w:hAnsi="Times New Roman" w:cs="Times New Roman" w:eastAsiaTheme="minorEastAsia"/>
                <w:color w:val="auto"/>
                <w:sz w:val="24"/>
                <w:szCs w:val="24"/>
              </w:rPr>
              <w:t>：</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4-</w:t>
            </w:r>
            <w:r>
              <w:rPr>
                <w:rFonts w:hint="eastAsia" w:ascii="Times New Roman" w:hAnsi="Times New Roman" w:cs="Times New Roman" w:eastAsiaTheme="minorEastAsia"/>
                <w:b/>
                <w:bCs/>
                <w:color w:val="auto"/>
                <w:sz w:val="24"/>
                <w:szCs w:val="24"/>
                <w:lang w:val="en-US" w:eastAsia="zh-CN"/>
              </w:rPr>
              <w:t>37</w:t>
            </w:r>
            <w:r>
              <w:rPr>
                <w:rFonts w:hint="default" w:ascii="Times New Roman" w:hAnsi="Times New Roman" w:cs="Times New Roman" w:eastAsiaTheme="minorEastAsia"/>
                <w:b/>
                <w:bCs/>
                <w:color w:val="auto"/>
                <w:sz w:val="24"/>
                <w:szCs w:val="24"/>
              </w:rPr>
              <w:t xml:space="preserve">  本项目分区防渗方案及防渗措施表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6"/>
              <w:gridCol w:w="1345"/>
              <w:gridCol w:w="1324"/>
              <w:gridCol w:w="45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13"/>
                    <w:keepNext w:val="0"/>
                    <w:keepLines w:val="0"/>
                    <w:suppressLineNumbers w:val="0"/>
                    <w:spacing w:before="100" w:beforeAutospacing="1" w:after="100" w:afterAutospacing="1" w:line="240" w:lineRule="auto"/>
                    <w:ind w:left="0" w:right="0" w:firstLine="0" w:firstLine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序号</w:t>
                  </w:r>
                </w:p>
              </w:tc>
              <w:tc>
                <w:tcPr>
                  <w:tcW w:w="846" w:type="pct"/>
                  <w:tcBorders>
                    <w:tl2br w:val="nil"/>
                    <w:tr2bl w:val="nil"/>
                  </w:tcBorders>
                  <w:noWrap w:val="0"/>
                  <w:vAlign w:val="center"/>
                </w:tcPr>
                <w:p>
                  <w:pPr>
                    <w:pStyle w:val="13"/>
                    <w:keepNext w:val="0"/>
                    <w:keepLines w:val="0"/>
                    <w:suppressLineNumbers w:val="0"/>
                    <w:spacing w:before="100" w:beforeAutospacing="1" w:after="100" w:afterAutospacing="1" w:line="240" w:lineRule="auto"/>
                    <w:ind w:left="0" w:right="0" w:firstLine="0" w:firstLine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防治分区</w:t>
                  </w:r>
                </w:p>
              </w:tc>
              <w:tc>
                <w:tcPr>
                  <w:tcW w:w="833" w:type="pct"/>
                  <w:tcBorders>
                    <w:tl2br w:val="nil"/>
                    <w:tr2bl w:val="nil"/>
                  </w:tcBorders>
                  <w:noWrap w:val="0"/>
                  <w:vAlign w:val="center"/>
                </w:tcPr>
                <w:p>
                  <w:pPr>
                    <w:pStyle w:val="13"/>
                    <w:keepNext w:val="0"/>
                    <w:keepLines w:val="0"/>
                    <w:suppressLineNumbers w:val="0"/>
                    <w:spacing w:before="100" w:beforeAutospacing="1" w:after="100" w:afterAutospacing="1" w:line="240" w:lineRule="auto"/>
                    <w:ind w:left="0" w:right="0" w:firstLine="0" w:firstLine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分区位置</w:t>
                  </w:r>
                </w:p>
              </w:tc>
              <w:tc>
                <w:tcPr>
                  <w:tcW w:w="2857" w:type="pct"/>
                  <w:tcBorders>
                    <w:tl2br w:val="nil"/>
                    <w:tr2bl w:val="nil"/>
                  </w:tcBorders>
                  <w:noWrap w:val="0"/>
                  <w:vAlign w:val="center"/>
                </w:tcPr>
                <w:p>
                  <w:pPr>
                    <w:pStyle w:val="13"/>
                    <w:keepNext w:val="0"/>
                    <w:keepLines w:val="0"/>
                    <w:suppressLineNumbers w:val="0"/>
                    <w:spacing w:before="100" w:beforeAutospacing="1" w:after="100" w:afterAutospacing="1" w:line="240" w:lineRule="auto"/>
                    <w:ind w:left="0" w:right="0" w:firstLine="0" w:firstLineChars="0"/>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防渗要求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846"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重点污染</w:t>
                  </w:r>
                </w:p>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防治区</w:t>
                  </w:r>
                </w:p>
              </w:tc>
              <w:tc>
                <w:tcPr>
                  <w:tcW w:w="83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危废</w:t>
                  </w:r>
                  <w:r>
                    <w:rPr>
                      <w:rFonts w:hint="default" w:ascii="Times New Roman" w:hAnsi="Times New Roman" w:cs="Times New Roman" w:eastAsiaTheme="minorEastAsia"/>
                      <w:color w:val="auto"/>
                      <w:szCs w:val="21"/>
                      <w:lang w:val="en-US" w:eastAsia="zh-CN"/>
                    </w:rPr>
                    <w:t>仓库、事故应急池</w:t>
                  </w:r>
                  <w:r>
                    <w:rPr>
                      <w:rFonts w:hint="eastAsia" w:ascii="Times New Roman" w:hAnsi="Times New Roman" w:cs="Times New Roman" w:eastAsiaTheme="minorEastAsia"/>
                      <w:color w:val="auto"/>
                      <w:szCs w:val="21"/>
                      <w:lang w:val="en-US" w:eastAsia="zh-CN"/>
                    </w:rPr>
                    <w:t>、冷却塔</w:t>
                  </w:r>
                </w:p>
              </w:tc>
              <w:tc>
                <w:tcPr>
                  <w:tcW w:w="2857"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依据国家危险贮存标准要求设计、施工，采用 200mm 厚C15砼垫层随打随抹光，设置钢筋混凝土围堰，并采用底部加设土工膜进行防渗，使渗透系数不大于1.0×10</w:t>
                  </w:r>
                  <w:r>
                    <w:rPr>
                      <w:rFonts w:hint="default" w:ascii="Times New Roman" w:hAnsi="Times New Roman" w:cs="Times New Roman" w:eastAsiaTheme="minorEastAsia"/>
                      <w:color w:val="auto"/>
                      <w:szCs w:val="21"/>
                      <w:vertAlign w:val="superscript"/>
                      <w:lang w:val="en-US" w:eastAsia="zh-CN"/>
                    </w:rPr>
                    <w:t>-10</w:t>
                  </w:r>
                  <w:r>
                    <w:rPr>
                      <w:rFonts w:hint="default" w:ascii="Times New Roman" w:hAnsi="Times New Roman" w:cs="Times New Roman" w:eastAsiaTheme="minorEastAsia"/>
                      <w:color w:val="auto"/>
                      <w:szCs w:val="21"/>
                    </w:rPr>
                    <w:t>cm/s，且防雨和防晒。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46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2</w:t>
                  </w:r>
                </w:p>
              </w:tc>
              <w:tc>
                <w:tcPr>
                  <w:tcW w:w="846"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一般污染</w:t>
                  </w:r>
                </w:p>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防治区</w:t>
                  </w:r>
                </w:p>
              </w:tc>
              <w:tc>
                <w:tcPr>
                  <w:tcW w:w="83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生产车间</w:t>
                  </w:r>
                </w:p>
              </w:tc>
              <w:tc>
                <w:tcPr>
                  <w:tcW w:w="2857"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地面基础防渗和构筑物防渗等级达到渗透系数≤1.0×10</w:t>
                  </w:r>
                  <w:r>
                    <w:rPr>
                      <w:rFonts w:hint="default" w:ascii="Times New Roman" w:hAnsi="Times New Roman" w:cs="Times New Roman" w:eastAsiaTheme="minorEastAsia"/>
                      <w:color w:val="auto"/>
                      <w:szCs w:val="21"/>
                      <w:vertAlign w:val="superscript"/>
                      <w:lang w:val="en-US" w:eastAsia="zh-CN"/>
                    </w:rPr>
                    <w:t>-7</w:t>
                  </w:r>
                  <w:r>
                    <w:rPr>
                      <w:rFonts w:hint="default" w:ascii="Times New Roman" w:hAnsi="Times New Roman" w:cs="Times New Roman" w:eastAsiaTheme="minorEastAsia"/>
                      <w:color w:val="auto"/>
                      <w:szCs w:val="21"/>
                    </w:rPr>
                    <w:t>cm/s，相当于不小于1.5m厚的</w:t>
                  </w:r>
                  <w:r>
                    <w:rPr>
                      <w:rFonts w:hint="default" w:ascii="Times New Roman" w:hAnsi="Times New Roman" w:cs="Times New Roman" w:eastAsiaTheme="minorEastAsia"/>
                      <w:color w:val="auto"/>
                      <w:szCs w:val="21"/>
                      <w:lang w:eastAsia="zh-CN"/>
                    </w:rPr>
                    <w:t>黏土</w:t>
                  </w:r>
                  <w:r>
                    <w:rPr>
                      <w:rFonts w:hint="default" w:ascii="Times New Roman" w:hAnsi="Times New Roman" w:cs="Times New Roman" w:eastAsiaTheme="minorEastAsia"/>
                      <w:color w:val="auto"/>
                      <w:szCs w:val="21"/>
                    </w:rPr>
                    <w:t>防护层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4</w:t>
                  </w:r>
                </w:p>
              </w:tc>
              <w:tc>
                <w:tcPr>
                  <w:tcW w:w="846"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简单防渗区</w:t>
                  </w:r>
                </w:p>
              </w:tc>
              <w:tc>
                <w:tcPr>
                  <w:tcW w:w="833"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办公</w:t>
                  </w:r>
                  <w:r>
                    <w:rPr>
                      <w:rFonts w:hint="eastAsia" w:ascii="Times New Roman" w:hAnsi="Times New Roman" w:cs="Times New Roman" w:eastAsiaTheme="minorEastAsia"/>
                      <w:color w:val="auto"/>
                      <w:szCs w:val="21"/>
                      <w:lang w:val="en-US" w:eastAsia="zh-CN"/>
                    </w:rPr>
                    <w:t>楼</w:t>
                  </w:r>
                </w:p>
              </w:tc>
              <w:tc>
                <w:tcPr>
                  <w:tcW w:w="2857" w:type="pct"/>
                  <w:tcBorders>
                    <w:tl2br w:val="nil"/>
                    <w:tr2bl w:val="nil"/>
                  </w:tcBorders>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一般地面硬化</w:t>
                  </w:r>
                </w:p>
              </w:tc>
            </w:tr>
          </w:tbl>
          <w:p>
            <w:pPr>
              <w:pStyle w:val="4"/>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本项目厂区内已进行地面硬化处理，基础防渗处理已完善，不会对地下水及土壤不会产生不良影响，无需对地下水及土壤进行跟踪监测。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6、生态环境影响分析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本项目项目性质、选址符合区域生态功能区划，不会对生态环境产生影响。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7、环境风险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（1）风险调查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①危险物质调查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cs="Times New Roman" w:eastAsiaTheme="minorEastAsia"/>
                <w:color w:val="auto"/>
                <w:sz w:val="24"/>
                <w:szCs w:val="24"/>
                <w:highlight w:val="none"/>
              </w:rPr>
              <w:t>按《建设项目环境风险评价技术导则》（HJ169-2018）附录B进行突发环境事件风险物质判定</w:t>
            </w:r>
            <w:r>
              <w:rPr>
                <w:rFonts w:hint="default" w:ascii="Times New Roman" w:hAnsi="Times New Roman" w:cs="Times New Roman" w:eastAsiaTheme="minorEastAsia"/>
                <w:color w:val="auto"/>
                <w:sz w:val="24"/>
                <w:szCs w:val="24"/>
                <w:highlight w:val="none"/>
                <w:lang w:eastAsia="zh-CN"/>
              </w:rPr>
              <w:t>，全厂</w:t>
            </w:r>
            <w:r>
              <w:rPr>
                <w:rFonts w:hint="default" w:ascii="Times New Roman" w:hAnsi="Times New Roman" w:cs="Times New Roman" w:eastAsiaTheme="minorEastAsia"/>
                <w:color w:val="auto"/>
                <w:sz w:val="24"/>
                <w:szCs w:val="24"/>
                <w:highlight w:val="none"/>
              </w:rPr>
              <w:t>涉及的</w:t>
            </w:r>
            <w:r>
              <w:rPr>
                <w:rFonts w:hint="default" w:ascii="Times New Roman" w:hAnsi="Times New Roman" w:cs="Times New Roman" w:eastAsiaTheme="minorEastAsia"/>
                <w:color w:val="auto"/>
                <w:sz w:val="24"/>
                <w:szCs w:val="24"/>
                <w:highlight w:val="none"/>
                <w:lang w:eastAsia="zh-CN"/>
              </w:rPr>
              <w:t>环境</w:t>
            </w:r>
            <w:r>
              <w:rPr>
                <w:rFonts w:hint="default" w:ascii="Times New Roman" w:hAnsi="Times New Roman" w:cs="Times New Roman" w:eastAsiaTheme="minorEastAsia"/>
                <w:color w:val="auto"/>
                <w:sz w:val="24"/>
                <w:szCs w:val="24"/>
                <w:highlight w:val="none"/>
              </w:rPr>
              <w:t>风险物质为</w:t>
            </w:r>
            <w:r>
              <w:rPr>
                <w:rFonts w:hint="default" w:ascii="Times New Roman" w:hAnsi="Times New Roman" w:cs="Times New Roman" w:eastAsiaTheme="minorEastAsia"/>
                <w:color w:val="auto"/>
                <w:sz w:val="24"/>
                <w:szCs w:val="24"/>
                <w:highlight w:val="none"/>
                <w:lang w:eastAsia="zh-CN"/>
              </w:rPr>
              <w:t>危险废物。</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②</w:t>
            </w:r>
            <w:r>
              <w:rPr>
                <w:rFonts w:hint="default" w:ascii="Times New Roman" w:hAnsi="Times New Roman" w:cs="Times New Roman" w:eastAsiaTheme="minorEastAsia"/>
                <w:b w:val="0"/>
                <w:bCs w:val="0"/>
                <w:color w:val="auto"/>
                <w:sz w:val="24"/>
                <w:szCs w:val="24"/>
                <w:lang w:val="en-US" w:eastAsia="zh-CN"/>
              </w:rPr>
              <w:t>生产系统危险性调查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w:t>
            </w:r>
            <w:r>
              <w:rPr>
                <w:rFonts w:hint="eastAsia" w:ascii="Times New Roman" w:hAnsi="Times New Roman" w:cs="Times New Roman" w:eastAsiaTheme="minorEastAsia"/>
                <w:b w:val="0"/>
                <w:bCs w:val="0"/>
                <w:color w:val="auto"/>
                <w:sz w:val="24"/>
                <w:szCs w:val="24"/>
                <w:lang w:val="en-US" w:eastAsia="zh-CN"/>
              </w:rPr>
              <w:t>淋涂药剂、润滑油</w:t>
            </w:r>
            <w:r>
              <w:rPr>
                <w:rFonts w:hint="default" w:ascii="Times New Roman" w:hAnsi="Times New Roman" w:cs="Times New Roman" w:eastAsiaTheme="minorEastAsia"/>
                <w:b w:val="0"/>
                <w:bCs w:val="0"/>
                <w:color w:val="auto"/>
                <w:sz w:val="24"/>
                <w:szCs w:val="24"/>
                <w:lang w:val="en-US" w:eastAsia="zh-CN"/>
              </w:rPr>
              <w:t>等原料贮存于树脂仓库，危险废物贮存于</w:t>
            </w:r>
            <w:r>
              <w:rPr>
                <w:rFonts w:hint="eastAsia" w:ascii="Times New Roman" w:hAnsi="Times New Roman" w:cs="Times New Roman" w:eastAsiaTheme="minorEastAsia"/>
                <w:b w:val="0"/>
                <w:bCs w:val="0"/>
                <w:color w:val="auto"/>
                <w:sz w:val="24"/>
                <w:szCs w:val="24"/>
                <w:lang w:val="en-US" w:eastAsia="zh-CN"/>
              </w:rPr>
              <w:t>危废仓库</w:t>
            </w:r>
            <w:r>
              <w:rPr>
                <w:rFonts w:hint="default" w:ascii="Times New Roman" w:hAnsi="Times New Roman" w:cs="Times New Roman" w:eastAsiaTheme="minorEastAsia"/>
                <w:b w:val="0"/>
                <w:bCs w:val="0"/>
                <w:color w:val="auto"/>
                <w:sz w:val="24"/>
                <w:szCs w:val="24"/>
                <w:lang w:val="en-US" w:eastAsia="zh-CN"/>
              </w:rPr>
              <w:t>，风险源为</w:t>
            </w:r>
            <w:r>
              <w:rPr>
                <w:rFonts w:hint="eastAsia" w:ascii="Times New Roman" w:hAnsi="Times New Roman" w:cs="Times New Roman" w:eastAsiaTheme="minorEastAsia"/>
                <w:b w:val="0"/>
                <w:bCs w:val="0"/>
                <w:color w:val="auto"/>
                <w:sz w:val="24"/>
                <w:szCs w:val="24"/>
                <w:lang w:val="en-US" w:eastAsia="zh-CN"/>
              </w:rPr>
              <w:t>原料</w:t>
            </w:r>
            <w:r>
              <w:rPr>
                <w:rFonts w:hint="default" w:ascii="Times New Roman" w:hAnsi="Times New Roman" w:cs="Times New Roman" w:eastAsiaTheme="minorEastAsia"/>
                <w:b w:val="0"/>
                <w:bCs w:val="0"/>
                <w:color w:val="auto"/>
                <w:sz w:val="24"/>
                <w:szCs w:val="24"/>
                <w:lang w:val="en-US" w:eastAsia="zh-CN"/>
              </w:rPr>
              <w:t>仓库、危废</w:t>
            </w:r>
            <w:r>
              <w:rPr>
                <w:rFonts w:hint="eastAsia" w:ascii="Times New Roman" w:hAnsi="Times New Roman" w:cs="Times New Roman" w:eastAsiaTheme="minorEastAsia"/>
                <w:b w:val="0"/>
                <w:bCs w:val="0"/>
                <w:color w:val="auto"/>
                <w:sz w:val="24"/>
                <w:szCs w:val="24"/>
                <w:lang w:val="en-US" w:eastAsia="zh-CN"/>
              </w:rPr>
              <w:t>仓库</w:t>
            </w:r>
            <w:r>
              <w:rPr>
                <w:rFonts w:hint="default" w:ascii="Times New Roman" w:hAnsi="Times New Roman" w:cs="Times New Roman" w:eastAsiaTheme="minorEastAsia"/>
                <w:b w:val="0"/>
                <w:bCs w:val="0"/>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（2）风险潜势</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对照《建设项目环境风险评价技术导则》（HJT169-2018）附录B，本项目危险物质数量与临界量的比值Q见下表。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4"/>
                <w:szCs w:val="24"/>
                <w:highlight w:val="none"/>
              </w:rPr>
              <w:t>表</w:t>
            </w:r>
            <w:r>
              <w:rPr>
                <w:rFonts w:hint="default" w:ascii="Times New Roman" w:hAnsi="Times New Roman" w:cs="Times New Roman" w:eastAsiaTheme="minorEastAsia"/>
                <w:b/>
                <w:color w:val="auto"/>
                <w:sz w:val="24"/>
                <w:szCs w:val="24"/>
                <w:highlight w:val="none"/>
                <w:lang w:val="en-US" w:eastAsia="zh-CN"/>
              </w:rPr>
              <w:t>4-</w:t>
            </w:r>
            <w:r>
              <w:rPr>
                <w:rFonts w:hint="eastAsia" w:ascii="Times New Roman" w:hAnsi="Times New Roman" w:cs="Times New Roman" w:eastAsiaTheme="minorEastAsia"/>
                <w:b/>
                <w:color w:val="auto"/>
                <w:sz w:val="24"/>
                <w:szCs w:val="24"/>
                <w:highlight w:val="none"/>
                <w:lang w:val="en-US" w:eastAsia="zh-CN"/>
              </w:rPr>
              <w:t>38</w:t>
            </w:r>
            <w:r>
              <w:rPr>
                <w:rFonts w:hint="default" w:ascii="Times New Roman" w:hAnsi="Times New Roman" w:cs="Times New Roman" w:eastAsiaTheme="minorEastAsia"/>
                <w:b/>
                <w:color w:val="auto"/>
                <w:sz w:val="24"/>
                <w:szCs w:val="24"/>
                <w:highlight w:val="none"/>
              </w:rPr>
              <w:t xml:space="preserve">  危险物质与临界量比值</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88"/>
              <w:gridCol w:w="1474"/>
              <w:gridCol w:w="1191"/>
              <w:gridCol w:w="1128"/>
              <w:gridCol w:w="1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rPr>
                  </w:pPr>
                  <w:r>
                    <w:rPr>
                      <w:rFonts w:hint="default" w:ascii="Times New Roman" w:hAnsi="Times New Roman" w:cs="Times New Roman" w:eastAsiaTheme="minorEastAsia"/>
                      <w:b/>
                      <w:bCs/>
                      <w:color w:val="auto"/>
                      <w:kern w:val="24"/>
                      <w:sz w:val="21"/>
                      <w:szCs w:val="21"/>
                      <w:highlight w:val="none"/>
                    </w:rPr>
                    <w:t>序号</w:t>
                  </w:r>
                </w:p>
              </w:tc>
              <w:tc>
                <w:tcPr>
                  <w:tcW w:w="143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rPr>
                  </w:pPr>
                  <w:r>
                    <w:rPr>
                      <w:rFonts w:hint="default" w:ascii="Times New Roman" w:hAnsi="Times New Roman" w:cs="Times New Roman" w:eastAsiaTheme="minorEastAsia"/>
                      <w:b/>
                      <w:bCs/>
                      <w:color w:val="auto"/>
                      <w:kern w:val="24"/>
                      <w:sz w:val="21"/>
                      <w:szCs w:val="21"/>
                      <w:highlight w:val="none"/>
                    </w:rPr>
                    <w:t>危险物质名称</w:t>
                  </w:r>
                </w:p>
              </w:tc>
              <w:tc>
                <w:tcPr>
                  <w:tcW w:w="9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rPr>
                  </w:pPr>
                  <w:r>
                    <w:rPr>
                      <w:rFonts w:hint="default" w:ascii="Times New Roman" w:hAnsi="Times New Roman" w:cs="Times New Roman" w:eastAsiaTheme="minorEastAsia"/>
                      <w:b/>
                      <w:bCs/>
                      <w:color w:val="auto"/>
                      <w:kern w:val="24"/>
                      <w:sz w:val="21"/>
                      <w:szCs w:val="21"/>
                      <w:highlight w:val="none"/>
                    </w:rPr>
                    <w:t>最大存在总量qn(t)</w:t>
                  </w:r>
                </w:p>
              </w:tc>
              <w:tc>
                <w:tcPr>
                  <w:tcW w:w="74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rPr>
                  </w:pPr>
                  <w:r>
                    <w:rPr>
                      <w:rFonts w:hint="default" w:ascii="Times New Roman" w:hAnsi="Times New Roman" w:cs="Times New Roman" w:eastAsiaTheme="minorEastAsia"/>
                      <w:b/>
                      <w:bCs/>
                      <w:color w:val="auto"/>
                      <w:kern w:val="24"/>
                      <w:sz w:val="21"/>
                      <w:szCs w:val="21"/>
                      <w:highlight w:val="none"/>
                    </w:rPr>
                    <w:t>临界量Qn(t)</w:t>
                  </w:r>
                </w:p>
              </w:tc>
              <w:tc>
                <w:tcPr>
                  <w:tcW w:w="7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rPr>
                  </w:pPr>
                  <w:r>
                    <w:rPr>
                      <w:rFonts w:hint="default" w:ascii="Times New Roman" w:hAnsi="Times New Roman" w:cs="Times New Roman" w:eastAsiaTheme="minorEastAsia"/>
                      <w:b/>
                      <w:bCs/>
                      <w:color w:val="auto"/>
                      <w:kern w:val="24"/>
                      <w:sz w:val="21"/>
                      <w:szCs w:val="21"/>
                      <w:highlight w:val="none"/>
                    </w:rPr>
                    <w:t>qn/Qn</w:t>
                  </w:r>
                </w:p>
              </w:tc>
              <w:tc>
                <w:tcPr>
                  <w:tcW w:w="7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b/>
                      <w:bCs/>
                      <w:color w:val="auto"/>
                      <w:kern w:val="24"/>
                      <w:sz w:val="21"/>
                      <w:szCs w:val="21"/>
                      <w:highlight w:val="none"/>
                      <w:lang w:eastAsia="zh-CN"/>
                    </w:rPr>
                  </w:pPr>
                  <w:r>
                    <w:rPr>
                      <w:rFonts w:hint="default" w:ascii="Times New Roman" w:hAnsi="Times New Roman" w:cs="Times New Roman" w:eastAsiaTheme="minorEastAsia"/>
                      <w:b/>
                      <w:bCs/>
                      <w:color w:val="auto"/>
                      <w:kern w:val="24"/>
                      <w:sz w:val="21"/>
                      <w:szCs w:val="21"/>
                      <w:highlight w:val="none"/>
                      <w:lang w:eastAsia="zh-CN"/>
                    </w:rPr>
                    <w:t>风险源分布情况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4"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eastAsiaTheme="minorEastAsia"/>
                      <w:color w:val="auto"/>
                      <w:kern w:val="24"/>
                      <w:sz w:val="21"/>
                      <w:szCs w:val="21"/>
                      <w:highlight w:val="none"/>
                      <w:lang w:val="en-US" w:eastAsia="zh-CN" w:bidi="ar-SA"/>
                    </w:rPr>
                  </w:pPr>
                  <w:r>
                    <w:rPr>
                      <w:rFonts w:hint="default" w:ascii="Times New Roman" w:hAnsi="Times New Roman" w:cs="Times New Roman" w:eastAsiaTheme="minorEastAsia"/>
                      <w:color w:val="auto"/>
                      <w:kern w:val="24"/>
                      <w:sz w:val="21"/>
                      <w:szCs w:val="21"/>
                      <w:highlight w:val="none"/>
                      <w:lang w:val="en-US" w:eastAsia="zh-CN"/>
                    </w:rPr>
                    <w:t>1</w:t>
                  </w:r>
                </w:p>
              </w:tc>
              <w:tc>
                <w:tcPr>
                  <w:tcW w:w="143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淋涂药剂</w:t>
                  </w:r>
                </w:p>
              </w:tc>
              <w:tc>
                <w:tcPr>
                  <w:tcW w:w="9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0.1</w:t>
                  </w:r>
                </w:p>
              </w:tc>
              <w:tc>
                <w:tcPr>
                  <w:tcW w:w="7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50</w:t>
                  </w:r>
                  <w:r>
                    <w:rPr>
                      <w:rFonts w:hint="eastAsia" w:ascii="Times New Roman" w:hAnsi="Times New Roman" w:cs="Times New Roman" w:eastAsiaTheme="minorEastAsia"/>
                      <w:color w:val="auto"/>
                      <w:kern w:val="0"/>
                      <w:sz w:val="21"/>
                      <w:szCs w:val="21"/>
                      <w:highlight w:val="none"/>
                      <w:vertAlign w:val="superscript"/>
                      <w:lang w:val="en-US" w:eastAsia="zh-CN" w:bidi="ar-SA"/>
                    </w:rPr>
                    <w:t>①</w:t>
                  </w:r>
                </w:p>
              </w:tc>
              <w:tc>
                <w:tcPr>
                  <w:tcW w:w="7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0.002</w:t>
                  </w:r>
                </w:p>
              </w:tc>
              <w:tc>
                <w:tcPr>
                  <w:tcW w:w="7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4"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eastAsiaTheme="minorEastAsia"/>
                      <w:color w:val="auto"/>
                      <w:kern w:val="24"/>
                      <w:sz w:val="21"/>
                      <w:szCs w:val="21"/>
                      <w:highlight w:val="none"/>
                      <w:lang w:val="en-US" w:eastAsia="zh-CN" w:bidi="ar-SA"/>
                    </w:rPr>
                  </w:pPr>
                  <w:r>
                    <w:rPr>
                      <w:rFonts w:hint="default" w:ascii="Times New Roman" w:hAnsi="Times New Roman" w:cs="Times New Roman" w:eastAsiaTheme="minorEastAsia"/>
                      <w:color w:val="auto"/>
                      <w:kern w:val="24"/>
                      <w:sz w:val="21"/>
                      <w:szCs w:val="21"/>
                      <w:highlight w:val="none"/>
                      <w:lang w:val="en-US" w:eastAsia="zh-CN"/>
                    </w:rPr>
                    <w:t>2</w:t>
                  </w:r>
                </w:p>
              </w:tc>
              <w:tc>
                <w:tcPr>
                  <w:tcW w:w="143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润滑油</w:t>
                  </w:r>
                </w:p>
              </w:tc>
              <w:tc>
                <w:tcPr>
                  <w:tcW w:w="9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0.02</w:t>
                  </w:r>
                </w:p>
              </w:tc>
              <w:tc>
                <w:tcPr>
                  <w:tcW w:w="7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2500</w:t>
                  </w:r>
                </w:p>
              </w:tc>
              <w:tc>
                <w:tcPr>
                  <w:tcW w:w="7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0.000008</w:t>
                  </w:r>
                </w:p>
              </w:tc>
              <w:tc>
                <w:tcPr>
                  <w:tcW w:w="7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1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24"/>
                      <w:sz w:val="21"/>
                      <w:szCs w:val="21"/>
                      <w:highlight w:val="none"/>
                      <w:lang w:val="en-US" w:eastAsia="zh-CN"/>
                    </w:rPr>
                  </w:pPr>
                  <w:r>
                    <w:rPr>
                      <w:rFonts w:hint="eastAsia" w:ascii="Times New Roman" w:hAnsi="Times New Roman" w:cs="Times New Roman" w:eastAsiaTheme="minorEastAsia"/>
                      <w:color w:val="auto"/>
                      <w:kern w:val="24"/>
                      <w:sz w:val="21"/>
                      <w:szCs w:val="21"/>
                      <w:highlight w:val="none"/>
                      <w:lang w:val="en-US" w:eastAsia="zh-CN"/>
                    </w:rPr>
                    <w:t>3</w:t>
                  </w:r>
                </w:p>
              </w:tc>
              <w:tc>
                <w:tcPr>
                  <w:tcW w:w="143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危险废物</w:t>
                  </w:r>
                </w:p>
              </w:tc>
              <w:tc>
                <w:tcPr>
                  <w:tcW w:w="9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9.875625</w:t>
                  </w:r>
                  <w:r>
                    <w:rPr>
                      <w:rFonts w:hint="default" w:ascii="Times New Roman" w:hAnsi="Times New Roman" w:cs="Times New Roman" w:eastAsiaTheme="minorEastAsia"/>
                      <w:color w:val="auto"/>
                      <w:kern w:val="0"/>
                      <w:sz w:val="21"/>
                      <w:szCs w:val="21"/>
                      <w:highlight w:val="none"/>
                      <w:vertAlign w:val="superscript"/>
                      <w:lang w:val="en-US" w:eastAsia="zh-CN" w:bidi="ar-SA"/>
                    </w:rPr>
                    <w:t>②</w:t>
                  </w:r>
                </w:p>
              </w:tc>
              <w:tc>
                <w:tcPr>
                  <w:tcW w:w="7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50</w:t>
                  </w:r>
                  <w:r>
                    <w:rPr>
                      <w:rFonts w:hint="default" w:ascii="Times New Roman" w:hAnsi="Times New Roman" w:cs="Times New Roman" w:eastAsiaTheme="minorEastAsia"/>
                      <w:color w:val="auto"/>
                      <w:kern w:val="0"/>
                      <w:sz w:val="21"/>
                      <w:szCs w:val="21"/>
                      <w:highlight w:val="none"/>
                      <w:vertAlign w:val="superscript"/>
                      <w:lang w:val="en-US" w:eastAsia="zh-CN" w:bidi="ar-SA"/>
                    </w:rPr>
                    <w:t>①</w:t>
                  </w:r>
                </w:p>
              </w:tc>
              <w:tc>
                <w:tcPr>
                  <w:tcW w:w="7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0.1</w:t>
                  </w:r>
                  <w:r>
                    <w:rPr>
                      <w:rFonts w:hint="eastAsia" w:ascii="Times New Roman" w:hAnsi="Times New Roman" w:cs="Times New Roman" w:eastAsiaTheme="minorEastAsia"/>
                      <w:color w:val="auto"/>
                      <w:kern w:val="0"/>
                      <w:sz w:val="21"/>
                      <w:szCs w:val="21"/>
                      <w:highlight w:val="none"/>
                      <w:lang w:val="en-US" w:eastAsia="zh-CN" w:bidi="ar-SA"/>
                    </w:rPr>
                    <w:t>975123</w:t>
                  </w:r>
                </w:p>
              </w:tc>
              <w:tc>
                <w:tcPr>
                  <w:tcW w:w="7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危废</w:t>
                  </w:r>
                  <w:r>
                    <w:rPr>
                      <w:rFonts w:hint="eastAsia" w:ascii="Times New Roman" w:hAnsi="Times New Roman" w:cs="Times New Roman" w:eastAsiaTheme="minorEastAsia"/>
                      <w:color w:val="auto"/>
                      <w:kern w:val="0"/>
                      <w:sz w:val="21"/>
                      <w:szCs w:val="21"/>
                      <w:highlight w:val="none"/>
                      <w:lang w:val="en-US" w:eastAsia="zh-CN" w:bidi="ar-SA"/>
                    </w:rPr>
                    <w:t>仓</w:t>
                  </w:r>
                  <w:r>
                    <w:rPr>
                      <w:rFonts w:hint="default" w:ascii="Times New Roman" w:hAnsi="Times New Roman" w:cs="Times New Roman" w:eastAsiaTheme="minorEastAsia"/>
                      <w:color w:val="auto"/>
                      <w:kern w:val="0"/>
                      <w:sz w:val="21"/>
                      <w:szCs w:val="21"/>
                      <w:highlight w:val="none"/>
                      <w:lang w:val="en-US" w:eastAsia="zh-CN" w:bidi="ar-SA"/>
                    </w:rPr>
                    <w:t>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530"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24"/>
                      <w:sz w:val="21"/>
                      <w:szCs w:val="21"/>
                      <w:highlight w:val="none"/>
                    </w:rPr>
                    <w:t>合计</w:t>
                  </w:r>
                </w:p>
              </w:tc>
              <w:tc>
                <w:tcPr>
                  <w:tcW w:w="7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0.1</w:t>
                  </w:r>
                  <w:r>
                    <w:rPr>
                      <w:rFonts w:hint="eastAsia" w:ascii="Times New Roman" w:hAnsi="Times New Roman" w:cs="Times New Roman" w:eastAsiaTheme="minorEastAsia"/>
                      <w:color w:val="auto"/>
                      <w:kern w:val="0"/>
                      <w:sz w:val="21"/>
                      <w:szCs w:val="21"/>
                      <w:highlight w:val="none"/>
                      <w:lang w:val="en-US" w:eastAsia="zh-CN" w:bidi="ar-SA"/>
                    </w:rPr>
                    <w:t>995205</w:t>
                  </w:r>
                </w:p>
              </w:tc>
              <w:tc>
                <w:tcPr>
                  <w:tcW w:w="75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SA"/>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highlight w:val="none"/>
                <w:lang w:eastAsia="zh-CN"/>
              </w:rPr>
              <w:t>注：</w:t>
            </w:r>
            <w:r>
              <w:rPr>
                <w:rFonts w:hint="default" w:ascii="Times New Roman" w:hAnsi="Times New Roman" w:cs="Times New Roman" w:eastAsiaTheme="minorEastAsia"/>
                <w:color w:val="auto"/>
                <w:sz w:val="21"/>
                <w:szCs w:val="21"/>
                <w:highlight w:val="none"/>
                <w:lang w:val="en-US" w:eastAsia="zh-CN"/>
              </w:rPr>
              <w:t>①</w:t>
            </w:r>
            <w:r>
              <w:rPr>
                <w:rFonts w:hint="eastAsia" w:ascii="Times New Roman" w:hAnsi="Times New Roman" w:cs="Times New Roman" w:eastAsiaTheme="minorEastAsia"/>
                <w:color w:val="auto"/>
                <w:sz w:val="21"/>
                <w:szCs w:val="21"/>
                <w:highlight w:val="none"/>
                <w:lang w:val="en-US" w:eastAsia="zh-CN"/>
              </w:rPr>
              <w:t>淋涂药剂、</w:t>
            </w:r>
            <w:r>
              <w:rPr>
                <w:rFonts w:hint="default" w:ascii="Times New Roman" w:hAnsi="Times New Roman" w:cs="Times New Roman" w:eastAsiaTheme="minorEastAsia"/>
                <w:color w:val="auto"/>
                <w:sz w:val="21"/>
                <w:szCs w:val="21"/>
                <w:highlight w:val="none"/>
                <w:lang w:val="en-US" w:eastAsia="zh-CN"/>
              </w:rPr>
              <w:t>危险固废按照健康危害急性毒性物质（类别2、类别3）</w:t>
            </w:r>
            <w:r>
              <w:rPr>
                <w:rFonts w:hint="default" w:ascii="Times New Roman" w:hAnsi="Times New Roman" w:cs="Times New Roman" w:eastAsiaTheme="minorEastAsia"/>
                <w:color w:val="auto"/>
                <w:sz w:val="21"/>
                <w:szCs w:val="21"/>
                <w:lang w:eastAsia="zh-CN"/>
              </w:rPr>
              <w:t>，临界量为</w:t>
            </w:r>
            <w:r>
              <w:rPr>
                <w:rFonts w:hint="default" w:ascii="Times New Roman" w:hAnsi="Times New Roman" w:cs="Times New Roman" w:eastAsiaTheme="minorEastAsia"/>
                <w:color w:val="auto"/>
                <w:sz w:val="21"/>
                <w:szCs w:val="21"/>
                <w:lang w:val="en-US" w:eastAsia="zh-CN"/>
              </w:rPr>
              <w:t>50t。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lang w:val="en-US" w:eastAsia="zh-CN"/>
              </w:rPr>
              <w:t>②根据贮存周期折算最大存在量。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
              </w:rPr>
            </w:pPr>
            <w:r>
              <w:rPr>
                <w:rFonts w:hint="default" w:ascii="Times New Roman" w:hAnsi="Times New Roman" w:cs="Times New Roman" w:eastAsiaTheme="minorEastAsia"/>
                <w:b w:val="0"/>
                <w:bCs w:val="0"/>
                <w:color w:val="auto"/>
                <w:kern w:val="2"/>
                <w:sz w:val="24"/>
                <w:szCs w:val="24"/>
                <w:lang w:val="en-US" w:eastAsia="zh-CN" w:bidi="ar"/>
              </w:rPr>
              <w:t>综上，本项目Q＜1，因此本项目环境风险潜势为Ⅰ，因此可开展简单分析。</w:t>
            </w:r>
          </w:p>
          <w:p>
            <w:pPr>
              <w:pStyle w:val="2"/>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2"/>
              <w:rPr>
                <w:rFonts w:hint="default" w:ascii="Times New Roman" w:hAnsi="Times New Roman" w:cs="Times New Roman" w:eastAsiaTheme="minorEastAsia"/>
                <w:b w:val="0"/>
                <w:bCs w:val="0"/>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环境风险识别及典型事故情形</w:t>
            </w:r>
          </w:p>
          <w:p>
            <w:pPr>
              <w:pStyle w:val="2"/>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2"/>
              <w:rPr>
                <w:rFonts w:hint="default" w:ascii="Times New Roman" w:hAnsi="Times New Roman" w:cs="Times New Roman" w:eastAsiaTheme="minorEastAsia"/>
                <w:b w:val="0"/>
                <w:bCs w:val="0"/>
                <w:color w:val="auto"/>
                <w:kern w:val="2"/>
                <w:sz w:val="24"/>
                <w:szCs w:val="24"/>
                <w:lang w:val="en-US" w:eastAsia="zh-CN" w:bidi="ar"/>
              </w:rPr>
            </w:pPr>
            <w:r>
              <w:rPr>
                <w:rFonts w:hint="default" w:ascii="Times New Roman" w:hAnsi="Times New Roman" w:cs="Times New Roman" w:eastAsiaTheme="minorEastAsia"/>
                <w:b w:val="0"/>
                <w:bCs w:val="0"/>
                <w:color w:val="auto"/>
                <w:kern w:val="2"/>
                <w:sz w:val="24"/>
                <w:szCs w:val="24"/>
                <w:lang w:val="en-US" w:eastAsia="zh-CN" w:bidi="ar"/>
              </w:rPr>
              <w:t>项目主要环境风险识别及典型事故情形如下。</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bCs w:val="0"/>
                <w:color w:val="auto"/>
                <w:kern w:val="2"/>
                <w:sz w:val="24"/>
                <w:szCs w:val="24"/>
                <w:lang w:val="en-US" w:eastAsia="zh-CN" w:bidi="ar-SA"/>
              </w:rPr>
              <w:t>表4-</w:t>
            </w:r>
            <w:r>
              <w:rPr>
                <w:rFonts w:hint="eastAsia" w:ascii="Times New Roman" w:hAnsi="Times New Roman" w:cs="Times New Roman" w:eastAsiaTheme="minorEastAsia"/>
                <w:b/>
                <w:bCs w:val="0"/>
                <w:color w:val="auto"/>
                <w:kern w:val="2"/>
                <w:sz w:val="24"/>
                <w:szCs w:val="24"/>
                <w:lang w:val="en-US" w:eastAsia="zh-CN" w:bidi="ar-SA"/>
              </w:rPr>
              <w:t>3</w:t>
            </w:r>
            <w:r>
              <w:rPr>
                <w:rFonts w:hint="default" w:ascii="Times New Roman" w:hAnsi="Times New Roman" w:cs="Times New Roman" w:eastAsiaTheme="minorEastAsia"/>
                <w:b/>
                <w:bCs w:val="0"/>
                <w:color w:val="auto"/>
                <w:kern w:val="2"/>
                <w:sz w:val="24"/>
                <w:szCs w:val="24"/>
                <w:lang w:val="en-US" w:eastAsia="zh-CN" w:bidi="ar-SA"/>
              </w:rPr>
              <w:t>9 项目涉及的危险物质环境风险识别及典型事故情形一览表</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2"/>
              <w:gridCol w:w="442"/>
              <w:gridCol w:w="1564"/>
              <w:gridCol w:w="1412"/>
              <w:gridCol w:w="2348"/>
              <w:gridCol w:w="1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内容</w:t>
                  </w:r>
                </w:p>
              </w:tc>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类型</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风险源</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主要危险物质</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典型事故情形</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风险类型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物质危险性</w:t>
                  </w:r>
                </w:p>
              </w:tc>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原料贮存系统</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原料仓库</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PC粒子、PE膜</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遇明火</w:t>
                  </w:r>
                  <w:r>
                    <w:rPr>
                      <w:rFonts w:hint="default" w:ascii="Times New Roman" w:hAnsi="Times New Roman" w:cs="Times New Roman" w:eastAsiaTheme="minorEastAsia"/>
                      <w:color w:val="auto"/>
                      <w:sz w:val="21"/>
                      <w:szCs w:val="21"/>
                    </w:rPr>
                    <w:t>引起火灾、爆炸等</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燃烧爆炸、大气污染；下渗污染地下水、土壤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生产系统</w:t>
                  </w:r>
                  <w:r>
                    <w:rPr>
                      <w:rFonts w:hint="default" w:ascii="Times New Roman" w:hAnsi="Times New Roman" w:cs="Times New Roman" w:eastAsiaTheme="minorEastAsia"/>
                      <w:bCs/>
                      <w:color w:val="auto"/>
                      <w:kern w:val="0"/>
                      <w:sz w:val="21"/>
                      <w:szCs w:val="21"/>
                    </w:rPr>
                    <w:t>危险性</w:t>
                  </w:r>
                </w:p>
              </w:tc>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挤出单元</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挤出机</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PC</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设备牵引区若润滑不足或维护不当，滑动摩擦可能引发局部过热，甚至火灾</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燃烧爆炸、大气污染；</w:t>
                  </w:r>
                  <w:r>
                    <w:rPr>
                      <w:rFonts w:hint="default" w:ascii="Times New Roman" w:hAnsi="Times New Roman" w:cs="Times New Roman" w:eastAsiaTheme="minorEastAsia"/>
                      <w:color w:val="auto"/>
                      <w:sz w:val="21"/>
                      <w:szCs w:val="21"/>
                      <w:lang w:val="en-US" w:eastAsia="zh-CN"/>
                    </w:rPr>
                    <w:t>金属</w:t>
                  </w:r>
                  <w:r>
                    <w:rPr>
                      <w:rFonts w:hint="default" w:ascii="Times New Roman" w:hAnsi="Times New Roman" w:cs="Times New Roman" w:eastAsiaTheme="minorEastAsia"/>
                      <w:color w:val="auto"/>
                      <w:sz w:val="21"/>
                      <w:szCs w:val="21"/>
                    </w:rPr>
                    <w:t>下渗污染地下水、土壤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kern w:val="0"/>
                      <w:sz w:val="21"/>
                      <w:szCs w:val="21"/>
                    </w:rPr>
                    <w:t>环保工程危险性</w:t>
                  </w:r>
                </w:p>
              </w:tc>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废气处理系统</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二级活性炭吸附装置</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非甲烷总烃</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含酚类、氯苯类</w:t>
                  </w:r>
                  <w:r>
                    <w:rPr>
                      <w:rFonts w:hint="default" w:ascii="Times New Roman" w:hAnsi="Times New Roman" w:cs="Times New Roman" w:eastAsiaTheme="minorEastAsia"/>
                      <w:color w:val="auto"/>
                      <w:sz w:val="21"/>
                      <w:szCs w:val="21"/>
                      <w:lang w:eastAsia="zh-CN"/>
                    </w:rPr>
                    <w:t>）</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阀门泄漏、废气收集管道破损、风机损坏等；活性炭吸附箱遇明火会发生燃烧爆炸</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超标排放、燃烧爆炸、大气污染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278"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废水处理系统</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rPr>
                    <w:t>事故应急池</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rPr>
                    <w:t>事故废水、消防水</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rPr>
                    <w:t>防渗层破损，废水下渗</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rPr>
                    <w:t>超标排放、下渗污染地下水、土壤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27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雨水排放口</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消防水</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切换闸控操作不当</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超标排放、水体污染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27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rPr>
                  </w:pPr>
                </w:p>
              </w:tc>
              <w:tc>
                <w:tcPr>
                  <w:tcW w:w="27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危废处理系统</w:t>
                  </w:r>
                </w:p>
              </w:tc>
              <w:tc>
                <w:tcPr>
                  <w:tcW w:w="9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危废贮存库</w:t>
                  </w:r>
                </w:p>
              </w:tc>
              <w:tc>
                <w:tcPr>
                  <w:tcW w:w="888"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废</w:t>
                  </w:r>
                  <w:r>
                    <w:rPr>
                      <w:rFonts w:hint="default" w:ascii="Times New Roman" w:hAnsi="Times New Roman" w:cs="Times New Roman" w:eastAsiaTheme="minorEastAsia"/>
                      <w:bCs/>
                      <w:color w:val="auto"/>
                      <w:sz w:val="21"/>
                      <w:szCs w:val="21"/>
                      <w:lang w:val="en-US" w:eastAsia="zh-CN"/>
                    </w:rPr>
                    <w:t>活性炭、空压机含油废水</w:t>
                  </w:r>
                  <w:r>
                    <w:rPr>
                      <w:rFonts w:hint="default" w:ascii="Times New Roman" w:hAnsi="Times New Roman" w:cs="Times New Roman" w:eastAsiaTheme="minorEastAsia"/>
                      <w:bCs/>
                      <w:color w:val="auto"/>
                      <w:sz w:val="21"/>
                      <w:szCs w:val="21"/>
                    </w:rPr>
                    <w:t>等</w:t>
                  </w:r>
                </w:p>
              </w:tc>
              <w:tc>
                <w:tcPr>
                  <w:tcW w:w="147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包装袋、包装桶破裂</w:t>
                  </w:r>
                </w:p>
              </w:tc>
              <w:tc>
                <w:tcPr>
                  <w:tcW w:w="109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土壤、地下水污染</w:t>
                  </w:r>
                </w:p>
              </w:tc>
            </w:tr>
          </w:tbl>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bidi="ar"/>
              </w:rPr>
            </w:pPr>
            <w:r>
              <w:rPr>
                <w:rFonts w:hint="default" w:ascii="Times New Roman" w:hAnsi="Times New Roman" w:cs="Times New Roman" w:eastAsiaTheme="minorEastAsia"/>
                <w:b/>
                <w:bCs/>
                <w:color w:val="auto"/>
                <w:kern w:val="2"/>
                <w:sz w:val="24"/>
                <w:szCs w:val="24"/>
                <w:lang w:bidi="ar"/>
              </w:rPr>
              <w:t>环境风险防范</w:t>
            </w:r>
            <w:r>
              <w:rPr>
                <w:rFonts w:hint="default" w:ascii="Times New Roman" w:hAnsi="Times New Roman" w:cs="Times New Roman" w:eastAsiaTheme="minorEastAsia"/>
                <w:b/>
                <w:bCs/>
                <w:color w:val="auto"/>
                <w:kern w:val="2"/>
                <w:sz w:val="24"/>
                <w:szCs w:val="24"/>
                <w:lang w:val="en-US" w:eastAsia="zh-CN" w:bidi="ar"/>
              </w:rPr>
              <w:t>应急</w:t>
            </w:r>
            <w:r>
              <w:rPr>
                <w:rFonts w:hint="default" w:ascii="Times New Roman" w:hAnsi="Times New Roman" w:cs="Times New Roman" w:eastAsiaTheme="minorEastAsia"/>
                <w:b/>
                <w:bCs/>
                <w:color w:val="auto"/>
                <w:kern w:val="2"/>
                <w:sz w:val="24"/>
                <w:szCs w:val="24"/>
                <w:lang w:bidi="ar"/>
              </w:rPr>
              <w:t>措施</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（1）大气风险防范</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发生大气风险事故的原因主要有以下几个：</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①废气处理系统出现故障，未经处理的废气排入大气环境中；</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②生产过程中由于设备老化、腐蚀、失误操作等原因造成车间废气浓度超标；</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③厂内突然停电，废气处理系统停止工作，致使废气不能得到及时处理而造成事故排放；</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④管理人员的疏忽和失职。</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为杜绝事故性废气排放，建议采用以下措施来确保废气达标排放：</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①平时加强废气处理设施的维护保养，及时发现处理设备的隐患，并及时进行维修，确保废气处理系统正常运行；</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②建立健全的环保机构，配置必要的监测仪器，对管理人员和技术人员进行岗位培训，对废气处理实行全过程跟踪控制。</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一旦废气处理装置发生故障，应立即停止生产，检查事故发生原因，通知下风向受影响的居民及时疏散，并及时进行现场及敏感点处的空气质量监测</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（2）事故废水环境风险防范措施</w:t>
            </w:r>
          </w:p>
          <w:p>
            <w:pPr>
              <w:keepNext w:val="0"/>
              <w:keepLines w:val="0"/>
              <w:widowControl/>
              <w:suppressLineNumbers w:val="0"/>
              <w:autoSpaceDE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lang w:val="zh-CN"/>
              </w:rPr>
            </w:pPr>
            <w:r>
              <w:rPr>
                <w:rFonts w:hint="default" w:ascii="Times New Roman" w:hAnsi="Times New Roman" w:cs="Times New Roman" w:eastAsiaTheme="minorEastAsia"/>
                <w:color w:val="auto"/>
                <w:kern w:val="2"/>
                <w:sz w:val="24"/>
                <w:szCs w:val="24"/>
                <w:lang w:val="en-US" w:eastAsia="zh-CN" w:bidi="ar"/>
              </w:rPr>
              <w:t>本项目虽不属于化工行业，但涉及可燃物质（如聚碳酸酯），事故消防废水混入聚碳酸酯燃烧产物（苯酚类等），为了最大程度降低建设项目事故发生时对水环境的影响，参考《建设项目环境风险评价技术导则》（HJ 169-2018）要求，设置足够容量的废水事故废水收集措施用于贮存生产事故废水和消防废水等</w:t>
            </w:r>
            <w:r>
              <w:rPr>
                <w:rFonts w:hint="default" w:ascii="Times New Roman" w:hAnsi="Times New Roman" w:cs="Times New Roman" w:eastAsiaTheme="minorEastAsia"/>
                <w:color w:val="auto"/>
                <w:sz w:val="24"/>
                <w:lang w:val="zh-CN"/>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根据《事故状态下水体污染的预防和控制规范》</w:t>
            </w:r>
            <w:r>
              <w:rPr>
                <w:rFonts w:hint="default" w:ascii="Times New Roman" w:hAnsi="Times New Roman" w:cs="Times New Roman" w:eastAsiaTheme="minorEastAsia"/>
                <w:color w:val="auto"/>
                <w:kern w:val="0"/>
                <w:sz w:val="24"/>
                <w:lang w:eastAsia="zh-CN"/>
              </w:rPr>
              <w:t>（</w:t>
            </w:r>
            <w:r>
              <w:rPr>
                <w:rFonts w:hint="default" w:ascii="Times New Roman" w:hAnsi="Times New Roman" w:cs="Times New Roman" w:eastAsiaTheme="minorEastAsia"/>
                <w:color w:val="auto"/>
                <w:kern w:val="0"/>
                <w:sz w:val="24"/>
              </w:rPr>
              <w:t>Q/SY08190-2019</w:t>
            </w:r>
            <w:r>
              <w:rPr>
                <w:rFonts w:hint="default" w:ascii="Times New Roman" w:hAnsi="Times New Roman" w:cs="Times New Roman" w:eastAsiaTheme="minorEastAsia"/>
                <w:color w:val="auto"/>
                <w:kern w:val="0"/>
                <w:sz w:val="24"/>
                <w:lang w:eastAsia="zh-CN"/>
              </w:rPr>
              <w:t>）</w:t>
            </w:r>
            <w:r>
              <w:rPr>
                <w:rFonts w:hint="default" w:ascii="Times New Roman" w:hAnsi="Times New Roman" w:cs="Times New Roman" w:eastAsiaTheme="minorEastAsia"/>
                <w:color w:val="auto"/>
                <w:kern w:val="0"/>
                <w:sz w:val="24"/>
              </w:rPr>
              <w:t>，事故储存设施总有效容积的核算考虑以下几个方面：</w:t>
            </w:r>
          </w:p>
          <w:p>
            <w:pPr>
              <w:keepNext w:val="0"/>
              <w:keepLines w:val="0"/>
              <w:suppressLineNumbers w:val="0"/>
              <w:snapToGrid w:val="0"/>
              <w:spacing w:before="0" w:beforeAutospacing="0" w:after="0" w:afterAutospacing="0" w:line="360" w:lineRule="auto"/>
              <w:ind w:left="0" w:right="0" w:firstLine="48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总</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1</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2</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vertAlign w:val="subscript"/>
              </w:rPr>
              <w:t>max</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4</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5</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1</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kern w:val="0"/>
                <w:sz w:val="24"/>
              </w:rPr>
              <w:t>最大一个容器的设备（装置）或贮罐的物料贮存量，m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（本项目</w:t>
            </w:r>
            <w:r>
              <w:rPr>
                <w:rFonts w:hint="default" w:ascii="Times New Roman" w:hAnsi="Times New Roman" w:cs="Times New Roman" w:eastAsiaTheme="minorEastAsia"/>
                <w:color w:val="auto"/>
                <w:kern w:val="0"/>
                <w:sz w:val="24"/>
                <w:lang w:val="en-US" w:eastAsia="zh-CN"/>
              </w:rPr>
              <w:t>冷却水槽有效容积=</w:t>
            </w:r>
            <w:r>
              <w:rPr>
                <w:rFonts w:hint="default" w:ascii="Times New Roman" w:hAnsi="Times New Roman" w:cs="Times New Roman" w:eastAsiaTheme="minorEastAsia"/>
                <w:b w:val="0"/>
                <w:bCs w:val="0"/>
                <w:color w:val="auto"/>
                <w:sz w:val="24"/>
                <w:szCs w:val="24"/>
                <w:vertAlign w:val="baseline"/>
                <w:lang w:val="en-US" w:eastAsia="zh-CN"/>
              </w:rPr>
              <w:t>2.5×0.4×0.4×80%=0.32m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eastAsiaTheme="minorEastAsia"/>
                <w:color w:val="auto"/>
                <w:kern w:val="0"/>
                <w:sz w:val="24"/>
                <w:lang w:val="en-US" w:eastAsia="zh-CN"/>
              </w:rPr>
              <w:t>，</w:t>
            </w: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1</w:t>
            </w:r>
            <w:r>
              <w:rPr>
                <w:rFonts w:hint="default" w:ascii="Times New Roman" w:hAnsi="Times New Roman" w:cs="Times New Roman" w:eastAsiaTheme="minorEastAsia"/>
                <w:color w:val="auto"/>
                <w:kern w:val="0"/>
                <w:sz w:val="24"/>
              </w:rPr>
              <w:t>取</w:t>
            </w:r>
            <w:r>
              <w:rPr>
                <w:rFonts w:hint="default" w:ascii="Times New Roman" w:hAnsi="Times New Roman" w:cs="Times New Roman" w:eastAsiaTheme="minorEastAsia"/>
                <w:color w:val="auto"/>
                <w:kern w:val="0"/>
                <w:sz w:val="24"/>
                <w:lang w:val="en-US" w:eastAsia="zh-CN"/>
              </w:rPr>
              <w:t>0.32</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w:t>
            </w:r>
            <w:r>
              <w:rPr>
                <w:rFonts w:hint="default" w:ascii="Times New Roman" w:hAnsi="Times New Roman" w:cs="Times New Roman" w:eastAsiaTheme="minorEastAsia"/>
                <w:color w:val="auto"/>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2</w:t>
            </w:r>
            <w:r>
              <w:rPr>
                <w:rFonts w:hint="default" w:ascii="Times New Roman" w:hAnsi="Times New Roman" w:cs="Times New Roman" w:eastAsiaTheme="minorEastAsia"/>
                <w:color w:val="auto"/>
                <w:sz w:val="24"/>
              </w:rPr>
              <w:t>——发生事故的储罐或装置的消防水量，</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sz w:val="24"/>
              </w:rPr>
              <w:t>；</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bidi="ar"/>
              </w:rPr>
            </w:pPr>
            <w:r>
              <w:rPr>
                <w:rFonts w:hint="default" w:ascii="Times New Roman" w:hAnsi="Times New Roman" w:cs="Times New Roman" w:eastAsiaTheme="minorEastAsia"/>
                <w:color w:val="auto"/>
                <w:kern w:val="2"/>
                <w:sz w:val="24"/>
                <w:szCs w:val="24"/>
                <w:lang w:bidi="ar"/>
              </w:rPr>
              <w:t>根据《建筑防火通用规范》（GB55037-2022）表10.1.5 不同建筑的设计火灾延续时间，甲、乙、丙类仓库及甲、乙、丙厂房设计火灾延续时间为3h；丁、戊类仓库及厂房设计火灾延续时间为2h。</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bidi="ar"/>
              </w:rPr>
            </w:pPr>
            <w:r>
              <w:rPr>
                <w:rFonts w:hint="default" w:ascii="Times New Roman" w:hAnsi="Times New Roman" w:cs="Times New Roman" w:eastAsiaTheme="minorEastAsia"/>
                <w:color w:val="auto"/>
                <w:kern w:val="2"/>
                <w:sz w:val="24"/>
                <w:szCs w:val="24"/>
                <w:lang w:bidi="ar"/>
              </w:rPr>
              <w:t>根据《消防给水及消火栓系统技术规范》（GB50974-2014），根据表3.3.2建筑物室外消火栓设计流量（L/s）</w:t>
            </w:r>
            <w:r>
              <w:rPr>
                <w:rFonts w:hint="default" w:ascii="Times New Roman" w:hAnsi="Times New Roman" w:cs="Times New Roman" w:eastAsiaTheme="minorEastAsia"/>
                <w:color w:val="auto"/>
                <w:kern w:val="2"/>
                <w:sz w:val="24"/>
                <w:szCs w:val="24"/>
                <w:lang w:val="en-US" w:eastAsia="zh-CN" w:bidi="ar"/>
              </w:rPr>
              <w:t>及表3.5.2建筑物室内消火栓设计流量，</w:t>
            </w:r>
            <w:r>
              <w:rPr>
                <w:rFonts w:hint="default" w:ascii="Times New Roman" w:hAnsi="Times New Roman" w:cs="Times New Roman" w:eastAsiaTheme="minorEastAsia"/>
                <w:color w:val="auto"/>
                <w:kern w:val="2"/>
                <w:sz w:val="24"/>
                <w:szCs w:val="24"/>
                <w:lang w:bidi="ar"/>
              </w:rPr>
              <w:t>本次项目</w:t>
            </w:r>
            <w:r>
              <w:rPr>
                <w:rFonts w:hint="default" w:ascii="Times New Roman" w:hAnsi="Times New Roman" w:cs="Times New Roman" w:eastAsiaTheme="minorEastAsia"/>
                <w:color w:val="auto"/>
                <w:sz w:val="24"/>
              </w:rPr>
              <w:t>室内消火栓消防水用量为10L/s</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kern w:val="2"/>
                <w:sz w:val="24"/>
                <w:szCs w:val="24"/>
                <w:lang w:bidi="ar"/>
              </w:rPr>
              <w:t>室外消火栓按照15L/s计；</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2"/>
                <w:sz w:val="24"/>
                <w:szCs w:val="24"/>
                <w:lang w:bidi="ar"/>
              </w:rPr>
              <w:t>本项目生产车间为</w:t>
            </w:r>
            <w:r>
              <w:rPr>
                <w:rFonts w:hint="eastAsia" w:ascii="Times New Roman" w:hAnsi="Times New Roman" w:cs="Times New Roman" w:eastAsiaTheme="minorEastAsia"/>
                <w:color w:val="auto"/>
                <w:kern w:val="2"/>
                <w:sz w:val="24"/>
                <w:szCs w:val="24"/>
                <w:lang w:val="en-US" w:eastAsia="zh-CN" w:bidi="ar"/>
              </w:rPr>
              <w:t>戊</w:t>
            </w:r>
            <w:r>
              <w:rPr>
                <w:rFonts w:hint="default" w:ascii="Times New Roman" w:hAnsi="Times New Roman" w:cs="Times New Roman" w:eastAsiaTheme="minorEastAsia"/>
                <w:color w:val="auto"/>
                <w:kern w:val="2"/>
                <w:sz w:val="24"/>
                <w:szCs w:val="24"/>
                <w:lang w:bidi="ar"/>
              </w:rPr>
              <w:t>类厂房，发生火灾时候，考虑室外消防废水，根据表 3.6.2戊类厂房火灾延续时间为</w:t>
            </w:r>
            <w:r>
              <w:rPr>
                <w:rFonts w:hint="default" w:ascii="Times New Roman" w:hAnsi="Times New Roman" w:cs="Times New Roman" w:eastAsiaTheme="minorEastAsia"/>
                <w:color w:val="auto"/>
                <w:kern w:val="2"/>
                <w:sz w:val="24"/>
                <w:szCs w:val="24"/>
                <w:lang w:val="en-US" w:eastAsia="zh-CN" w:bidi="ar"/>
              </w:rPr>
              <w:t>2</w:t>
            </w:r>
            <w:r>
              <w:rPr>
                <w:rFonts w:hint="default" w:ascii="Times New Roman" w:hAnsi="Times New Roman" w:cs="Times New Roman" w:eastAsiaTheme="minorEastAsia"/>
                <w:color w:val="auto"/>
                <w:kern w:val="2"/>
                <w:sz w:val="24"/>
                <w:szCs w:val="24"/>
                <w:lang w:bidi="ar"/>
              </w:rPr>
              <w:t>h，则本次项目最大消防用水为V2=</w:t>
            </w:r>
            <w:r>
              <w:rPr>
                <w:rFonts w:hint="default" w:ascii="Times New Roman" w:hAnsi="Times New Roman" w:cs="Times New Roman" w:eastAsiaTheme="minorEastAsia"/>
                <w:color w:val="auto"/>
                <w:kern w:val="2"/>
                <w:sz w:val="24"/>
                <w:szCs w:val="24"/>
                <w:lang w:val="en-US" w:eastAsia="zh-CN" w:bidi="ar"/>
              </w:rPr>
              <w:t>25</w:t>
            </w:r>
            <w:r>
              <w:rPr>
                <w:rFonts w:hint="default" w:ascii="Times New Roman" w:hAnsi="Times New Roman" w:cs="Times New Roman" w:eastAsiaTheme="minorEastAsia"/>
                <w:color w:val="auto"/>
                <w:kern w:val="2"/>
                <w:sz w:val="24"/>
                <w:szCs w:val="24"/>
                <w:lang w:bidi="ar"/>
              </w:rPr>
              <w:t>×3600×</w:t>
            </w:r>
            <w:r>
              <w:rPr>
                <w:rFonts w:hint="default" w:ascii="Times New Roman" w:hAnsi="Times New Roman" w:cs="Times New Roman" w:eastAsiaTheme="minorEastAsia"/>
                <w:color w:val="auto"/>
                <w:kern w:val="2"/>
                <w:sz w:val="24"/>
                <w:szCs w:val="24"/>
                <w:lang w:val="en-US" w:eastAsia="zh-CN" w:bidi="ar"/>
              </w:rPr>
              <w:t>2</w:t>
            </w:r>
            <w:r>
              <w:rPr>
                <w:rFonts w:hint="default" w:ascii="Times New Roman" w:hAnsi="Times New Roman" w:cs="Times New Roman" w:eastAsiaTheme="minorEastAsia"/>
                <w:color w:val="auto"/>
                <w:kern w:val="2"/>
                <w:sz w:val="24"/>
                <w:szCs w:val="24"/>
                <w:lang w:bidi="ar"/>
              </w:rPr>
              <w:t>/1000=1</w:t>
            </w:r>
            <w:r>
              <w:rPr>
                <w:rFonts w:hint="default" w:ascii="Times New Roman" w:hAnsi="Times New Roman" w:cs="Times New Roman" w:eastAsiaTheme="minorEastAsia"/>
                <w:color w:val="auto"/>
                <w:kern w:val="2"/>
                <w:sz w:val="24"/>
                <w:szCs w:val="24"/>
                <w:lang w:val="en-US" w:eastAsia="zh-CN" w:bidi="ar"/>
              </w:rPr>
              <w:t>80</w:t>
            </w:r>
            <w:r>
              <w:rPr>
                <w:rFonts w:hint="default" w:ascii="Times New Roman" w:hAnsi="Times New Roman" w:cs="Times New Roman" w:eastAsiaTheme="minorEastAsia"/>
                <w:color w:val="auto"/>
                <w:kern w:val="2"/>
                <w:sz w:val="24"/>
                <w:szCs w:val="24"/>
                <w:lang w:bidi="ar"/>
              </w:rPr>
              <w:t>m</w:t>
            </w:r>
            <w:r>
              <w:rPr>
                <w:rFonts w:hint="default" w:ascii="Times New Roman" w:hAnsi="Times New Roman" w:cs="Times New Roman" w:eastAsiaTheme="minorEastAsia"/>
                <w:color w:val="auto"/>
                <w:kern w:val="2"/>
                <w:sz w:val="24"/>
                <w:szCs w:val="24"/>
                <w:vertAlign w:val="superscript"/>
                <w:lang w:bidi="ar"/>
              </w:rPr>
              <w:t>3</w:t>
            </w:r>
            <w:r>
              <w:rPr>
                <w:rFonts w:hint="default" w:ascii="Times New Roman" w:hAnsi="Times New Roman" w:cs="Times New Roman" w:eastAsiaTheme="minorEastAsia"/>
                <w:color w:val="auto"/>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kern w:val="2"/>
                <w:sz w:val="24"/>
                <w:szCs w:val="24"/>
                <w:lang w:bidi="ar"/>
              </w:rPr>
              <w:t>发生事故时可以传输到其他储存或处理设施的物料量，m</w:t>
            </w:r>
            <w:r>
              <w:rPr>
                <w:rFonts w:hint="default" w:ascii="Times New Roman" w:hAnsi="Times New Roman" w:cs="Times New Roman" w:eastAsiaTheme="minorEastAsia"/>
                <w:color w:val="auto"/>
                <w:kern w:val="2"/>
                <w:sz w:val="24"/>
                <w:szCs w:val="24"/>
                <w:vertAlign w:val="superscript"/>
                <w:lang w:bidi="ar"/>
              </w:rPr>
              <w:t>3</w:t>
            </w:r>
            <w:r>
              <w:rPr>
                <w:rFonts w:hint="default" w:ascii="Times New Roman" w:hAnsi="Times New Roman" w:cs="Times New Roman" w:eastAsiaTheme="minorEastAsia"/>
                <w:color w:val="auto"/>
                <w:kern w:val="2"/>
                <w:sz w:val="24"/>
                <w:szCs w:val="24"/>
                <w:lang w:bidi="ar"/>
              </w:rPr>
              <w:t>；按最坏情况计，项目内未设置围堰，则 V3=0 m</w:t>
            </w:r>
            <w:r>
              <w:rPr>
                <w:rFonts w:hint="default" w:ascii="Times New Roman" w:hAnsi="Times New Roman" w:cs="Times New Roman" w:eastAsiaTheme="minorEastAsia"/>
                <w:color w:val="auto"/>
                <w:kern w:val="2"/>
                <w:sz w:val="24"/>
                <w:szCs w:val="24"/>
                <w:vertAlign w:val="superscript"/>
                <w:lang w:bidi="ar"/>
              </w:rPr>
              <w:t>3</w:t>
            </w:r>
            <w:r>
              <w:rPr>
                <w:rFonts w:hint="default" w:ascii="Times New Roman" w:hAnsi="Times New Roman" w:cs="Times New Roman" w:eastAsiaTheme="minorEastAsia"/>
                <w:color w:val="auto"/>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4</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kern w:val="0"/>
                <w:sz w:val="24"/>
              </w:rPr>
              <w:t>发生事故时仍必须进入该收集系统的生产废水量，m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（本项目V</w:t>
            </w:r>
            <w:r>
              <w:rPr>
                <w:rFonts w:hint="default" w:ascii="Times New Roman" w:hAnsi="Times New Roman" w:cs="Times New Roman" w:eastAsiaTheme="minorEastAsia"/>
                <w:color w:val="auto"/>
                <w:kern w:val="0"/>
                <w:sz w:val="24"/>
                <w:vertAlign w:val="subscript"/>
              </w:rPr>
              <w:t>4</w:t>
            </w:r>
            <w:r>
              <w:rPr>
                <w:rFonts w:hint="default" w:ascii="Times New Roman" w:hAnsi="Times New Roman" w:cs="Times New Roman" w:eastAsiaTheme="minorEastAsia"/>
                <w:color w:val="auto"/>
                <w:kern w:val="0"/>
                <w:sz w:val="24"/>
              </w:rPr>
              <w:t>取0）</w:t>
            </w:r>
            <w:r>
              <w:rPr>
                <w:rFonts w:hint="default" w:ascii="Times New Roman" w:hAnsi="Times New Roman" w:cs="Times New Roman" w:eastAsiaTheme="minorEastAsia"/>
                <w:color w:val="auto"/>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5</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kern w:val="0"/>
                <w:sz w:val="24"/>
              </w:rPr>
              <w:t>发生事故时可能进入该收集系统的降雨量，m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5</w:t>
            </w:r>
            <w:r>
              <w:rPr>
                <w:rFonts w:hint="default" w:ascii="Times New Roman" w:hAnsi="Times New Roman" w:cs="Times New Roman" w:eastAsiaTheme="minorEastAsia"/>
                <w:color w:val="auto"/>
                <w:kern w:val="0"/>
                <w:sz w:val="24"/>
              </w:rPr>
              <w:t>=10qF</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q——降雨强度，mm。</w:t>
            </w:r>
            <w:r>
              <w:rPr>
                <w:rFonts w:hint="default" w:ascii="Times New Roman" w:hAnsi="Times New Roman" w:cs="Times New Roman" w:eastAsiaTheme="minorEastAsia"/>
                <w:color w:val="auto"/>
                <w:kern w:val="2"/>
                <w:sz w:val="24"/>
                <w:szCs w:val="24"/>
                <w:lang w:bidi="ar"/>
              </w:rPr>
              <w:t>如皋市年平均降雨量1000 mm，年平均降雨日数为150天</w:t>
            </w:r>
            <w:r>
              <w:rPr>
                <w:rFonts w:hint="default" w:ascii="Times New Roman" w:hAnsi="Times New Roman" w:cs="Times New Roman" w:eastAsiaTheme="minorEastAsia"/>
                <w:color w:val="auto"/>
                <w:kern w:val="2"/>
                <w:sz w:val="24"/>
                <w:szCs w:val="24"/>
                <w:lang w:eastAsia="zh-CN" w:bidi="ar"/>
              </w:rPr>
              <w:t>，</w:t>
            </w:r>
            <w:r>
              <w:rPr>
                <w:rFonts w:hint="default" w:ascii="Times New Roman" w:hAnsi="Times New Roman" w:cs="Times New Roman" w:eastAsiaTheme="minorEastAsia"/>
                <w:color w:val="auto"/>
                <w:kern w:val="2"/>
                <w:sz w:val="24"/>
                <w:szCs w:val="24"/>
                <w:lang w:bidi="ar"/>
              </w:rPr>
              <w:t>平均日降雨量为6.67 mm</w:t>
            </w:r>
            <w:r>
              <w:rPr>
                <w:rFonts w:hint="default" w:ascii="Times New Roman" w:hAnsi="Times New Roman" w:cs="Times New Roman" w:eastAsiaTheme="minorEastAsia"/>
                <w:color w:val="auto"/>
                <w:kern w:val="0"/>
                <w:sz w:val="24"/>
              </w:rPr>
              <w:t>；</w:t>
            </w:r>
          </w:p>
          <w:p>
            <w:pPr>
              <w:keepNext w:val="0"/>
              <w:keepLines w:val="0"/>
              <w:suppressLineNumbers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F——汇水面积hm</w:t>
            </w:r>
            <w:r>
              <w:rPr>
                <w:rFonts w:hint="default" w:ascii="Times New Roman" w:hAnsi="Times New Roman" w:cs="Times New Roman" w:eastAsiaTheme="minorEastAsia"/>
                <w:color w:val="auto"/>
                <w:kern w:val="0"/>
                <w:sz w:val="24"/>
                <w:vertAlign w:val="superscript"/>
              </w:rPr>
              <w:t>2</w:t>
            </w:r>
            <w:r>
              <w:rPr>
                <w:rFonts w:hint="default" w:ascii="Times New Roman" w:hAnsi="Times New Roman" w:cs="Times New Roman" w:eastAsiaTheme="minorEastAsia"/>
                <w:color w:val="auto"/>
                <w:kern w:val="0"/>
                <w:sz w:val="24"/>
              </w:rPr>
              <w:t>，F=</w:t>
            </w:r>
            <w:r>
              <w:rPr>
                <w:rFonts w:hint="default" w:ascii="Times New Roman" w:hAnsi="Times New Roman" w:cs="Times New Roman" w:eastAsiaTheme="minorEastAsia"/>
                <w:color w:val="auto"/>
                <w:kern w:val="0"/>
                <w:sz w:val="24"/>
                <w:lang w:val="en-US" w:eastAsia="zh-CN"/>
              </w:rPr>
              <w:t>0.</w:t>
            </w:r>
            <w:r>
              <w:rPr>
                <w:rFonts w:hint="eastAsia" w:ascii="Times New Roman" w:hAnsi="Times New Roman" w:cs="Times New Roman" w:eastAsiaTheme="minorEastAsia"/>
                <w:color w:val="auto"/>
                <w:kern w:val="0"/>
                <w:sz w:val="24"/>
                <w:lang w:val="en-US" w:eastAsia="zh-CN"/>
              </w:rPr>
              <w:t>57</w:t>
            </w:r>
            <w:r>
              <w:rPr>
                <w:rFonts w:hint="default" w:ascii="Times New Roman" w:hAnsi="Times New Roman" w:cs="Times New Roman" w:eastAsiaTheme="minorEastAsia"/>
                <w:color w:val="auto"/>
                <w:kern w:val="0"/>
                <w:sz w:val="24"/>
              </w:rPr>
              <w:t>hm</w:t>
            </w:r>
            <w:r>
              <w:rPr>
                <w:rFonts w:hint="default" w:ascii="Times New Roman" w:hAnsi="Times New Roman" w:cs="Times New Roman" w:eastAsiaTheme="minorEastAsia"/>
                <w:color w:val="auto"/>
                <w:kern w:val="0"/>
                <w:sz w:val="24"/>
                <w:vertAlign w:val="superscript"/>
              </w:rPr>
              <w:t>2</w:t>
            </w:r>
            <w:r>
              <w:rPr>
                <w:rFonts w:hint="default" w:ascii="Times New Roman" w:hAnsi="Times New Roman" w:cs="Times New Roman" w:eastAsiaTheme="minorEastAsia"/>
                <w:color w:val="auto"/>
                <w:kern w:val="0"/>
                <w:sz w:val="24"/>
              </w:rPr>
              <w:t>；</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bCs/>
                <w:color w:val="auto"/>
                <w:kern w:val="0"/>
                <w:sz w:val="24"/>
              </w:rPr>
              <w:t>则</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5</w:t>
            </w:r>
            <w:r>
              <w:rPr>
                <w:rFonts w:hint="default" w:ascii="Times New Roman" w:hAnsi="Times New Roman" w:cs="Times New Roman" w:eastAsiaTheme="minorEastAsia"/>
                <w:bCs/>
                <w:color w:val="auto"/>
                <w:kern w:val="0"/>
                <w:sz w:val="24"/>
              </w:rPr>
              <w:t>=10</w:t>
            </w:r>
            <w:r>
              <w:rPr>
                <w:rFonts w:hint="default" w:ascii="Times New Roman" w:hAnsi="Times New Roman" w:cs="Times New Roman" w:eastAsiaTheme="minorEastAsia"/>
                <w:color w:val="auto"/>
                <w:kern w:val="2"/>
                <w:sz w:val="24"/>
                <w:szCs w:val="24"/>
                <w:lang w:bidi="ar"/>
              </w:rPr>
              <w:t>×</w:t>
            </w:r>
            <w:r>
              <w:rPr>
                <w:rFonts w:hint="default" w:ascii="Times New Roman" w:hAnsi="Times New Roman" w:cs="Times New Roman" w:eastAsiaTheme="minorEastAsia"/>
                <w:bCs/>
                <w:color w:val="auto"/>
                <w:kern w:val="0"/>
                <w:sz w:val="24"/>
                <w:lang w:val="en-US" w:eastAsia="zh-CN"/>
              </w:rPr>
              <w:t>6.67</w:t>
            </w:r>
            <w:r>
              <w:rPr>
                <w:rFonts w:hint="default" w:ascii="Times New Roman" w:hAnsi="Times New Roman" w:cs="Times New Roman" w:eastAsiaTheme="minorEastAsia"/>
                <w:color w:val="auto"/>
                <w:kern w:val="2"/>
                <w:sz w:val="24"/>
                <w:szCs w:val="24"/>
                <w:lang w:bidi="ar"/>
              </w:rPr>
              <w:t>×</w:t>
            </w:r>
            <w:r>
              <w:rPr>
                <w:rFonts w:hint="default" w:ascii="Times New Roman" w:hAnsi="Times New Roman" w:cs="Times New Roman" w:eastAsiaTheme="minorEastAsia"/>
                <w:bCs/>
                <w:color w:val="auto"/>
                <w:kern w:val="0"/>
                <w:sz w:val="24"/>
              </w:rPr>
              <w:t>0.</w:t>
            </w:r>
            <w:r>
              <w:rPr>
                <w:rFonts w:hint="eastAsia" w:ascii="Times New Roman" w:hAnsi="Times New Roman" w:cs="Times New Roman" w:eastAsiaTheme="minorEastAsia"/>
                <w:bCs/>
                <w:color w:val="auto"/>
                <w:kern w:val="0"/>
                <w:sz w:val="24"/>
                <w:lang w:val="en-US" w:eastAsia="zh-CN"/>
              </w:rPr>
              <w:t>57</w:t>
            </w:r>
            <w:r>
              <w:rPr>
                <w:rFonts w:hint="default" w:ascii="Times New Roman" w:hAnsi="Times New Roman" w:cs="Times New Roman" w:eastAsiaTheme="minorEastAsia"/>
                <w:bCs/>
                <w:color w:val="auto"/>
                <w:kern w:val="0"/>
                <w:sz w:val="24"/>
              </w:rPr>
              <w:t>=</w:t>
            </w:r>
            <w:r>
              <w:rPr>
                <w:rFonts w:hint="eastAsia" w:ascii="Times New Roman" w:hAnsi="Times New Roman" w:cs="Times New Roman" w:eastAsiaTheme="minorEastAsia"/>
                <w:bCs/>
                <w:color w:val="auto"/>
                <w:kern w:val="0"/>
                <w:sz w:val="24"/>
                <w:lang w:val="en-US" w:eastAsia="zh-CN"/>
              </w:rPr>
              <w:t>38.019</w:t>
            </w:r>
            <w:r>
              <w:rPr>
                <w:rFonts w:hint="default" w:ascii="Times New Roman" w:hAnsi="Times New Roman" w:cs="Times New Roman" w:eastAsiaTheme="minorEastAsia"/>
                <w:bCs/>
                <w:color w:val="auto"/>
                <w:kern w:val="0"/>
                <w:sz w:val="24"/>
              </w:rPr>
              <w:t>m</w:t>
            </w:r>
            <w:r>
              <w:rPr>
                <w:rFonts w:hint="default" w:ascii="Times New Roman" w:hAnsi="Times New Roman" w:cs="Times New Roman" w:eastAsiaTheme="minorEastAsia"/>
                <w:bCs/>
                <w:color w:val="auto"/>
                <w:kern w:val="0"/>
                <w:sz w:val="24"/>
                <w:vertAlign w:val="superscript"/>
              </w:rPr>
              <w:t>3</w:t>
            </w:r>
            <w:r>
              <w:rPr>
                <w:rFonts w:hint="default" w:ascii="Times New Roman" w:hAnsi="Times New Roman" w:cs="Times New Roman" w:eastAsiaTheme="minorEastAsia"/>
                <w:bCs/>
                <w:color w:val="auto"/>
                <w:kern w:val="0"/>
                <w:sz w:val="24"/>
              </w:rPr>
              <w:t>。</w:t>
            </w:r>
          </w:p>
          <w:p>
            <w:pPr>
              <w:keepNext w:val="0"/>
              <w:keepLines w:val="0"/>
              <w:suppressLineNumbers w:val="0"/>
              <w:adjustRightInd w:val="0"/>
              <w:snapToGrid w:val="0"/>
              <w:spacing w:before="0" w:beforeAutospacing="0" w:after="0" w:afterAutospacing="0" w:line="360" w:lineRule="auto"/>
              <w:ind w:left="0" w:right="0" w:firstLine="480"/>
              <w:jc w:val="left"/>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总</w:t>
            </w: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1</w:t>
            </w: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2</w:t>
            </w:r>
            <w:r>
              <w:rPr>
                <w:rFonts w:hint="default" w:ascii="Times New Roman" w:hAnsi="Times New Roman" w:cs="Times New Roman" w:eastAsiaTheme="minorEastAsia"/>
                <w:color w:val="auto"/>
                <w:kern w:val="0"/>
                <w:sz w:val="24"/>
              </w:rPr>
              <w:t>－</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3</w:t>
            </w:r>
            <w:r>
              <w:rPr>
                <w:rFonts w:hint="default" w:ascii="Times New Roman" w:hAnsi="Times New Roman" w:cs="Times New Roman" w:eastAsiaTheme="minorEastAsia"/>
                <w:color w:val="auto"/>
                <w:kern w:val="0"/>
                <w:sz w:val="24"/>
              </w:rPr>
              <w:t>）max＋V</w:t>
            </w:r>
            <w:r>
              <w:rPr>
                <w:rFonts w:hint="default" w:ascii="Times New Roman" w:hAnsi="Times New Roman" w:cs="Times New Roman" w:eastAsiaTheme="minorEastAsia"/>
                <w:color w:val="auto"/>
                <w:kern w:val="0"/>
                <w:sz w:val="24"/>
                <w:vertAlign w:val="subscript"/>
              </w:rPr>
              <w:t>4</w:t>
            </w:r>
            <w:r>
              <w:rPr>
                <w:rFonts w:hint="default" w:ascii="Times New Roman" w:hAnsi="Times New Roman" w:cs="Times New Roman" w:eastAsiaTheme="minorEastAsia"/>
                <w:color w:val="auto"/>
                <w:kern w:val="0"/>
                <w:sz w:val="24"/>
              </w:rPr>
              <w:t>+V</w:t>
            </w:r>
            <w:r>
              <w:rPr>
                <w:rFonts w:hint="default" w:ascii="Times New Roman" w:hAnsi="Times New Roman" w:cs="Times New Roman" w:eastAsiaTheme="minorEastAsia"/>
                <w:color w:val="auto"/>
                <w:kern w:val="0"/>
                <w:sz w:val="24"/>
                <w:vertAlign w:val="subscript"/>
              </w:rPr>
              <w:t>5</w:t>
            </w:r>
            <w:r>
              <w:rPr>
                <w:rFonts w:hint="default" w:ascii="Times New Roman" w:hAnsi="Times New Roman" w:cs="Times New Roman" w:eastAsiaTheme="minorEastAsia"/>
                <w:color w:val="auto"/>
                <w:kern w:val="0"/>
                <w:sz w:val="24"/>
              </w:rPr>
              <w:t>＝（</w:t>
            </w:r>
            <w:r>
              <w:rPr>
                <w:rFonts w:hint="default" w:ascii="Times New Roman" w:hAnsi="Times New Roman" w:cs="Times New Roman" w:eastAsiaTheme="minorEastAsia"/>
                <w:color w:val="auto"/>
                <w:kern w:val="0"/>
                <w:sz w:val="24"/>
                <w:lang w:val="en-US" w:eastAsia="zh-CN"/>
              </w:rPr>
              <w:t>0.32</w:t>
            </w:r>
            <w:r>
              <w:rPr>
                <w:rFonts w:hint="default" w:ascii="Times New Roman" w:hAnsi="Times New Roman" w:cs="Times New Roman" w:eastAsiaTheme="minorEastAsia"/>
                <w:color w:val="auto"/>
                <w:kern w:val="0"/>
                <w:sz w:val="24"/>
              </w:rPr>
              <w:t>+180-</w:t>
            </w:r>
            <w:r>
              <w:rPr>
                <w:rFonts w:hint="default" w:ascii="Times New Roman" w:hAnsi="Times New Roman" w:cs="Times New Roman" w:eastAsiaTheme="minorEastAsia"/>
                <w:color w:val="auto"/>
                <w:kern w:val="0"/>
                <w:sz w:val="24"/>
                <w:lang w:val="en-US" w:eastAsia="zh-CN"/>
              </w:rPr>
              <w:t>0</w:t>
            </w:r>
            <w:r>
              <w:rPr>
                <w:rFonts w:hint="default" w:ascii="Times New Roman" w:hAnsi="Times New Roman" w:cs="Times New Roman" w:eastAsiaTheme="minorEastAsia"/>
                <w:color w:val="auto"/>
                <w:kern w:val="0"/>
                <w:sz w:val="24"/>
              </w:rPr>
              <w:t>）+0+</w:t>
            </w:r>
            <w:r>
              <w:rPr>
                <w:rFonts w:hint="eastAsia" w:ascii="Times New Roman" w:hAnsi="Times New Roman" w:cs="Times New Roman" w:eastAsiaTheme="minorEastAsia"/>
                <w:color w:val="auto"/>
                <w:kern w:val="0"/>
                <w:sz w:val="24"/>
                <w:lang w:val="en-US" w:eastAsia="zh-CN"/>
              </w:rPr>
              <w:t>38.019</w:t>
            </w:r>
            <w:r>
              <w:rPr>
                <w:rFonts w:hint="default" w:ascii="Times New Roman" w:hAnsi="Times New Roman" w:cs="Times New Roman" w:eastAsiaTheme="minorEastAsia"/>
                <w:color w:val="auto"/>
                <w:kern w:val="0"/>
                <w:sz w:val="24"/>
              </w:rPr>
              <w:t>=</w:t>
            </w:r>
            <w:r>
              <w:rPr>
                <w:rFonts w:hint="eastAsia" w:ascii="Times New Roman" w:hAnsi="Times New Roman" w:cs="Times New Roman" w:eastAsiaTheme="minorEastAsia"/>
                <w:color w:val="auto"/>
                <w:kern w:val="0"/>
                <w:sz w:val="24"/>
                <w:lang w:val="en-US" w:eastAsia="zh-CN"/>
              </w:rPr>
              <w:t>218.339</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0"/>
                <w:sz w:val="24"/>
              </w:rPr>
              <w:t>经计算，厂区所需</w:t>
            </w:r>
            <w:r>
              <w:rPr>
                <w:rFonts w:hint="default" w:ascii="Times New Roman" w:hAnsi="Times New Roman" w:cs="Times New Roman" w:eastAsiaTheme="minorEastAsia"/>
                <w:color w:val="auto"/>
                <w:kern w:val="0"/>
                <w:sz w:val="24"/>
                <w:lang w:val="en-US" w:eastAsia="zh-CN"/>
              </w:rPr>
              <w:t>应急储存设施</w:t>
            </w:r>
            <w:r>
              <w:rPr>
                <w:rFonts w:hint="default" w:ascii="Times New Roman" w:hAnsi="Times New Roman" w:cs="Times New Roman" w:eastAsiaTheme="minorEastAsia"/>
                <w:color w:val="auto"/>
                <w:kern w:val="0"/>
                <w:sz w:val="24"/>
              </w:rPr>
              <w:t>总容积为</w:t>
            </w:r>
            <w:r>
              <w:rPr>
                <w:rFonts w:hint="eastAsia" w:ascii="Times New Roman" w:hAnsi="Times New Roman" w:cs="Times New Roman" w:eastAsiaTheme="minorEastAsia"/>
                <w:color w:val="auto"/>
                <w:kern w:val="0"/>
                <w:sz w:val="24"/>
                <w:lang w:val="en-US" w:eastAsia="zh-CN"/>
              </w:rPr>
              <w:t>218.339</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，考虑最不利情形，本项目建议建设单位应在厂</w:t>
            </w:r>
            <w:r>
              <w:rPr>
                <w:rFonts w:hint="eastAsia" w:ascii="Times New Roman" w:hAnsi="Times New Roman" w:cs="Times New Roman" w:eastAsiaTheme="minorEastAsia"/>
                <w:color w:val="auto"/>
                <w:kern w:val="0"/>
                <w:sz w:val="24"/>
                <w:lang w:val="en-US" w:eastAsia="zh-CN"/>
              </w:rPr>
              <w:t>区西北</w:t>
            </w:r>
            <w:r>
              <w:rPr>
                <w:rFonts w:hint="default" w:ascii="Times New Roman" w:hAnsi="Times New Roman" w:cs="Times New Roman" w:eastAsiaTheme="minorEastAsia"/>
                <w:color w:val="auto"/>
                <w:kern w:val="0"/>
                <w:sz w:val="24"/>
              </w:rPr>
              <w:t>侧</w:t>
            </w:r>
            <w:r>
              <w:rPr>
                <w:rFonts w:hint="default" w:ascii="Times New Roman" w:hAnsi="Times New Roman" w:cs="Times New Roman" w:eastAsiaTheme="minorEastAsia"/>
                <w:color w:val="auto"/>
                <w:kern w:val="0"/>
                <w:sz w:val="24"/>
                <w:lang w:val="en-US" w:eastAsia="zh-CN"/>
              </w:rPr>
              <w:t>设置</w:t>
            </w:r>
            <w:r>
              <w:rPr>
                <w:rFonts w:hint="default" w:ascii="Times New Roman" w:hAnsi="Times New Roman" w:cs="Times New Roman" w:eastAsiaTheme="minorEastAsia"/>
                <w:color w:val="auto"/>
                <w:kern w:val="0"/>
                <w:sz w:val="24"/>
              </w:rPr>
              <w:t>不小于</w:t>
            </w:r>
            <w:r>
              <w:rPr>
                <w:rFonts w:hint="default" w:ascii="Times New Roman" w:hAnsi="Times New Roman" w:cs="Times New Roman" w:eastAsiaTheme="minorEastAsia"/>
                <w:color w:val="auto"/>
                <w:kern w:val="0"/>
                <w:sz w:val="24"/>
                <w:lang w:val="en-US" w:eastAsia="zh-CN"/>
              </w:rPr>
              <w:t>2</w:t>
            </w:r>
            <w:r>
              <w:rPr>
                <w:rFonts w:hint="eastAsia" w:ascii="Times New Roman" w:hAnsi="Times New Roman" w:cs="Times New Roman" w:eastAsiaTheme="minorEastAsia"/>
                <w:color w:val="auto"/>
                <w:kern w:val="0"/>
                <w:sz w:val="24"/>
                <w:lang w:val="en-US" w:eastAsia="zh-CN"/>
              </w:rPr>
              <w:t>2</w:t>
            </w:r>
            <w:r>
              <w:rPr>
                <w:rFonts w:hint="default" w:ascii="Times New Roman" w:hAnsi="Times New Roman" w:cs="Times New Roman" w:eastAsiaTheme="minorEastAsia"/>
                <w:color w:val="auto"/>
                <w:kern w:val="0"/>
                <w:sz w:val="24"/>
                <w:lang w:val="en-US" w:eastAsia="zh-CN"/>
              </w:rPr>
              <w:t>0</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的</w:t>
            </w:r>
            <w:r>
              <w:rPr>
                <w:rFonts w:hint="default" w:ascii="Times New Roman" w:hAnsi="Times New Roman" w:cs="Times New Roman" w:eastAsiaTheme="minorEastAsia"/>
                <w:color w:val="auto"/>
                <w:kern w:val="0"/>
                <w:sz w:val="24"/>
                <w:lang w:val="en-US" w:eastAsia="zh-CN"/>
              </w:rPr>
              <w:t>事故应急池</w:t>
            </w:r>
            <w:r>
              <w:rPr>
                <w:rFonts w:hint="default" w:ascii="Times New Roman" w:hAnsi="Times New Roman" w:cs="Times New Roman" w:eastAsiaTheme="minorEastAsia"/>
                <w:color w:val="auto"/>
                <w:kern w:val="0"/>
                <w:sz w:val="24"/>
              </w:rPr>
              <w:t>，能满足事故废水收集的要求。</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（3）原料储存环境风险防范措施</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①原料不得露天堆放，储存于阴凉通风仓间内，远离火种、热源，防止阳光直射，应与易燃或可燃物分开存放。搬运时轻装轻卸，防止原料桶破损或倾倒。</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②划定禁火区，在明显地点设有警示标志，输配电线、灯具、火灾事故照明和疏散指示标志均应符合安全要求；严禁未安装灭火装置的车辆出入生产装置区。</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③合理规划运输路线及时间，加强危险化学物品运输车辆的管理，严格遵守危 险品运输管理规定，避免运输过程事故的发生。</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④在装卸化学危险物品前，要预先做好准备工作，了解物品性质，检查装卸搬运的工具是否牢固，不牢固的应予以更换或修理。操作人员应根据不同物资的危险特性，分别穿戴相应的防护用具。操作前应由专人检查用具是否妥善，穿戴是否合适。操作后应进行清洗或消毒，放在专用的箱柜中保管。化学危险物品撒落在地面、车板上时，应及时扫除。在装卸化学危险物品时，不得饮酒、吸烟。工作完毕后根据工作情况和危险品的性质，及时清洗手、脸、漱口或淋浴。必须保持现场空气流通，如果发现中毒现象，立即到新鲜空气处休息，脱去工作服和防护用具，清洗皮肤沾染部分，重者送医院诊治。危险化学品贮存须符合《常用化学危险品贮存通则》（GB15603-1995）的规定。危险化学品入库前必须进行入库验收，包装物破损、有泄漏的严禁入库。</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b/>
                <w:bCs/>
                <w:color w:val="auto"/>
                <w:sz w:val="24"/>
                <w:szCs w:val="24"/>
                <w:lang w:eastAsia="zh-CN" w:bidi="ar"/>
              </w:rPr>
            </w:pPr>
            <w:r>
              <w:rPr>
                <w:rFonts w:hint="default" w:ascii="Times New Roman" w:hAnsi="Times New Roman" w:cs="Times New Roman" w:eastAsiaTheme="minorEastAsia"/>
                <w:color w:val="auto"/>
                <w:kern w:val="2"/>
                <w:sz w:val="24"/>
                <w:szCs w:val="24"/>
                <w:lang w:val="en-US" w:eastAsia="zh-CN" w:bidi="ar"/>
              </w:rPr>
              <w:t>⑤本项目存放的PC粒子可燃、燃烧会生产剧毒性的CO（不完全燃烧产物），因此储存、运输及使用中严格防火、防静电，一旦发生意外引发火灾，立即切断电源、移走周边可燃物，聚碳酸酯粒子火灾应首选ABC干粉灭火器，因其通过化学抑制快速中断燃烧链式反应，特别适配PC热塑性、高温碳化及带电火灾的特性，且灭火后无水体污染风险；二氧化碳灭火器可作为次选用于电气火灾但范围有限。必须严禁使用直流水扑救，因其会导致熔融物飞溅、流淌火扩大及产生含酚类的高毒废水，造成重大环境灾难</w:t>
            </w:r>
            <w:r>
              <w:rPr>
                <w:rFonts w:hint="default" w:ascii="Times New Roman" w:hAnsi="Times New Roman" w:cs="Times New Roman" w:eastAsiaTheme="minorEastAsia"/>
                <w:color w:val="auto"/>
                <w:sz w:val="24"/>
                <w:lang w:val="zh-CN"/>
              </w:rPr>
              <w:t>。消防员：自给式空气呼吸器（SCBA）、化学防护服、手套和护目镜。</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sz w:val="24"/>
                <w:szCs w:val="24"/>
                <w:lang w:eastAsia="zh-CN" w:bidi="ar"/>
              </w:rPr>
              <w:t>（</w:t>
            </w:r>
            <w:r>
              <w:rPr>
                <w:rFonts w:hint="default" w:ascii="Times New Roman" w:hAnsi="Times New Roman" w:cs="Times New Roman" w:eastAsiaTheme="minorEastAsia"/>
                <w:b/>
                <w:bCs/>
                <w:color w:val="auto"/>
                <w:sz w:val="24"/>
                <w:szCs w:val="24"/>
                <w:lang w:val="en-US" w:eastAsia="zh-CN" w:bidi="ar"/>
              </w:rPr>
              <w:t>4</w:t>
            </w:r>
            <w:r>
              <w:rPr>
                <w:rFonts w:hint="default" w:ascii="Times New Roman" w:hAnsi="Times New Roman" w:cs="Times New Roman" w:eastAsiaTheme="minorEastAsia"/>
                <w:b/>
                <w:bCs/>
                <w:color w:val="auto"/>
                <w:sz w:val="24"/>
                <w:szCs w:val="24"/>
                <w:lang w:eastAsia="zh-CN" w:bidi="ar"/>
              </w:rPr>
              <w:t>）</w:t>
            </w:r>
            <w:r>
              <w:rPr>
                <w:rFonts w:hint="default" w:ascii="Times New Roman" w:hAnsi="Times New Roman" w:cs="Times New Roman" w:eastAsiaTheme="minorEastAsia"/>
                <w:b/>
                <w:bCs/>
                <w:color w:val="auto"/>
                <w:kern w:val="2"/>
                <w:sz w:val="24"/>
                <w:szCs w:val="24"/>
                <w:lang w:val="en-US" w:eastAsia="zh-CN" w:bidi="ar"/>
              </w:rPr>
              <w:t>生产过程环境风险防范措施</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b/>
                <w:bCs/>
                <w:color w:val="auto"/>
                <w:sz w:val="24"/>
                <w:szCs w:val="24"/>
                <w:lang w:eastAsia="zh-CN" w:bidi="ar"/>
              </w:rPr>
            </w:pPr>
            <w:r>
              <w:rPr>
                <w:rFonts w:hint="default" w:ascii="Times New Roman" w:hAnsi="Times New Roman" w:cs="Times New Roman" w:eastAsiaTheme="minorEastAsia"/>
                <w:color w:val="auto"/>
                <w:kern w:val="2"/>
                <w:sz w:val="24"/>
                <w:szCs w:val="24"/>
                <w:lang w:val="en-US" w:eastAsia="zh-CN" w:bidi="ar"/>
              </w:rPr>
              <w:t>生产过程中风险点主要为：设备故障导致有毒气体意外释放</w:t>
            </w:r>
            <w:r>
              <w:rPr>
                <w:rFonts w:hint="default" w:ascii="Times New Roman" w:hAnsi="Times New Roman" w:cs="Times New Roman" w:eastAsiaTheme="minorEastAsia"/>
                <w:color w:val="auto"/>
                <w:sz w:val="24"/>
                <w:lang w:val="zh-CN"/>
              </w:rPr>
              <w:t>。</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b w:val="0"/>
                <w:bCs w:val="0"/>
                <w:color w:val="auto"/>
                <w:sz w:val="24"/>
                <w:szCs w:val="24"/>
                <w:lang w:val="en-US" w:eastAsia="zh-CN" w:bidi="ar"/>
              </w:rPr>
            </w:pPr>
            <w:r>
              <w:rPr>
                <w:rFonts w:hint="default" w:ascii="Times New Roman" w:hAnsi="Times New Roman" w:cs="Times New Roman" w:eastAsiaTheme="minorEastAsia"/>
                <w:b w:val="0"/>
                <w:bCs w:val="0"/>
                <w:color w:val="auto"/>
                <w:sz w:val="24"/>
                <w:szCs w:val="24"/>
                <w:lang w:val="en-US" w:eastAsia="zh-CN" w:bidi="ar"/>
              </w:rPr>
              <w:t>防范措施：自动化控制：挤出温度、压力实时监控，超限自动报警停机。</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b w:val="0"/>
                <w:bCs w:val="0"/>
                <w:color w:val="auto"/>
                <w:sz w:val="24"/>
                <w:szCs w:val="24"/>
                <w:lang w:val="en-US" w:eastAsia="zh-CN" w:bidi="ar"/>
              </w:rPr>
            </w:pPr>
            <w:r>
              <w:rPr>
                <w:rFonts w:hint="default" w:ascii="Times New Roman" w:hAnsi="Times New Roman" w:cs="Times New Roman" w:eastAsiaTheme="minorEastAsia"/>
                <w:b w:val="0"/>
                <w:bCs w:val="0"/>
                <w:color w:val="auto"/>
                <w:sz w:val="24"/>
                <w:szCs w:val="24"/>
                <w:lang w:val="en-US" w:eastAsia="zh-CN" w:bidi="ar"/>
              </w:rPr>
              <w:t>应急措施：立即疏散人员至上风向安全区，迅速切断设备电源并关闭原料阀门；穿戴A级防化服和正压呼吸器处置泄漏源（堵漏/吸附），喷洒碱液中和酸性气体（如苯酚），启动防爆风机稀释一氧化碳；同时监测气体浓度，转移中毒者至通风处急救（皮肤接触苯酚需清水冲洗15分钟），送医时强调毒物类型并持续观察24小时；事后彻底清理污染，排查设备过热或密封故障，并升级温控/报警系统预防复发。</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sz w:val="24"/>
                <w:szCs w:val="24"/>
                <w:lang w:eastAsia="zh-CN" w:bidi="ar"/>
              </w:rPr>
              <w:t>（</w:t>
            </w:r>
            <w:r>
              <w:rPr>
                <w:rFonts w:hint="eastAsia" w:ascii="Times New Roman" w:hAnsi="Times New Roman" w:cs="Times New Roman" w:eastAsiaTheme="minorEastAsia"/>
                <w:b/>
                <w:bCs/>
                <w:color w:val="auto"/>
                <w:sz w:val="24"/>
                <w:szCs w:val="24"/>
                <w:lang w:val="en-US" w:eastAsia="zh-CN" w:bidi="ar"/>
              </w:rPr>
              <w:t>5</w:t>
            </w:r>
            <w:r>
              <w:rPr>
                <w:rFonts w:hint="default" w:ascii="Times New Roman" w:hAnsi="Times New Roman" w:cs="Times New Roman" w:eastAsiaTheme="minorEastAsia"/>
                <w:b/>
                <w:bCs/>
                <w:color w:val="auto"/>
                <w:sz w:val="24"/>
                <w:szCs w:val="24"/>
                <w:lang w:eastAsia="zh-CN" w:bidi="ar"/>
              </w:rPr>
              <w:t>）</w:t>
            </w:r>
            <w:r>
              <w:rPr>
                <w:rFonts w:hint="default" w:ascii="Times New Roman" w:hAnsi="Times New Roman" w:cs="Times New Roman" w:eastAsiaTheme="minorEastAsia"/>
                <w:b/>
                <w:bCs/>
                <w:color w:val="auto"/>
                <w:kern w:val="2"/>
                <w:sz w:val="24"/>
                <w:szCs w:val="24"/>
                <w:lang w:val="en-US" w:eastAsia="zh-CN" w:bidi="ar"/>
              </w:rPr>
              <w:t>危废贮存环境风险防范措施</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本项目危废贮存风险点为活性炭、废润滑油、空压机含油废水贮存不当污染土壤或地下水。</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规范措施：1、规范贮存：危废暂存库防渗、防风、防雨，设置泄露收集槽；分类存放并张贴标识，定期移交有资质单位处置。2、台账管理：记录危废种类、数量、转移联单，留存至少5年。</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应急措施： 危废泄漏时，用吸附棉围堵，收集后按危废处置；土壤污染立即隔离，委托第三方开展应急调查与修复。</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b/>
                <w:bCs/>
                <w:color w:val="auto"/>
                <w:sz w:val="24"/>
                <w:szCs w:val="24"/>
                <w:lang w:bidi="ar"/>
              </w:rPr>
            </w:pPr>
            <w:r>
              <w:rPr>
                <w:rFonts w:hint="default" w:ascii="Times New Roman" w:hAnsi="Times New Roman" w:cs="Times New Roman" w:eastAsiaTheme="minorEastAsia"/>
                <w:b/>
                <w:bCs/>
                <w:color w:val="auto"/>
                <w:sz w:val="24"/>
                <w:szCs w:val="24"/>
                <w:lang w:eastAsia="zh-CN" w:bidi="ar"/>
              </w:rPr>
              <w:t>（</w:t>
            </w:r>
            <w:r>
              <w:rPr>
                <w:rFonts w:hint="eastAsia" w:ascii="Times New Roman" w:hAnsi="Times New Roman" w:cs="Times New Roman" w:eastAsiaTheme="minorEastAsia"/>
                <w:b/>
                <w:bCs/>
                <w:color w:val="auto"/>
                <w:sz w:val="24"/>
                <w:szCs w:val="24"/>
                <w:lang w:val="en-US" w:eastAsia="zh-CN" w:bidi="ar"/>
              </w:rPr>
              <w:t>6</w:t>
            </w:r>
            <w:r>
              <w:rPr>
                <w:rFonts w:hint="default" w:ascii="Times New Roman" w:hAnsi="Times New Roman" w:cs="Times New Roman" w:eastAsiaTheme="minorEastAsia"/>
                <w:b/>
                <w:bCs/>
                <w:color w:val="auto"/>
                <w:sz w:val="24"/>
                <w:szCs w:val="24"/>
                <w:lang w:eastAsia="zh-CN" w:bidi="ar"/>
              </w:rPr>
              <w:t>）建立与园区对接、联动的风险防范体系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企业环境风险防范须建立与园区对接、联动的风险防范体系。可从以下几个方面进行建设：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①风险应急预案的衔接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a.应急组织机构、人员的衔接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当发生风险事故时，项目通信组应及时承担起与当地区域或各职能管理部门的应急指挥机构的联系工作，及时将事故发生情况及最新进展向有关部门汇报，并将上级指挥机构的命令及时向项目应急指挥小组汇报；编制环境污染事故报告，并将报告向上级部门汇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b.预案分级响应的衔接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一般污染事故：在污染事故现场处置妥当后，经应急指挥小组研究确定后，向当地环保部门和如皋市事故应急处理指挥部报告处理结果。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较大或严重污染事故：应急指挥小组在接到事故报警后，及时向如皋市应急处理指挥部报告，并请求支援；如皋市应急处理指挥部进行紧急动员，适时启动区域的环境污染事故应急预案迅速调集救援力量，指挥工业园成员单位、相关职能部门，根据应急预案组成各个应急行动小组，按照各自的职责和现场救援具体方案开展抢险救援工作，厂内应急小组听从现场指挥部的领导。现场指挥部同时将有关进展情况向如皋市应急处理指挥部汇报；污染事故基本控制稳定后，现场应急指挥部将根据专家意见，迅速调集后援力量展开事故处置工作。现场应急处理结束。当污染事故有进一步扩大、发展趋势，或因事故衍生问题造成重大社会不稳定事态，现场应急指挥部将根据事态发展，及时调整应急响应级别，发布预警信息，同时向如皋市应急处理指挥部和省环境污染事故应急处理指挥部请求援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c.应急救援保障的衔接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单位互助体系：建设单位和周边企业建立良好的应急互助关系，在重大事故发生后，相互支持。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公共援助力量：厂区还可以联系如皋市公共消防队、医院、公安、交通、应急管理局以及各相关职能部门，请求救援力量、设备的支持。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专家援助：建设单位建立风险事故救援安全专家库，在紧急情况下，可以联系获取救援支持。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d.应急培训计划的衔接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建设单位在开展应急培训计划的同时，还应积极配合如皋市开展的应急培训计划，在发生风险事故时，及时与如皋市应急组织取得联系。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e.公众教育的衔接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建设单位对厂内和附近地区公众开展教育、培训时，应加强与周边公众和如皋市相关单位的交流，如发生事故，可更好地疏散、防护污染。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②风险防范措施的衔接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a.污染治理措施的衔接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当风险事故废水超过建设单位能够处理范围后，应及时向如皋市相关单位请求援助，帮助收集事故废水，以免风险事故发生扩大。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b.消防及火灾报警系统的衔接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消防站、消防车辆与如皋市消防站配套建设；厂内采用电话报警，火灾报警信号报送至厂内消防站，必要时报送至消防站。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③突发环境事件应急预案编制、修订和备案要求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a.应急预案编制目的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为了最大限度降低因火灾、爆炸或其他意外的突发或非突发事件导致的危险物质或危险物质组分泄漏到空气、土壤或水体中而产生的对人体健康和环境的危害。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b.应急预案适用范围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由人为或不可抗力造成的废气、废水、固（危）废、原辅料等环境污染破坏事件；在生产、贮存、使用和处置过程中因化学品的泄漏造成的中毒、火灾爆炸事件；企业生产过程中因生产装置、污染防治设施、设备等因素发生意外事故造成的突发性环境污染事故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c.应急预案文本管理及修订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在生产车间及办公区域应至少存放一份完整的应急预案副本，在生产、原料区应至少存放一份简洁明确的应急响应程序图或行动表。使用法律法规发生变化时，应急预案应及时修订；事故应急救援预案经演练评估后，对演练中发现的问题应及时进行修订、补充、完善，使预案进一步合理化；应急协调人改变、应急装备改变、应急技术和能力的变化、各个生产班组、生产岗位发生变化时，应急预案应及时修订</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应急救援危险目标内的废气处理装置、危险废物暂存场所等有所变化，应对预案及时进行修正。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d.应急预案备案要求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建设单位应当在建设项目投入生产或者使用前，制定环境应急预案，在环境应急预案签署发布之日起20个工作日内，向建设项目所在地受理部门备案。建设单位环境应急预案首次备案，应当提交下列文件</w:t>
            </w:r>
            <w:r>
              <w:rPr>
                <w:rFonts w:hint="default" w:ascii="Times New Roman" w:hAnsi="Times New Roman" w:cs="Times New Roman" w:eastAsiaTheme="minorEastAsia"/>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突发环境事件应急预案备案表；环境应急预案及编制说明的纸质文件和电子文件，环境应急预案包括：环境应急预案的签署发布文件、环境应急预案文本；编制说明包括：编制过程概述、重点内容说明、征求意见及采纳情况说明、评审情况说明；环境风险评估报告的纸质文件和电子文件；环境应急资源调查报告的纸质文件和电子文件；环境应急预案评审意见的纸质文件和电子文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color w:val="auto"/>
                <w:sz w:val="24"/>
                <w:szCs w:val="24"/>
              </w:rPr>
              <w:t>建设单位环境应急预案有重大修订的，应当在发布之日起20个工作日内向原受理部门变更备案。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④事故状态下的特征污染因子和应急监测能力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企业不具备应急监测能力的，委托有资质单位进行应急监测，并签订应急监测协议。</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根据《突发环境事件应急监测技术规范》（HJ589-2021），应急监测见表4-</w:t>
            </w:r>
            <w:r>
              <w:rPr>
                <w:rFonts w:hint="eastAsia" w:ascii="Times New Roman" w:hAnsi="Times New Roman" w:cs="Times New Roman" w:eastAsiaTheme="minorEastAsia"/>
                <w:color w:val="auto"/>
                <w:kern w:val="2"/>
                <w:sz w:val="24"/>
                <w:szCs w:val="24"/>
                <w:lang w:val="en-US" w:eastAsia="zh-CN" w:bidi="ar"/>
              </w:rPr>
              <w:t>4</w:t>
            </w:r>
            <w:r>
              <w:rPr>
                <w:rFonts w:hint="default" w:ascii="Times New Roman" w:hAnsi="Times New Roman" w:cs="Times New Roman" w:eastAsiaTheme="minorEastAsia"/>
                <w:color w:val="auto"/>
                <w:kern w:val="2"/>
                <w:sz w:val="24"/>
                <w:szCs w:val="24"/>
                <w:lang w:val="en-US" w:eastAsia="zh-CN" w:bidi="ar"/>
              </w:rPr>
              <w:t>0。</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表4-</w:t>
            </w:r>
            <w:r>
              <w:rPr>
                <w:rFonts w:hint="eastAsia" w:ascii="Times New Roman" w:hAnsi="Times New Roman" w:cs="Times New Roman" w:eastAsiaTheme="minorEastAsia"/>
                <w:b/>
                <w:bCs/>
                <w:color w:val="auto"/>
                <w:kern w:val="2"/>
                <w:sz w:val="24"/>
                <w:szCs w:val="24"/>
                <w:lang w:val="en-US" w:eastAsia="zh-CN" w:bidi="ar"/>
              </w:rPr>
              <w:t>4</w:t>
            </w:r>
            <w:r>
              <w:rPr>
                <w:rFonts w:hint="default" w:ascii="Times New Roman" w:hAnsi="Times New Roman" w:cs="Times New Roman" w:eastAsiaTheme="minorEastAsia"/>
                <w:b/>
                <w:bCs/>
                <w:color w:val="auto"/>
                <w:kern w:val="2"/>
                <w:sz w:val="24"/>
                <w:szCs w:val="24"/>
                <w:lang w:val="en-US" w:eastAsia="zh-CN" w:bidi="ar"/>
              </w:rPr>
              <w:t>0 应急监测方案</w:t>
            </w:r>
          </w:p>
          <w:tbl>
            <w:tblPr>
              <w:tblStyle w:val="27"/>
              <w:tblW w:w="793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984"/>
              <w:gridCol w:w="1984"/>
              <w:gridCol w:w="1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监测点位</w:t>
                  </w:r>
                </w:p>
              </w:tc>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监测项目</w:t>
                  </w:r>
                </w:p>
              </w:tc>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监测频次</w:t>
                  </w:r>
                </w:p>
              </w:tc>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事故类型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厂界、下风向居民</w:t>
                  </w:r>
                </w:p>
              </w:tc>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颗粒物、非甲烷总烃、苯酚、氯苯类、CO</w:t>
                  </w:r>
                </w:p>
              </w:tc>
              <w:tc>
                <w:tcPr>
                  <w:tcW w:w="198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事件初期2小时采样一次，摸清规律后减少频次</w:t>
                  </w:r>
                </w:p>
              </w:tc>
              <w:tc>
                <w:tcPr>
                  <w:tcW w:w="198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非正常排放生产火灾、泄漏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厂区雨水排口处</w:t>
                  </w:r>
                </w:p>
              </w:tc>
              <w:tc>
                <w:tcPr>
                  <w:tcW w:w="198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pH、COD、苯酚、氯苯类、双酚A、石油类</w:t>
                  </w:r>
                </w:p>
              </w:tc>
              <w:tc>
                <w:tcPr>
                  <w:tcW w:w="198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198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8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雨水排口下游500m</w:t>
                  </w:r>
                </w:p>
              </w:tc>
              <w:tc>
                <w:tcPr>
                  <w:tcW w:w="198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198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198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⑤应急物资装备和人员要求</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应急物资装备：本项目建成后，按照规范设置应急物资，主要物资如下：</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表4-</w:t>
            </w:r>
            <w:r>
              <w:rPr>
                <w:rFonts w:hint="eastAsia" w:ascii="Times New Roman" w:hAnsi="Times New Roman" w:cs="Times New Roman" w:eastAsiaTheme="minorEastAsia"/>
                <w:b/>
                <w:bCs/>
                <w:color w:val="auto"/>
                <w:kern w:val="2"/>
                <w:sz w:val="24"/>
                <w:szCs w:val="24"/>
                <w:lang w:val="en-US" w:eastAsia="zh-CN" w:bidi="ar"/>
              </w:rPr>
              <w:t>4</w:t>
            </w:r>
            <w:r>
              <w:rPr>
                <w:rFonts w:hint="default" w:ascii="Times New Roman" w:hAnsi="Times New Roman" w:cs="Times New Roman" w:eastAsiaTheme="minorEastAsia"/>
                <w:b/>
                <w:bCs/>
                <w:color w:val="auto"/>
                <w:kern w:val="2"/>
                <w:sz w:val="24"/>
                <w:szCs w:val="24"/>
                <w:lang w:val="en-US" w:eastAsia="zh-CN" w:bidi="ar"/>
              </w:rPr>
              <w:t>1 本项目应急物资一览表</w:t>
            </w:r>
          </w:p>
          <w:tbl>
            <w:tblPr>
              <w:tblStyle w:val="27"/>
              <w:tblW w:w="793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2646"/>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0" w:type="dxa"/>
                  <w:gridSpan w:val="2"/>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应急物资名称</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数量（个/套）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个人防护装备器材</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正压式呼吸器</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防毒面具</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安全帽、安全带</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警戒绳、安全绳</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堵漏、收集器材/设备</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消防沙</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25kg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消防铲</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活性炭</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10kg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应急监测/在线监控设备</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摄像头</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restart"/>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常用应急物资</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防毒口罩</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急救箱</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应急照明</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2个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水泵</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644" w:type="dxa"/>
                  <w:vMerge w:val="continue"/>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应急电缆</w:t>
                  </w:r>
                </w:p>
              </w:tc>
              <w:tc>
                <w:tcPr>
                  <w:tcW w:w="2646"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1套</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人员要求：企业需成立突发事件应急救援队伍，公司进一步加强开展环境应急处置人员培训，定期聘请安全、环保、应急救援方面的专家到公司进行讲课，主要培训内容：安全生产法律法规、条例；应急预案案例分析；应急救援的基本知识；安全防护知识等。每次培训结束针对培训内容进行考试，考试成绩纳入年终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⑥建立突发环境事件隐患排查治理制度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根据《企业突发环境事件隐患排查与治理工作指南（试行）》：隐患排查内容：从环境应急管理和突发环境事件风险防控措施（大气环境、水环境）两大方面排查可能直接导致或次生突发环境事件的隐患。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隐患排查方式和频次：综合排查是指企业以厂区为单位开展全面排查，一年应不少于一次。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日常排查是指以班组、工段、车间为单位，</w:t>
            </w:r>
            <w:r>
              <w:rPr>
                <w:rFonts w:hint="default" w:ascii="Times New Roman" w:hAnsi="Times New Roman" w:cs="Times New Roman" w:eastAsiaTheme="minorEastAsia"/>
                <w:color w:val="auto"/>
                <w:sz w:val="24"/>
                <w:szCs w:val="24"/>
                <w:lang w:eastAsia="zh-CN"/>
              </w:rPr>
              <w:t>组织</w:t>
            </w:r>
            <w:r>
              <w:rPr>
                <w:rFonts w:hint="default" w:ascii="Times New Roman" w:hAnsi="Times New Roman" w:cs="Times New Roman" w:eastAsiaTheme="minorEastAsia"/>
                <w:color w:val="auto"/>
                <w:sz w:val="24"/>
                <w:szCs w:val="24"/>
              </w:rPr>
              <w:t>对单个或几个项目采取日常的、巡视性的排查工作，其频次根据具体排查项目确定。一个月应不少于一次。专项排查是在特定时间或对特定区域、设备、措施进行的专门性排查。其频次根据实际需要确定。企业可根据自身管理流程，采取抽查方式排查隐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制定隐患排查治理制度：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a.隐患排查内容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b.隐患排查方式和频次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c.隐患排查治理制度要求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企业应当建立并完善隐患排查管理机构，配备相应的管理和技术人员。企业应当建立隐患排查治理责任制，明确从主要负责人到每位作业人员的隐患排查治理责任。制定突发环境事件风险防控设施的操作规程和检查、运行、维修与维护等规定，保证资金投入，确保各设施处于正常完好状态。建立自查、自报、自改、自验的隐患排查治理组织实施制度。综合考虑企业自身突发环境事件风险等级、生产工况等因素合理制定年度工作计划，明确排查频次、排查规模、排查项目等内容。如实记录隐患排查治理情况，形成档案文件并做好存档，至少留存五年。及时修订企业突发环境事件应急预案、完善相关突发环境事件风险防控措施。定期对员工进行隐患排查治理相关知识的宣传和培训，并通过演练检验各项突发环境事件风险防控措施的可操作性，提高从业人员隐患排查治理能力和风险防范水平。有条件的企业应当建立与企业相关信息化管理系统联网的突发环境事件隐患排查治理信息系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⑦应急培训、演练和台账记录要求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a.应急培训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公司应组织对员工应急预案的培训与宣传教育，培训应形成详细台账记录，记录培训时间、地点、内容、参加人员、考试评估等情况。公司至少每年组织一次应急救援方面的培训考核。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b.应急演练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演练方式：桌面演练、单项演练、综合演练。</w:t>
            </w:r>
          </w:p>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演练内容：物料泄漏及火灾应急处置；通信及报警信号联络；急救及医疗；现场洗消处理；防护指导，包括专业人员的个人防护和普通员工的自我防护；各种标志、警戒范围的设置及人员控制；厂内交通控制及管理；模拟事件现场的疏散撤离及人员清查；向上级报告情况及向友邻单位通报情况。</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b/>
                <w:bCs/>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⑧三级防控措施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kern w:val="0"/>
                <w:sz w:val="24"/>
                <w:szCs w:val="24"/>
                <w:lang w:val="en-US" w:eastAsia="zh-CN" w:bidi="ar"/>
              </w:rPr>
              <w:t>为了最大程度降低建设项目事故发生时对水环境的影响，对建设项目的事故废水将采取三级防控措施。</w:t>
            </w:r>
          </w:p>
          <w:p>
            <w:pPr>
              <w:keepNext w:val="0"/>
              <w:keepLines w:val="0"/>
              <w:widowControl/>
              <w:suppressLineNumbers w:val="0"/>
              <w:spacing w:before="0" w:beforeAutospacing="0" w:after="0" w:afterAutospacing="0" w:line="360" w:lineRule="auto"/>
              <w:ind w:left="0" w:right="0" w:firstLine="420"/>
              <w:jc w:val="left"/>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kern w:val="0"/>
                <w:sz w:val="24"/>
                <w:szCs w:val="24"/>
                <w:lang w:val="en-US" w:eastAsia="zh-CN" w:bidi="ar"/>
              </w:rPr>
              <w:t>一级防控措施：一级防控体系的功能主要是将事故废水控制在事故风险源所在区域单元，该体系主要是由装置区收集沟和围堰等配套基础设施组成，可防止污染物出单元。各生产车间液体物质底部设有防渗托盘，若少量泄漏到地面，使用应急沙及时收集，确保泄漏物控制在仓库内，当企业物料泄漏等事故时，启动一级防控措施，防止对土壤、地下水等造成环境污染。</w:t>
            </w:r>
          </w:p>
          <w:p>
            <w:pPr>
              <w:keepNext w:val="0"/>
              <w:keepLines w:val="0"/>
              <w:widowControl/>
              <w:suppressLineNumbers w:val="0"/>
              <w:spacing w:before="0" w:beforeAutospacing="0" w:after="0" w:afterAutospacing="0" w:line="360" w:lineRule="auto"/>
              <w:ind w:left="0" w:right="0" w:firstLine="420"/>
              <w:jc w:val="left"/>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kern w:val="0"/>
                <w:sz w:val="24"/>
                <w:szCs w:val="24"/>
                <w:lang w:val="en-US" w:eastAsia="zh-CN" w:bidi="ar"/>
              </w:rPr>
              <w:t>二级防控措施：第二级防控体系建设在危险单元与厂区其他区域之间设置有效的隔离措施，防止事故扩大，比如雨排口切断装置及其配套设施（如事故导排系统、强排系统），防止生产装置较大事故泄漏物料和消防废水造成的环境污染。厂区发生事故时，切断事故废水与外部的连接通道，导入污水处理系统，将污染控制在厂区内，同时在厂区雨水排口需设置1个自动式切换闸门，事故工况下关闭闸阀，防止事故工况下废水外溢至厂区外造成环境污染。</w:t>
            </w:r>
          </w:p>
          <w:p>
            <w:pPr>
              <w:keepNext w:val="0"/>
              <w:keepLines w:val="0"/>
              <w:widowControl/>
              <w:suppressLineNumbers w:val="0"/>
              <w:spacing w:before="0" w:beforeAutospacing="0" w:after="0" w:afterAutospacing="0" w:line="360" w:lineRule="auto"/>
              <w:ind w:left="0" w:right="0" w:firstLine="420"/>
              <w:jc w:val="left"/>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kern w:val="0"/>
                <w:sz w:val="24"/>
                <w:szCs w:val="24"/>
                <w:lang w:bidi="ar"/>
              </w:rPr>
              <w:t>厂区实行雨污分流。建设项目实施雨污分流制，厂区雨水管网与事故废水收集池相连，并设置1个控制闸阀；雨水总排口设置1个控制闸阀。平时关闭总排口和事故废水收集池控制闸阀，发生事故时，关闭雨水总排闸阀，打开事故废水收集池闸阀，杜绝事故情况下泄漏物料或事故废水经雨水管外排。建设时要做到防腐防渗防漏，有效收集消防尾水。</w:t>
            </w:r>
          </w:p>
          <w:p>
            <w:pPr>
              <w:keepNext w:val="0"/>
              <w:keepLines w:val="0"/>
              <w:widowControl/>
              <w:suppressLineNumbers w:val="0"/>
              <w:spacing w:before="0" w:beforeAutospacing="0" w:after="0" w:afterAutospacing="0" w:line="360" w:lineRule="auto"/>
              <w:ind w:left="0" w:right="0" w:firstLine="420"/>
              <w:jc w:val="center"/>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color w:val="auto"/>
                <w:sz w:val="24"/>
                <w:szCs w:val="24"/>
              </w:rPr>
              <w:drawing>
                <wp:inline distT="0" distB="0" distL="114300" distR="114300">
                  <wp:extent cx="3191510" cy="1729740"/>
                  <wp:effectExtent l="0" t="0" r="8890" b="3810"/>
                  <wp:docPr id="19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0"/>
                          <pic:cNvPicPr>
                            <a:picLocks noChangeAspect="1"/>
                          </pic:cNvPicPr>
                        </pic:nvPicPr>
                        <pic:blipFill>
                          <a:blip r:embed="rId26"/>
                          <a:stretch>
                            <a:fillRect/>
                          </a:stretch>
                        </pic:blipFill>
                        <pic:spPr>
                          <a:xfrm>
                            <a:off x="0" y="0"/>
                            <a:ext cx="3191510" cy="1729740"/>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0" w:afterAutospacing="0" w:line="360" w:lineRule="auto"/>
              <w:ind w:left="0" w:right="0" w:firstLine="422"/>
              <w:jc w:val="center"/>
              <w:rPr>
                <w:rFonts w:hint="default" w:ascii="Times New Roman" w:hAnsi="Times New Roman" w:cs="Times New Roman" w:eastAsiaTheme="minorEastAsia"/>
                <w:color w:val="auto"/>
                <w:kern w:val="0"/>
                <w:sz w:val="24"/>
                <w:szCs w:val="24"/>
                <w:lang w:bidi="ar"/>
              </w:rPr>
            </w:pPr>
            <w:r>
              <w:rPr>
                <w:rFonts w:hint="default" w:ascii="Times New Roman" w:hAnsi="Times New Roman" w:cs="Times New Roman" w:eastAsiaTheme="minorEastAsia"/>
                <w:b/>
                <w:bCs/>
                <w:color w:val="auto"/>
                <w:kern w:val="0"/>
                <w:sz w:val="24"/>
                <w:szCs w:val="24"/>
                <w:lang w:bidi="ar"/>
              </w:rPr>
              <w:t>图4-</w:t>
            </w:r>
            <w:r>
              <w:rPr>
                <w:rFonts w:hint="default" w:ascii="Times New Roman" w:hAnsi="Times New Roman" w:cs="Times New Roman" w:eastAsiaTheme="minorEastAsia"/>
                <w:b/>
                <w:bCs/>
                <w:color w:val="auto"/>
                <w:kern w:val="0"/>
                <w:sz w:val="24"/>
                <w:szCs w:val="24"/>
                <w:lang w:val="en-US" w:eastAsia="zh-CN" w:bidi="ar"/>
              </w:rPr>
              <w:t>3</w:t>
            </w:r>
            <w:r>
              <w:rPr>
                <w:rFonts w:hint="default" w:ascii="Times New Roman" w:hAnsi="Times New Roman" w:cs="Times New Roman" w:eastAsiaTheme="minorEastAsia"/>
                <w:b/>
                <w:bCs/>
                <w:color w:val="auto"/>
                <w:kern w:val="0"/>
                <w:sz w:val="24"/>
                <w:szCs w:val="24"/>
                <w:lang w:bidi="ar"/>
              </w:rPr>
              <w:t xml:space="preserve"> 防止事故废水进入外环境控制/封堵系统示意图</w:t>
            </w:r>
          </w:p>
          <w:p>
            <w:pPr>
              <w:keepNext w:val="0"/>
              <w:keepLines w:val="0"/>
              <w:suppressLineNumbers w:val="0"/>
              <w:adjustRightInd w:val="0"/>
              <w:snapToGrid w:val="0"/>
              <w:spacing w:before="0" w:beforeAutospacing="0" w:after="0" w:afterAutospacing="0" w:line="240" w:lineRule="auto"/>
              <w:ind w:left="0" w:right="0" w:firstLine="420"/>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en-US" w:eastAsia="zh-CN"/>
              </w:rPr>
              <w:t>b.</w:t>
            </w:r>
            <w:r>
              <w:rPr>
                <w:rFonts w:hint="default" w:ascii="Times New Roman" w:hAnsi="Times New Roman" w:cs="Times New Roman" w:eastAsiaTheme="minorEastAsia"/>
                <w:bCs/>
                <w:color w:val="auto"/>
                <w:sz w:val="21"/>
                <w:szCs w:val="21"/>
              </w:rPr>
              <w:t>正常生产情况下，阀门1打开，阀门2常闭；</w:t>
            </w:r>
          </w:p>
          <w:p>
            <w:pPr>
              <w:pStyle w:val="101"/>
              <w:keepNext w:val="0"/>
              <w:keepLines w:val="0"/>
              <w:suppressLineNumbers w:val="0"/>
              <w:spacing w:before="0" w:beforeAutospacing="0" w:after="0" w:afterAutospacing="0" w:line="240" w:lineRule="auto"/>
              <w:ind w:left="0" w:right="0" w:firstLine="420"/>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en-US" w:eastAsia="zh-CN"/>
              </w:rPr>
              <w:t>a.</w:t>
            </w:r>
            <w:r>
              <w:rPr>
                <w:rFonts w:hint="default" w:ascii="Times New Roman" w:hAnsi="Times New Roman" w:cs="Times New Roman" w:eastAsiaTheme="minorEastAsia"/>
                <w:bCs/>
                <w:color w:val="auto"/>
                <w:sz w:val="21"/>
                <w:szCs w:val="21"/>
              </w:rPr>
              <w:t>发生物料泄漏及火灾、爆炸等事故时，阀门1关闭，阀门2开启，消防尾水等事故废水通过雨水管网收集进入事故池后委托处置。</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0"/>
                <w:sz w:val="24"/>
                <w:szCs w:val="24"/>
                <w:lang w:val="en-US" w:eastAsia="zh-CN"/>
              </w:rPr>
              <w:t>三级防控体系：第三级水环境风险防控体系是针对企业厂内防范能力有限而导致事故废水可能外溢出厂界的应急处理。可根据实际情况与其他临近企业实现资源共享和救援合作，增强事故废水的防范能力；同时应注意加强与磨头镇及河道水利部门的联系，企业三级防控体系充分利用磨头镇资源。若雨水泄漏外溢厂区外，可采样封堵气囊封堵外部雨水管道，防止事故废水排入周边河流。</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w:t>
            </w:r>
            <w:r>
              <w:rPr>
                <w:rFonts w:hint="default" w:ascii="Times New Roman" w:hAnsi="Times New Roman" w:cs="Times New Roman" w:eastAsiaTheme="minorEastAsia"/>
                <w:b/>
                <w:bCs/>
                <w:color w:val="auto"/>
                <w:sz w:val="24"/>
                <w:szCs w:val="24"/>
                <w:lang w:val="en-US" w:eastAsia="zh-CN"/>
              </w:rPr>
              <w:t>8</w:t>
            </w:r>
            <w:r>
              <w:rPr>
                <w:rFonts w:hint="default" w:ascii="Times New Roman" w:hAnsi="Times New Roman" w:cs="Times New Roman" w:eastAsiaTheme="minorEastAsia"/>
                <w:b/>
                <w:bCs/>
                <w:color w:val="auto"/>
                <w:sz w:val="24"/>
                <w:szCs w:val="24"/>
              </w:rPr>
              <w:t>）应急管理制度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制定安全责任制、各项安全管理制度、操作规程、安全技术规程和各种设备维修保养和设备管理制度，加强现场管理，狠抓劳动纪律，同时经常对职工进行思想教育、工艺操作、设备操作训练，使职工能熟练掌握所在岗位和所在环境中的各个要素，了解一些常见的扑火、中毒的自救能力，互相救助的一些常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建立巡回检查制度，这个检查不是浮于形式，而是实实在在地检查，查隐患，发现问题及时上报并且责令负责部门限期整改到位，复查合格，记录在案</w:t>
            </w:r>
            <w:r>
              <w:rPr>
                <w:rFonts w:hint="default" w:ascii="Times New Roman" w:hAnsi="Times New Roman" w:cs="Times New Roman" w:eastAsiaTheme="minorEastAsia"/>
                <w:color w:val="auto"/>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加强对职工的劳动保护用品的使用和发放，为职工配备所需用的防护用品和急救用品。</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对可能发生的事故，公司制订应急计划，使各部门在事故发生后能有步骤、有秩序地采取各项应急措施，并与市安全防火部门和紧急救援中心的应急预案衔接，统一采取救援行动</w:t>
            </w:r>
            <w:r>
              <w:rPr>
                <w:rFonts w:hint="default" w:ascii="Times New Roman" w:hAnsi="Times New Roman" w:cs="Times New Roman" w:eastAsiaTheme="minorEastAsia"/>
                <w:color w:val="auto"/>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事故发生后，应根据具体情况采取应急措施，切断泄漏源、火源，控制事故扩大，同时通知中央控制室，根据事故类型、大小启动相应的应急预案；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发生重大事故，应立即上报相关部门，启动社会救援系统，就近地区调拨专业救援队伍协助处理；事故发生后应立即通知当地安全、环保、消防、医院等部门，协同事故救援与监控。</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w:t>
            </w:r>
            <w:r>
              <w:rPr>
                <w:rFonts w:hint="default" w:ascii="Times New Roman" w:hAnsi="Times New Roman" w:cs="Times New Roman" w:eastAsiaTheme="minorEastAsia"/>
                <w:b/>
                <w:color w:val="auto"/>
                <w:sz w:val="24"/>
                <w:szCs w:val="24"/>
                <w:lang w:val="en-US" w:eastAsia="zh-CN"/>
              </w:rPr>
              <w:t>9</w:t>
            </w:r>
            <w:r>
              <w:rPr>
                <w:rFonts w:hint="default" w:ascii="Times New Roman" w:hAnsi="Times New Roman" w:cs="Times New Roman" w:eastAsiaTheme="minorEastAsia"/>
                <w:b/>
                <w:color w:val="auto"/>
                <w:sz w:val="24"/>
                <w:szCs w:val="24"/>
              </w:rPr>
              <w:t>）环境风险标识标牌设置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单位应对厂区相关环境风险防范设施设置标识标牌，如事故应急池、雨污闸阀等，标明名称、功能、数量、相关参数等信息。同时针对环境风险单元中重点工作岗位编制应急处置卡，明确环境风险物质及类型、污染源切断方式、信息报告方式、责任人等内容。应急处置卡应置于岗位现场明显位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《企事业单位和工业园区突发环境事件应急预案编制导则》（DB32/T3795-2020</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：5.3.4应急处置卡：针对环境风险单元中重点工作岗位编制应急处置卡，明确环境风险物质及类型、污染源切断方式、信息报告方式、责任人等内容。应急处置卡应置于岗位现场明显位置。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为了在发生突发环境事件时，能够及时、有序、高效地实施抢险救援工作，最大限度地减少人员伤亡和财产损失，尽快恢复正常工作秩序，建设单位应按照《企业事业单位突发环境事件应急预案备案管理办法（试行）》（环发〔2015〕4号）、《企事业单位和工业园区突发环境事件应急预案编制导则》（DB32/T3795-2020）等文件的要求完善全厂突发环境事件应急预案，并进行备案。应急预案应包括综合预案、专项预案、现场处置预案，应急预案具体内容见表4-</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w:t>
            </w:r>
            <w:r>
              <w:rPr>
                <w:rFonts w:hint="eastAsia" w:ascii="Times New Roman" w:hAnsi="Times New Roman" w:cs="Times New Roman" w:eastAsiaTheme="minorEastAsia"/>
                <w:b/>
                <w:color w:val="auto"/>
                <w:sz w:val="24"/>
                <w:szCs w:val="24"/>
                <w:lang w:val="en-US" w:eastAsia="zh-CN"/>
              </w:rPr>
              <w:t>4</w:t>
            </w:r>
            <w:r>
              <w:rPr>
                <w:rFonts w:hint="default" w:ascii="Times New Roman" w:hAnsi="Times New Roman" w:cs="Times New Roman" w:eastAsiaTheme="minorEastAsia"/>
                <w:b/>
                <w:color w:val="auto"/>
                <w:sz w:val="24"/>
                <w:szCs w:val="24"/>
                <w:lang w:val="en-US" w:eastAsia="zh-CN"/>
              </w:rPr>
              <w:t>2</w:t>
            </w:r>
            <w:r>
              <w:rPr>
                <w:rFonts w:hint="default" w:ascii="Times New Roman" w:hAnsi="Times New Roman" w:cs="Times New Roman" w:eastAsiaTheme="minorEastAsia"/>
                <w:b/>
                <w:color w:val="auto"/>
                <w:sz w:val="24"/>
                <w:szCs w:val="24"/>
              </w:rPr>
              <w:t xml:space="preserve"> 应急预案内容及要求</w:t>
            </w:r>
          </w:p>
          <w:tbl>
            <w:tblPr>
              <w:tblStyle w:val="2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4"/>
              <w:gridCol w:w="1346"/>
              <w:gridCol w:w="6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项目</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color w:val="auto"/>
                      <w:sz w:val="21"/>
                      <w:szCs w:val="21"/>
                    </w:rPr>
                    <w:t>综合预案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总则</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明确编制目的、编制依据、适用范围、预案体系、工作原则等。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组织机构及职责</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明确环境应急组织机构体系、人员及应急工作职责，辅以图、表形式表示。</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应急组织机构体系由应急指挥部及其办事机构、应急处置组、环境应急监测组、应急保障组以及其他必要的行动组构成，企事业单位可依据实际情况调整，应与其他应急组织机构相协调。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监控预警</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明确对环境风险源监控的方式、方法以及采取的预防措施。</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结合事件危害程度、紧急程度和发展态势，说明预警信息的获得途径、分析研判的方式方法，明确预警级别、预警发布与解除、预警措施等。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信息报告</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明确信息报告程序、内容和方式。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环境应急监测</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制定不同突发环境事件情景下的环境应急监测方案，具体技术规范可参见HJ 589中相关规定。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环境应急响应</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明确响应程序、响应分级、应急启动、应急处置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应急终止</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明确应急终止的条件、程序和责任人，说明应急状态终止后，开展跟踪环境监测和评估工作的方案。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事后恢复</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明确善后处置和保险理赔。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保障措施</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bookmarkStart w:id="11" w:name="_Toc224965899"/>
                  <w:bookmarkStart w:id="12" w:name="_Toc524554538"/>
                  <w:bookmarkStart w:id="13" w:name="_Toc225244077"/>
                  <w:r>
                    <w:rPr>
                      <w:rFonts w:hint="default" w:ascii="Times New Roman" w:hAnsi="Times New Roman" w:cs="Times New Roman" w:eastAsiaTheme="minorEastAsia"/>
                      <w:color w:val="auto"/>
                      <w:sz w:val="21"/>
                      <w:szCs w:val="21"/>
                    </w:rPr>
                    <w:t>根据环境应急工作需求确定相关保障措施，包括经费保障、制度保障、应急物资装备保障、应急队伍保障、通信与信息保障等。</w:t>
                  </w:r>
                  <w:bookmarkEnd w:id="11"/>
                  <w:bookmarkEnd w:id="12"/>
                  <w:bookmarkEnd w:id="1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预案管理</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bookmarkStart w:id="14" w:name="_Toc524554544"/>
                  <w:r>
                    <w:rPr>
                      <w:rFonts w:hint="default" w:ascii="Times New Roman" w:hAnsi="Times New Roman" w:cs="Times New Roman" w:eastAsiaTheme="minorEastAsia"/>
                      <w:color w:val="auto"/>
                      <w:sz w:val="21"/>
                      <w:szCs w:val="21"/>
                    </w:rPr>
                    <w:t>明确环境应急预案培训、演练、评估修订等要求。</w:t>
                  </w:r>
                  <w:bookmarkEnd w:id="1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专项预案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总体要求</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结合企事业单位生产情况，针对某一种或多种类型突发环境事件制定专项预案，应包括突发环境事件特征、应急组织机构、应急处置程序、应急处置措施等内容。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突发环境事件特征</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说明可能发生的突发环境事件的特征，包括事件可能引发原因、涉及的环境风险物质、事件的危险性和可能影响范围等。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应急组织机构</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明确事件发生时，应负责现场处置的工作组、成员和工作职责。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应急处置程序</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明确应急处置程序，宜采用流程图、路线图、表单等简明形式，可辅以文字说明。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应急处置措施</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说明应急处置措施，应包括污染源切断、污染物控制、污染物消除、应急监测及应急物资调用等。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3"/>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现场处置预案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总体要求</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结合已识别出的重点环境风险单元，制定现场处置预案。现场处置预案应包括环境风险单元特征、应急处置要点等，重点工作岗位应制作应急处置卡。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环境风险单元特征</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说明环境风险单元所涉及环境风险物质、生产工艺、环境风险类型及危害等特征。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应急处置要点</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针对环境风险单元的特征，明确污染源切断、污染物控制、应急物资调用、信息报告、应急防护等要点。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55"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847" w:type="pct"/>
                  <w:tcBorders>
                    <w:tl2br w:val="nil"/>
                    <w:tr2bl w:val="nil"/>
                  </w:tcBorders>
                  <w:noWrap w:val="0"/>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应急处置卡</w:t>
                  </w:r>
                </w:p>
              </w:tc>
              <w:tc>
                <w:tcPr>
                  <w:tcW w:w="3798" w:type="pct"/>
                  <w:tcBorders>
                    <w:tl2br w:val="nil"/>
                    <w:tr2bl w:val="nil"/>
                  </w:tcBorders>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针对环境风险单元中重点工作岗位编制应急处置卡，明确环境风险物质及类型、污染源切断方式、信息报告方式、责任人等内容。应急处置卡应置于岗位现场明显位置。</w:t>
                  </w:r>
                </w:p>
              </w:tc>
            </w:tr>
          </w:tbl>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sz w:val="24"/>
                <w:szCs w:val="24"/>
                <w:lang w:bidi="ar"/>
              </w:rPr>
            </w:pPr>
            <w:r>
              <w:rPr>
                <w:rFonts w:hint="default" w:ascii="Times New Roman" w:hAnsi="Times New Roman" w:cs="Times New Roman" w:eastAsiaTheme="minorEastAsia"/>
                <w:color w:val="auto"/>
                <w:szCs w:val="21"/>
              </w:rPr>
              <w:t>环境应急预案经评审完善后，由单位主要负责人签署发布，并报生态环境主管部门备案。企业应结合自身内部因素和外部环境的变化及时修订环境应急预案</w:t>
            </w:r>
            <w:r>
              <w:rPr>
                <w:rFonts w:hint="default" w:ascii="Times New Roman" w:hAnsi="Times New Roman" w:cs="Times New Roman" w:eastAsiaTheme="minorEastAsia"/>
                <w:color w:val="auto"/>
                <w:szCs w:val="21"/>
                <w:lang w:eastAsia="zh-CN"/>
              </w:rPr>
              <w:t>。</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b/>
                <w:bCs/>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竣工验收内容</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kern w:val="2"/>
                <w:sz w:val="24"/>
                <w:szCs w:val="24"/>
                <w:lang w:val="en-US" w:eastAsia="zh-CN" w:bidi="ar"/>
              </w:rPr>
              <w:t>企业环境应急预案应注重和“三同时”验收、排污许可证的衔接，在建设项目投入生产或使用前应当完成环境应急预案备案。环境应急预案内容包括总则、应急组织指挥体系与职责、预防与预警机制、应急响应、后期工作、应急保障、预案管理及附图附件等。应落实环境风险防控措施，落实环境应急物资、队伍等保障能力落实情况，环境应急演练及培训。</w:t>
            </w:r>
          </w:p>
          <w:p>
            <w:pPr>
              <w:pStyle w:val="22"/>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eastAsiaTheme="minorEastAsia"/>
                <w:b/>
                <w:bCs/>
                <w:color w:val="auto"/>
                <w:sz w:val="24"/>
                <w:szCs w:val="24"/>
                <w:lang w:bidi="ar"/>
              </w:rPr>
            </w:pPr>
            <w:r>
              <w:rPr>
                <w:rFonts w:hint="default" w:ascii="Times New Roman" w:hAnsi="Times New Roman" w:cs="Times New Roman" w:eastAsiaTheme="minorEastAsia"/>
                <w:b/>
                <w:bCs/>
                <w:color w:val="auto"/>
                <w:sz w:val="24"/>
                <w:szCs w:val="24"/>
                <w:lang w:bidi="ar"/>
              </w:rPr>
              <w:t>环境风险分析结论</w:t>
            </w:r>
          </w:p>
          <w:p>
            <w:pPr>
              <w:pStyle w:val="22"/>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auto"/>
                <w:kern w:val="2"/>
                <w:sz w:val="24"/>
                <w:szCs w:val="24"/>
                <w:lang w:bidi="ar"/>
              </w:rPr>
            </w:pPr>
            <w:r>
              <w:rPr>
                <w:rFonts w:hint="default" w:ascii="Times New Roman" w:hAnsi="Times New Roman" w:cs="Times New Roman" w:eastAsiaTheme="minorEastAsia"/>
                <w:color w:val="auto"/>
                <w:sz w:val="24"/>
                <w:szCs w:val="24"/>
                <w:lang w:bidi="ar"/>
              </w:rPr>
              <w:t>在各环境风险防范措施落实到位的情况下，将可大大降低建设项目的环境风险，最大程度减少对环境可能造成的危害。在企业落实本评价提出的各项风险防范措施后，项目对环境的风险影响可接受。建设方应对废气污染防治措施及危险固体废物贮存场所进行安全专项评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kern w:val="2"/>
                <w:sz w:val="24"/>
                <w:szCs w:val="24"/>
                <w:lang w:eastAsia="zh-CN" w:bidi="ar"/>
              </w:rPr>
            </w:pPr>
            <w:r>
              <w:rPr>
                <w:rFonts w:hint="default" w:ascii="Times New Roman" w:hAnsi="Times New Roman" w:cs="Times New Roman" w:eastAsiaTheme="minorEastAsia"/>
                <w:color w:val="auto"/>
                <w:kern w:val="2"/>
                <w:sz w:val="24"/>
                <w:szCs w:val="24"/>
                <w:lang w:bidi="ar"/>
              </w:rPr>
              <w:t>综上所述，在各环境风险措施落实到位的情况下，将可大大降低建设项目的环境风险，最大程度减少对环境可能造成的危害。在企业落实本评价提出的各项风险防范措施后，项目对环境的风险影响可接受</w:t>
            </w:r>
            <w:r>
              <w:rPr>
                <w:rFonts w:hint="default" w:ascii="Times New Roman" w:hAnsi="Times New Roman" w:cs="Times New Roman" w:eastAsiaTheme="minorEastAsia"/>
                <w:color w:val="auto"/>
                <w:kern w:val="2"/>
                <w:sz w:val="24"/>
                <w:szCs w:val="24"/>
                <w:lang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kern w:val="2"/>
                <w:sz w:val="24"/>
                <w:szCs w:val="24"/>
                <w:lang w:eastAsia="zh-CN" w:bidi="ar"/>
              </w:rPr>
            </w:pPr>
            <w:r>
              <w:rPr>
                <w:rFonts w:hint="default" w:ascii="Times New Roman" w:hAnsi="Times New Roman" w:cs="Times New Roman" w:eastAsiaTheme="minorEastAsia"/>
                <w:color w:val="auto"/>
                <w:kern w:val="2"/>
                <w:sz w:val="24"/>
                <w:szCs w:val="24"/>
                <w:lang w:eastAsia="zh-CN" w:bidi="ar"/>
              </w:rPr>
              <w:t>本项目与苏环办[2022]338号中相关内容的相符性分析情况如下表4-</w:t>
            </w:r>
            <w:r>
              <w:rPr>
                <w:rFonts w:hint="eastAsia" w:ascii="Times New Roman" w:hAnsi="Times New Roman" w:cs="Times New Roman" w:eastAsiaTheme="minorEastAsia"/>
                <w:color w:val="auto"/>
                <w:kern w:val="2"/>
                <w:sz w:val="24"/>
                <w:szCs w:val="24"/>
                <w:lang w:val="en-US" w:eastAsia="zh-CN" w:bidi="ar"/>
              </w:rPr>
              <w:t>4</w:t>
            </w:r>
            <w:r>
              <w:rPr>
                <w:rFonts w:hint="default" w:ascii="Times New Roman" w:hAnsi="Times New Roman" w:cs="Times New Roman" w:eastAsiaTheme="minorEastAsia"/>
                <w:color w:val="auto"/>
                <w:kern w:val="2"/>
                <w:sz w:val="24"/>
                <w:szCs w:val="24"/>
                <w:lang w:val="en-US" w:eastAsia="zh-CN" w:bidi="ar"/>
              </w:rPr>
              <w:t>3</w:t>
            </w:r>
            <w:r>
              <w:rPr>
                <w:rFonts w:hint="default" w:ascii="Times New Roman" w:hAnsi="Times New Roman" w:cs="Times New Roman" w:eastAsiaTheme="minorEastAsia"/>
                <w:color w:val="auto"/>
                <w:kern w:val="2"/>
                <w:sz w:val="24"/>
                <w:szCs w:val="24"/>
                <w:lang w:eastAsia="zh-CN" w:bidi="ar"/>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b/>
                <w:bCs/>
                <w:color w:val="auto"/>
                <w:kern w:val="2"/>
                <w:sz w:val="24"/>
                <w:szCs w:val="24"/>
                <w:lang w:val="en-US" w:eastAsia="zh-CN" w:bidi="ar"/>
              </w:rPr>
              <w:t>表4-</w:t>
            </w:r>
            <w:r>
              <w:rPr>
                <w:rFonts w:hint="eastAsia" w:ascii="Times New Roman" w:hAnsi="Times New Roman" w:cs="Times New Roman" w:eastAsiaTheme="minorEastAsia"/>
                <w:b/>
                <w:bCs/>
                <w:color w:val="auto"/>
                <w:kern w:val="2"/>
                <w:sz w:val="24"/>
                <w:szCs w:val="24"/>
                <w:lang w:val="en-US" w:eastAsia="zh-CN" w:bidi="ar"/>
              </w:rPr>
              <w:t>4</w:t>
            </w:r>
            <w:r>
              <w:rPr>
                <w:rFonts w:hint="default" w:ascii="Times New Roman" w:hAnsi="Times New Roman" w:cs="Times New Roman" w:eastAsiaTheme="minorEastAsia"/>
                <w:b/>
                <w:bCs/>
                <w:color w:val="auto"/>
                <w:kern w:val="2"/>
                <w:sz w:val="24"/>
                <w:szCs w:val="24"/>
                <w:lang w:val="en-US" w:eastAsia="zh-CN" w:bidi="ar"/>
              </w:rPr>
              <w:t>3 相符性分析</w:t>
            </w:r>
          </w:p>
          <w:tbl>
            <w:tblPr>
              <w:tblStyle w:val="27"/>
              <w:tblW w:w="793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02"/>
              <w:gridCol w:w="3483"/>
              <w:gridCol w:w="9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苏环办[2022]338号</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相符性分析</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color w:val="auto"/>
                      <w:kern w:val="2"/>
                      <w:sz w:val="21"/>
                      <w:szCs w:val="21"/>
                      <w:vertAlign w:val="baseline"/>
                      <w:lang w:val="en-US" w:eastAsia="zh-CN" w:bidi="ar"/>
                    </w:rPr>
                  </w:pPr>
                  <w:r>
                    <w:rPr>
                      <w:rFonts w:hint="default" w:ascii="Times New Roman" w:hAnsi="Times New Roman" w:cs="Times New Roman" w:eastAsiaTheme="minorEastAsia"/>
                      <w:b/>
                      <w:bCs/>
                      <w:color w:val="auto"/>
                      <w:kern w:val="2"/>
                      <w:sz w:val="21"/>
                      <w:szCs w:val="21"/>
                      <w:vertAlign w:val="baseline"/>
                      <w:lang w:val="en-US" w:eastAsia="zh-CN" w:bidi="ar"/>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1.科学判定环境风险评价工作等级和评价范围，系统识别环境风险。合理分析代表性风险事故情形，预测其影响范围与程度。</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本项目环评按照《建设项目环境风险评价技术导则》（HJ169-2018）判定环境风险评价工作等级和评价范围，系统识别环境风险，合理分析代表性风险事故情形，预测其影响范围与程度。</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2.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明确环境风险防范措施的建设任务。大气环境风险防范应结合风险源实际状况相符明确环境风险的防范、减缓措施，提出环境风险监控要求。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4.对改建、扩建和技术改造项目，调查事故应急池、雨污水排口闸阀及配套管网等现有环境风险防控设施建设情况，梳理突发环境事件风险评估、应急预案、隐患排查治理、物资装备配备等管理制度执行情况，分析提出环境风险防控现状问題清单，明确整改措施。对于需依托现有环境风险防范措施的项目，需分析依托的可行性，必要时提出优化方案。</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调查事故池、雨污水排口闸阀及配套管网等现有环境风险防控设施建设情况，梳理突发环境事件风险评估、应急预案、隐患排查治理、物资装备配备等管理制度执行情况，分析提出环境风险防控现状问題清单，明确整改措施。</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5.环境风险防范措施“三同时” 要求。环境风险防范措施应纳入环保投资和建设项目竣工环保验收内容。</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本项目环境风险防范措施“三同时”要求。环境风险防范措施应纳入环保投资和建设项目竣工环保验收内容。</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02"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6.明确环境风险评价结论。根据项目危险因素、环境敏感性及风险事故分析结果，结合环境风险防范措施和应急管理建设内容，明确给出建设项目环境风险是否可防控的结论。</w:t>
                  </w:r>
                </w:p>
              </w:tc>
              <w:tc>
                <w:tcPr>
                  <w:tcW w:w="3483"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本项目明确环境风险评价结论。根据项目危险因素、环境敏感性及风险事故分析结果，结合环境风险防范措施和应急管理建设内容，明确给出建设项目环境风险是否可防控的结论。</w:t>
                  </w:r>
                </w:p>
              </w:tc>
              <w:tc>
                <w:tcPr>
                  <w:tcW w:w="951" w:type="dxa"/>
                  <w:tcBorders>
                    <w:tl2br w:val="nil"/>
                    <w:tr2bl w:val="nil"/>
                  </w:tcBorders>
                  <w:noWrap w:val="0"/>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2"/>
                      <w:sz w:val="21"/>
                      <w:szCs w:val="21"/>
                      <w:vertAlign w:val="baseline"/>
                      <w:lang w:val="en-US" w:eastAsia="zh-CN" w:bidi="ar"/>
                    </w:rPr>
                  </w:pPr>
                  <w:r>
                    <w:rPr>
                      <w:rFonts w:hint="default" w:ascii="Times New Roman" w:hAnsi="Times New Roman" w:cs="Times New Roman" w:eastAsiaTheme="minorEastAsia"/>
                      <w:color w:val="auto"/>
                      <w:kern w:val="2"/>
                      <w:sz w:val="21"/>
                      <w:szCs w:val="21"/>
                      <w:vertAlign w:val="baseline"/>
                      <w:lang w:val="en-US" w:eastAsia="zh-CN" w:bidi="ar"/>
                    </w:rPr>
                    <w:t>相符</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8、电磁辐射影响分析</w:t>
            </w:r>
          </w:p>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本项目不存在电磁辐射影响。</w:t>
            </w:r>
          </w:p>
          <w:p>
            <w:pPr>
              <w:pStyle w:val="35"/>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eastAsiaTheme="minorEastAsia"/>
                <w:b/>
                <w:bCs w:val="0"/>
                <w:color w:val="auto"/>
                <w:kern w:val="2"/>
                <w:sz w:val="24"/>
                <w:szCs w:val="24"/>
                <w:lang w:val="en-US" w:eastAsia="zh-CN" w:bidi="ar-SA"/>
              </w:rPr>
            </w:pPr>
            <w:r>
              <w:rPr>
                <w:rFonts w:hint="default" w:ascii="Times New Roman" w:hAnsi="Times New Roman" w:cs="Times New Roman" w:eastAsiaTheme="minorEastAsia"/>
                <w:b/>
                <w:bCs w:val="0"/>
                <w:color w:val="auto"/>
                <w:kern w:val="2"/>
                <w:sz w:val="24"/>
                <w:szCs w:val="24"/>
                <w:lang w:val="en-US" w:eastAsia="zh-CN" w:bidi="ar-SA"/>
              </w:rPr>
              <w:t>9、“三同时”验收一览表</w:t>
            </w:r>
          </w:p>
          <w:p>
            <w:pPr>
              <w:pStyle w:val="35"/>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本项目“三同时”验收一览表详见表4-</w:t>
            </w:r>
            <w:r>
              <w:rPr>
                <w:rFonts w:hint="eastAsia" w:ascii="Times New Roman" w:hAnsi="Times New Roman" w:cs="Times New Roman" w:eastAsiaTheme="minorEastAsia"/>
                <w:b w:val="0"/>
                <w:bCs/>
                <w:color w:val="auto"/>
                <w:sz w:val="24"/>
                <w:szCs w:val="24"/>
                <w:lang w:val="en-US" w:eastAsia="zh-CN"/>
              </w:rPr>
              <w:t>4</w:t>
            </w:r>
            <w:r>
              <w:rPr>
                <w:rFonts w:hint="default" w:ascii="Times New Roman" w:hAnsi="Times New Roman" w:cs="Times New Roman" w:eastAsiaTheme="minorEastAsia"/>
                <w:b w:val="0"/>
                <w:bCs/>
                <w:color w:val="auto"/>
                <w:sz w:val="24"/>
                <w:szCs w:val="24"/>
                <w:lang w:val="en-US" w:eastAsia="zh-CN"/>
              </w:rPr>
              <w:t>4</w:t>
            </w:r>
            <w:r>
              <w:rPr>
                <w:rFonts w:hint="default" w:ascii="Times New Roman" w:hAnsi="Times New Roman" w:cs="Times New Roman" w:eastAsiaTheme="minorEastAsia"/>
                <w:b w:val="0"/>
                <w:bCs/>
                <w:color w:val="auto"/>
                <w:sz w:val="24"/>
                <w:szCs w:val="24"/>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表4-</w:t>
            </w:r>
            <w:r>
              <w:rPr>
                <w:rFonts w:hint="eastAsia"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 xml:space="preserve">  污染治理投资和“三同时”验收一览表</w:t>
            </w:r>
          </w:p>
          <w:tbl>
            <w:tblPr>
              <w:tblStyle w:val="26"/>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6"/>
              <w:gridCol w:w="863"/>
              <w:gridCol w:w="987"/>
              <w:gridCol w:w="1763"/>
              <w:gridCol w:w="2296"/>
              <w:gridCol w:w="770"/>
              <w:gridCol w:w="4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项目名称</w:t>
                  </w:r>
                </w:p>
              </w:tc>
              <w:tc>
                <w:tcPr>
                  <w:tcW w:w="4510" w:type="pct"/>
                  <w:gridSpan w:val="6"/>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eastAsiaTheme="minorEastAsia"/>
                      <w:b/>
                      <w:bCs/>
                      <w:color w:val="auto"/>
                      <w:szCs w:val="21"/>
                      <w:lang w:eastAsia="zh-CN"/>
                    </w:rPr>
                    <w:t>聚碳酸酯（PC）板加工项目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类别</w:t>
                  </w: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污染源</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污染物</w:t>
                  </w:r>
                </w:p>
              </w:tc>
              <w:tc>
                <w:tcPr>
                  <w:tcW w:w="111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治理措施（建设数量、规模、处理能力等）</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处理效果、执行标准或拟达要求</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环保投资（万元）</w:t>
                  </w:r>
                </w:p>
              </w:tc>
              <w:tc>
                <w:tcPr>
                  <w:tcW w:w="30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完成时间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大气污染物</w:t>
                  </w: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lang w:val="en-US" w:eastAsia="zh-CN"/>
                    </w:rPr>
                    <w:t>DA001</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非甲烷总烃、酚类、氯苯类</w:t>
                  </w:r>
                </w:p>
              </w:tc>
              <w:tc>
                <w:tcPr>
                  <w:tcW w:w="111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风冷管+</w:t>
                  </w:r>
                  <w:r>
                    <w:rPr>
                      <w:rFonts w:hint="default" w:ascii="Times New Roman" w:hAnsi="Times New Roman" w:cs="Times New Roman" w:eastAsiaTheme="minorEastAsia"/>
                      <w:color w:val="auto"/>
                      <w:szCs w:val="21"/>
                      <w:lang w:val="en-US" w:eastAsia="zh-CN"/>
                    </w:rPr>
                    <w:t>二级活性炭+15m高排气筒</w:t>
                  </w:r>
                </w:p>
              </w:tc>
              <w:tc>
                <w:tcPr>
                  <w:tcW w:w="1447" w:type="pct"/>
                  <w:tcBorders>
                    <w:tl2br w:val="nil"/>
                    <w:tr2bl w:val="nil"/>
                  </w:tcBorders>
                  <w:noWrap w:val="0"/>
                  <w:tcMar>
                    <w:top w:w="11" w:type="dxa"/>
                    <w:left w:w="11"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《合成树脂工业污染物排放标准》（GB31572-2015含2024年修改单）</w:t>
                  </w:r>
                </w:p>
              </w:tc>
              <w:tc>
                <w:tcPr>
                  <w:tcW w:w="485"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30</w:t>
                  </w:r>
                </w:p>
              </w:tc>
              <w:tc>
                <w:tcPr>
                  <w:tcW w:w="301"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1"/>
                    </w:rPr>
                    <w:t>与主体工程同时设计、同时施工、同时投产运行</w:t>
                  </w:r>
                </w:p>
                <w:p>
                  <w:pPr>
                    <w:pStyle w:val="48"/>
                    <w:keepNext w:val="0"/>
                    <w:keepLines w:val="0"/>
                    <w:suppressLineNumbers w:val="0"/>
                    <w:ind w:left="0" w:right="0"/>
                    <w:rPr>
                      <w:rFonts w:hint="default" w:ascii="Times New Roman" w:hAnsi="Times New Roman" w:cs="Times New Roman" w:eastAsiaTheme="minor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tc>
              <w:tc>
                <w:tcPr>
                  <w:tcW w:w="543"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eastAsiaTheme="minorEastAsia"/>
                      <w:b/>
                      <w:bCs/>
                      <w:color w:val="auto"/>
                      <w:szCs w:val="21"/>
                      <w:lang w:val="en-US" w:eastAsia="zh-CN"/>
                    </w:rPr>
                    <w:t>厂界</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非甲烷总烃、颗粒物</w:t>
                  </w:r>
                </w:p>
              </w:tc>
              <w:tc>
                <w:tcPr>
                  <w:tcW w:w="1111"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布袋除尘器、</w:t>
                  </w:r>
                  <w:r>
                    <w:rPr>
                      <w:rFonts w:hint="default" w:ascii="Times New Roman" w:hAnsi="Times New Roman" w:cs="Times New Roman" w:eastAsiaTheme="minorEastAsia"/>
                      <w:color w:val="auto"/>
                      <w:szCs w:val="21"/>
                    </w:rPr>
                    <w:t>加强通风、植树绿化</w:t>
                  </w:r>
                </w:p>
              </w:tc>
              <w:tc>
                <w:tcPr>
                  <w:tcW w:w="1447" w:type="pct"/>
                  <w:tcBorders>
                    <w:tl2br w:val="nil"/>
                    <w:tr2bl w:val="nil"/>
                  </w:tcBorders>
                  <w:noWrap w:val="0"/>
                  <w:tcMar>
                    <w:top w:w="11" w:type="dxa"/>
                    <w:left w:w="11" w:type="dxa"/>
                    <w:right w:w="11"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rPr>
                    <w:t>《合成树脂工业污染物排放标准》（GB31572-2015含2024年修改单）</w:t>
                  </w:r>
                </w:p>
              </w:tc>
              <w:tc>
                <w:tcPr>
                  <w:tcW w:w="485"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tc>
              <w:tc>
                <w:tcPr>
                  <w:tcW w:w="543"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val="en-US" w:eastAsia="zh-CN"/>
                    </w:rPr>
                  </w:pP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酚类、氯苯类</w:t>
                  </w:r>
                </w:p>
              </w:tc>
              <w:tc>
                <w:tcPr>
                  <w:tcW w:w="111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c>
                <w:tcPr>
                  <w:tcW w:w="1447" w:type="pct"/>
                  <w:tcBorders>
                    <w:tl2br w:val="nil"/>
                    <w:tr2bl w:val="nil"/>
                  </w:tcBorders>
                  <w:noWrap w:val="0"/>
                  <w:tcMar>
                    <w:top w:w="11" w:type="dxa"/>
                    <w:left w:w="11" w:type="dxa"/>
                    <w:right w:w="11"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 w:val="21"/>
                      <w:szCs w:val="21"/>
                      <w:lang w:val="en-US" w:eastAsia="zh-CN"/>
                    </w:rPr>
                    <w:t>《大气污染物综合排放标准》（DB32/4041-2021）</w:t>
                  </w:r>
                </w:p>
              </w:tc>
              <w:tc>
                <w:tcPr>
                  <w:tcW w:w="485"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tc>
              <w:tc>
                <w:tcPr>
                  <w:tcW w:w="543"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val="en-US" w:eastAsia="zh-CN"/>
                    </w:rPr>
                  </w:pP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臭气浓度</w:t>
                  </w:r>
                </w:p>
              </w:tc>
              <w:tc>
                <w:tcPr>
                  <w:tcW w:w="111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c>
                <w:tcPr>
                  <w:tcW w:w="1447" w:type="pct"/>
                  <w:tcBorders>
                    <w:tl2br w:val="nil"/>
                    <w:tr2bl w:val="nil"/>
                  </w:tcBorders>
                  <w:noWrap w:val="0"/>
                  <w:tcMar>
                    <w:top w:w="11" w:type="dxa"/>
                    <w:left w:w="11" w:type="dxa"/>
                    <w:right w:w="11" w:type="dxa"/>
                  </w:tcMar>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rPr>
                    <w:t>《恶臭污染物排放标准》（GB 14554-93）</w:t>
                  </w:r>
                </w:p>
              </w:tc>
              <w:tc>
                <w:tcPr>
                  <w:tcW w:w="485"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厂区内车间外1m</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非甲烷总烃</w:t>
                  </w:r>
                </w:p>
              </w:tc>
              <w:tc>
                <w:tcPr>
                  <w:tcW w:w="111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w:t>
                  </w:r>
                </w:p>
              </w:tc>
              <w:tc>
                <w:tcPr>
                  <w:tcW w:w="1447" w:type="pct"/>
                  <w:tcBorders>
                    <w:tl2br w:val="nil"/>
                    <w:tr2bl w:val="nil"/>
                  </w:tcBorders>
                  <w:noWrap w:val="0"/>
                  <w:tcMar>
                    <w:top w:w="11" w:type="dxa"/>
                    <w:left w:w="11"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《大气污染物综合排放标准》（DB32/4041</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rPr>
                    <w:t>2021）</w:t>
                  </w:r>
                </w:p>
              </w:tc>
              <w:tc>
                <w:tcPr>
                  <w:tcW w:w="485"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水污染物</w:t>
                  </w: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eastAsiaTheme="minorEastAsia"/>
                      <w:b/>
                      <w:bCs/>
                      <w:color w:val="auto"/>
                      <w:szCs w:val="21"/>
                      <w:lang w:val="en-US" w:eastAsia="zh-CN"/>
                    </w:rPr>
                    <w:t>生产废水</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pH、COD、SS、氨氮、总磷、总氮</w:t>
                  </w:r>
                </w:p>
              </w:tc>
              <w:tc>
                <w:tcPr>
                  <w:tcW w:w="111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vertAlign w:val="baseline"/>
                      <w:lang w:val="en-US" w:eastAsia="zh-CN"/>
                    </w:rPr>
                    <w:t>化粪池</w:t>
                  </w:r>
                  <w:r>
                    <w:rPr>
                      <w:rFonts w:hint="eastAsia" w:ascii="Times New Roman" w:hAnsi="Times New Roman" w:cs="Times New Roman" w:eastAsiaTheme="minorEastAsia"/>
                      <w:color w:val="auto"/>
                      <w:szCs w:val="21"/>
                      <w:vertAlign w:val="baseline"/>
                      <w:lang w:val="en-US" w:eastAsia="zh-CN"/>
                    </w:rPr>
                    <w:t>（依托现有）</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《污水综合排放标准》（GB8978-1996）表4中的三级标准</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0</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噪声</w:t>
                  </w: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设备噪声</w:t>
                  </w:r>
                </w:p>
              </w:tc>
              <w:tc>
                <w:tcPr>
                  <w:tcW w:w="622"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w:t>
                  </w:r>
                </w:p>
              </w:tc>
              <w:tc>
                <w:tcPr>
                  <w:tcW w:w="1111"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低噪声设备、墙壁隔声、密闭门窗、距离衰减等综合防治措施</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噪声达标</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restar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固体废物</w:t>
                  </w: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一般固废暂存区</w:t>
                  </w:r>
                </w:p>
              </w:tc>
              <w:tc>
                <w:tcPr>
                  <w:tcW w:w="17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bCs/>
                      <w:color w:val="auto"/>
                      <w:szCs w:val="21"/>
                    </w:rPr>
                    <w:t>面积</w:t>
                  </w:r>
                  <w:r>
                    <w:rPr>
                      <w:rFonts w:hint="eastAsia" w:ascii="Times New Roman" w:hAnsi="Times New Roman" w:cs="Times New Roman" w:eastAsiaTheme="minorEastAsia"/>
                      <w:bCs/>
                      <w:color w:val="auto"/>
                      <w:szCs w:val="21"/>
                      <w:lang w:val="en-US" w:eastAsia="zh-CN"/>
                    </w:rPr>
                    <w:t>20</w:t>
                  </w:r>
                  <w:r>
                    <w:rPr>
                      <w:rFonts w:hint="default" w:ascii="Times New Roman" w:hAnsi="Times New Roman" w:cs="Times New Roman" w:eastAsiaTheme="minorEastAsia"/>
                      <w:bCs/>
                      <w:color w:val="auto"/>
                      <w:szCs w:val="21"/>
                    </w:rPr>
                    <w:t>m</w:t>
                  </w:r>
                  <w:r>
                    <w:rPr>
                      <w:rFonts w:hint="default" w:ascii="Times New Roman" w:hAnsi="Times New Roman" w:cs="Times New Roman" w:eastAsiaTheme="minorEastAsia"/>
                      <w:bCs/>
                      <w:color w:val="auto"/>
                      <w:szCs w:val="21"/>
                      <w:vertAlign w:val="superscript"/>
                    </w:rPr>
                    <w:t>2</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bCs/>
                      <w:color w:val="auto"/>
                      <w:szCs w:val="21"/>
                      <w:lang w:val="en-US" w:eastAsia="zh-CN"/>
                    </w:rPr>
                    <w:t>新建</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89"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p>
              </w:tc>
              <w:tc>
                <w:tcPr>
                  <w:tcW w:w="543"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危废车间</w:t>
                  </w:r>
                </w:p>
              </w:tc>
              <w:tc>
                <w:tcPr>
                  <w:tcW w:w="17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Cs/>
                      <w:color w:val="auto"/>
                      <w:szCs w:val="21"/>
                    </w:rPr>
                    <w:t>面积</w:t>
                  </w:r>
                  <w:r>
                    <w:rPr>
                      <w:rFonts w:hint="default" w:ascii="Times New Roman" w:hAnsi="Times New Roman" w:cs="Times New Roman" w:eastAsiaTheme="minorEastAsia"/>
                      <w:bCs/>
                      <w:color w:val="auto"/>
                      <w:szCs w:val="21"/>
                      <w:lang w:val="en-US" w:eastAsia="zh-CN"/>
                    </w:rPr>
                    <w:t>30</w:t>
                  </w:r>
                  <w:r>
                    <w:rPr>
                      <w:rFonts w:hint="default" w:ascii="Times New Roman" w:hAnsi="Times New Roman" w:cs="Times New Roman" w:eastAsiaTheme="minorEastAsia"/>
                      <w:bCs/>
                      <w:color w:val="auto"/>
                      <w:szCs w:val="21"/>
                    </w:rPr>
                    <w:t>m</w:t>
                  </w:r>
                  <w:r>
                    <w:rPr>
                      <w:rFonts w:hint="default" w:ascii="Times New Roman" w:hAnsi="Times New Roman" w:cs="Times New Roman" w:eastAsiaTheme="minorEastAsia"/>
                      <w:bCs/>
                      <w:color w:val="auto"/>
                      <w:szCs w:val="21"/>
                      <w:vertAlign w:val="superscript"/>
                    </w:rPr>
                    <w:t>2</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新建</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4</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23" w:hRule="atLeast"/>
                <w:jc w:val="center"/>
              </w:trPr>
              <w:tc>
                <w:tcPr>
                  <w:tcW w:w="10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污水管网雨污分流、排污口规范化设置（流量计、在线监测仪等）</w:t>
                  </w:r>
                </w:p>
              </w:tc>
              <w:tc>
                <w:tcPr>
                  <w:tcW w:w="17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规范化接管口</w:t>
                  </w:r>
                </w:p>
              </w:tc>
              <w:tc>
                <w:tcPr>
                  <w:tcW w:w="1447"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满足《江苏省排污口设置及规范化整治管理办法》的要求</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val="en-US" w:eastAsia="zh-CN"/>
                    </w:rPr>
                    <w:t>1</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总量平衡具体方案</w:t>
                  </w:r>
                </w:p>
              </w:tc>
              <w:tc>
                <w:tcPr>
                  <w:tcW w:w="3180" w:type="pct"/>
                  <w:gridSpan w:val="3"/>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全厂主要污染物排放量控制为：</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大气污染物（有组织/无组织）：颗粒物≤0/0.0</w:t>
                  </w:r>
                  <w:r>
                    <w:rPr>
                      <w:rFonts w:hint="eastAsia" w:ascii="Times New Roman" w:hAnsi="Times New Roman" w:cs="Times New Roman" w:eastAsiaTheme="minorEastAsia"/>
                      <w:color w:val="auto"/>
                      <w:szCs w:val="21"/>
                      <w:lang w:val="en-US" w:eastAsia="zh-CN"/>
                    </w:rPr>
                    <w:t>131</w:t>
                  </w:r>
                  <w:r>
                    <w:rPr>
                      <w:rFonts w:hint="default" w:ascii="Times New Roman" w:hAnsi="Times New Roman" w:cs="Times New Roman" w:eastAsiaTheme="minorEastAsia"/>
                      <w:color w:val="auto"/>
                      <w:szCs w:val="21"/>
                    </w:rPr>
                    <w:t>t/a、VOCs≤0.0</w:t>
                  </w:r>
                  <w:r>
                    <w:rPr>
                      <w:rFonts w:hint="eastAsia" w:ascii="Times New Roman" w:hAnsi="Times New Roman" w:cs="Times New Roman" w:eastAsiaTheme="minorEastAsia"/>
                      <w:color w:val="auto"/>
                      <w:szCs w:val="21"/>
                      <w:lang w:val="en-US" w:eastAsia="zh-CN"/>
                    </w:rPr>
                    <w:t>2445</w:t>
                  </w:r>
                  <w:r>
                    <w:rPr>
                      <w:rFonts w:hint="default" w:ascii="Times New Roman" w:hAnsi="Times New Roman" w:cs="Times New Roman" w:eastAsiaTheme="minorEastAsia"/>
                      <w:color w:val="auto"/>
                      <w:szCs w:val="21"/>
                    </w:rPr>
                    <w:t>/0.28</w:t>
                  </w:r>
                  <w:r>
                    <w:rPr>
                      <w:rFonts w:hint="eastAsia" w:ascii="Times New Roman" w:hAnsi="Times New Roman" w:cs="Times New Roman" w:eastAsiaTheme="minorEastAsia"/>
                      <w:color w:val="auto"/>
                      <w:szCs w:val="21"/>
                      <w:lang w:val="en-US" w:eastAsia="zh-CN"/>
                    </w:rPr>
                    <w:t>24</w:t>
                  </w:r>
                  <w:r>
                    <w:rPr>
                      <w:rFonts w:hint="default" w:ascii="Times New Roman" w:hAnsi="Times New Roman" w:cs="Times New Roman" w:eastAsiaTheme="minorEastAsia"/>
                      <w:color w:val="auto"/>
                      <w:szCs w:val="21"/>
                    </w:rPr>
                    <w:t>t/a。</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水污染物</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A.废水量（接管量）360t/a；</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水污染物总量控制指标（接管量）：COD0.0734t/a、NH</w:t>
                  </w:r>
                  <w:r>
                    <w:rPr>
                      <w:rFonts w:hint="default" w:ascii="Times New Roman" w:hAnsi="Times New Roman" w:cs="Times New Roman" w:eastAsiaTheme="minorEastAsia"/>
                      <w:color w:val="auto"/>
                      <w:szCs w:val="21"/>
                      <w:vertAlign w:val="subscript"/>
                    </w:rPr>
                    <w:t>3</w:t>
                  </w:r>
                  <w:r>
                    <w:rPr>
                      <w:rFonts w:hint="default" w:ascii="Times New Roman" w:hAnsi="Times New Roman" w:cs="Times New Roman" w:eastAsiaTheme="minorEastAsia"/>
                      <w:color w:val="auto"/>
                      <w:szCs w:val="21"/>
                    </w:rPr>
                    <w:t>-N0.01</w:t>
                  </w:r>
                  <w:r>
                    <w:rPr>
                      <w:rFonts w:hint="eastAsia" w:ascii="Times New Roman" w:hAnsi="Times New Roman" w:cs="Times New Roman" w:eastAsiaTheme="minorEastAsia"/>
                      <w:color w:val="auto"/>
                      <w:szCs w:val="21"/>
                      <w:lang w:val="en-US" w:eastAsia="zh-CN"/>
                    </w:rPr>
                    <w:t>17</w:t>
                  </w:r>
                  <w:r>
                    <w:rPr>
                      <w:rFonts w:hint="default" w:ascii="Times New Roman" w:hAnsi="Times New Roman" w:cs="Times New Roman" w:eastAsiaTheme="minorEastAsia"/>
                      <w:color w:val="auto"/>
                      <w:szCs w:val="21"/>
                    </w:rPr>
                    <w:t>t/a、TP0.001</w:t>
                  </w:r>
                  <w:r>
                    <w:rPr>
                      <w:rFonts w:hint="eastAsia" w:ascii="Times New Roman" w:hAnsi="Times New Roman" w:cs="Times New Roman" w:eastAsiaTheme="minorEastAsia"/>
                      <w:color w:val="auto"/>
                      <w:szCs w:val="21"/>
                      <w:lang w:val="en-US" w:eastAsia="zh-CN"/>
                    </w:rPr>
                    <w:t>5</w:t>
                  </w:r>
                  <w:r>
                    <w:rPr>
                      <w:rFonts w:hint="default" w:ascii="Times New Roman" w:hAnsi="Times New Roman" w:cs="Times New Roman" w:eastAsiaTheme="minorEastAsia"/>
                      <w:color w:val="auto"/>
                      <w:szCs w:val="21"/>
                    </w:rPr>
                    <w:t>t/a、TN0.01</w:t>
                  </w:r>
                  <w:r>
                    <w:rPr>
                      <w:rFonts w:hint="eastAsia" w:ascii="Times New Roman" w:hAnsi="Times New Roman" w:cs="Times New Roman" w:eastAsiaTheme="minorEastAsia"/>
                      <w:color w:val="auto"/>
                      <w:szCs w:val="21"/>
                      <w:lang w:val="en-US" w:eastAsia="zh-CN"/>
                    </w:rPr>
                    <w:t>61</w:t>
                  </w:r>
                  <w:r>
                    <w:rPr>
                      <w:rFonts w:hint="default" w:ascii="Times New Roman" w:hAnsi="Times New Roman" w:cs="Times New Roman" w:eastAsiaTheme="minorEastAsia"/>
                      <w:color w:val="auto"/>
                      <w:szCs w:val="21"/>
                    </w:rPr>
                    <w:t>t/a；</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B.废水量（外排量）360t/a；</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水污染物总量控制指标（外排量）：COD0.018t/a；NH</w:t>
                  </w:r>
                  <w:r>
                    <w:rPr>
                      <w:rFonts w:hint="default" w:ascii="Times New Roman" w:hAnsi="Times New Roman" w:cs="Times New Roman" w:eastAsiaTheme="minorEastAsia"/>
                      <w:color w:val="auto"/>
                      <w:szCs w:val="21"/>
                      <w:vertAlign w:val="subscript"/>
                    </w:rPr>
                    <w:t>3</w:t>
                  </w:r>
                  <w:r>
                    <w:rPr>
                      <w:rFonts w:hint="default" w:ascii="Times New Roman" w:hAnsi="Times New Roman" w:cs="Times New Roman" w:eastAsiaTheme="minorEastAsia"/>
                      <w:color w:val="auto"/>
                      <w:szCs w:val="21"/>
                    </w:rPr>
                    <w:t>-N0.001</w:t>
                  </w:r>
                  <w:r>
                    <w:rPr>
                      <w:rFonts w:hint="eastAsia" w:ascii="Times New Roman" w:hAnsi="Times New Roman" w:cs="Times New Roman" w:eastAsiaTheme="minorEastAsia"/>
                      <w:color w:val="auto"/>
                      <w:szCs w:val="21"/>
                      <w:lang w:val="en-US" w:eastAsia="zh-CN"/>
                    </w:rPr>
                    <w:t>9</w:t>
                  </w:r>
                  <w:r>
                    <w:rPr>
                      <w:rFonts w:hint="default" w:ascii="Times New Roman" w:hAnsi="Times New Roman" w:cs="Times New Roman" w:eastAsiaTheme="minorEastAsia"/>
                      <w:color w:val="auto"/>
                      <w:szCs w:val="21"/>
                    </w:rPr>
                    <w:t>t/a、TP0.0002t/a、TN0.005</w:t>
                  </w:r>
                  <w:r>
                    <w:rPr>
                      <w:rFonts w:hint="eastAsia" w:ascii="Times New Roman" w:hAnsi="Times New Roman" w:cs="Times New Roman" w:eastAsiaTheme="minorEastAsia"/>
                      <w:color w:val="auto"/>
                      <w:szCs w:val="21"/>
                      <w:lang w:val="en-US" w:eastAsia="zh-CN"/>
                    </w:rPr>
                    <w:t>0</w:t>
                  </w:r>
                  <w:r>
                    <w:rPr>
                      <w:rFonts w:hint="default" w:ascii="Times New Roman" w:hAnsi="Times New Roman" w:cs="Times New Roman" w:eastAsiaTheme="minorEastAsia"/>
                      <w:color w:val="auto"/>
                      <w:szCs w:val="21"/>
                    </w:rPr>
                    <w:t>t/a。</w:t>
                  </w:r>
                </w:p>
                <w:p>
                  <w:pPr>
                    <w:keepNext w:val="0"/>
                    <w:keepLines w:val="0"/>
                    <w:suppressLineNumbers w:val="0"/>
                    <w:spacing w:before="0" w:beforeAutospacing="0" w:after="0" w:afterAutospacing="0"/>
                    <w:ind w:left="0" w:right="0"/>
                    <w:jc w:val="left"/>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固体废物：全厂所有工业固废均进行合理处理处置，固体废弃物排放量为零。</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区域解决问题</w:t>
                  </w:r>
                </w:p>
              </w:tc>
              <w:tc>
                <w:tcPr>
                  <w:tcW w:w="3180" w:type="pct"/>
                  <w:gridSpan w:val="3"/>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大气环境防护距离</w:t>
                  </w:r>
                </w:p>
              </w:tc>
              <w:tc>
                <w:tcPr>
                  <w:tcW w:w="3180" w:type="pct"/>
                  <w:gridSpan w:val="3"/>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33" w:type="pct"/>
                  <w:gridSpan w:val="2"/>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卫生防护距离</w:t>
                  </w:r>
                </w:p>
              </w:tc>
              <w:tc>
                <w:tcPr>
                  <w:tcW w:w="3180" w:type="pct"/>
                  <w:gridSpan w:val="3"/>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分别以车间一、车间二、车间三、车间四为执行边界设置50m的卫生防护距离</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213" w:type="pct"/>
                  <w:gridSpan w:val="5"/>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环保投资合计</w:t>
                  </w:r>
                </w:p>
              </w:tc>
              <w:tc>
                <w:tcPr>
                  <w:tcW w:w="485" w:type="pct"/>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40</w:t>
                  </w:r>
                </w:p>
              </w:tc>
              <w:tc>
                <w:tcPr>
                  <w:tcW w:w="301" w:type="pct"/>
                  <w:vMerge w:val="continue"/>
                  <w:tcBorders>
                    <w:tl2br w:val="nil"/>
                    <w:tr2bl w:val="nil"/>
                  </w:tcBorders>
                  <w:noWrap w:val="0"/>
                  <w:tcMar>
                    <w:top w:w="11" w:type="dxa"/>
                    <w:left w:w="11" w:type="dxa"/>
                    <w:right w:w="11"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20" w:firstLineChars="200"/>
              <w:textAlignment w:val="auto"/>
              <w:rPr>
                <w:rFonts w:hint="default" w:ascii="Times New Roman" w:hAnsi="Times New Roman" w:cs="Times New Roman" w:eastAsiaTheme="minorEastAsia"/>
                <w:b w:val="0"/>
                <w:bCs w:val="0"/>
                <w:color w:val="auto"/>
                <w:sz w:val="21"/>
                <w:szCs w:val="21"/>
                <w:lang w:val="en-US" w:eastAsia="zh-CN"/>
              </w:rPr>
            </w:pPr>
          </w:p>
        </w:tc>
      </w:tr>
    </w:tbl>
    <w:p>
      <w:pPr>
        <w:adjustRightInd w:val="0"/>
        <w:snapToGrid w:val="0"/>
        <w:spacing w:line="360" w:lineRule="auto"/>
        <w:rPr>
          <w:rFonts w:hint="default" w:ascii="Times New Roman" w:hAnsi="Times New Roman" w:cs="Times New Roman"/>
          <w:b/>
          <w:color w:val="000000"/>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t>五、</w:t>
      </w:r>
      <w:bookmarkStart w:id="15" w:name="_Hlk54167917"/>
      <w:r>
        <w:rPr>
          <w:rFonts w:hint="default" w:ascii="Times New Roman" w:hAnsi="Times New Roman" w:eastAsia="黑体" w:cs="Times New Roman"/>
          <w:snapToGrid w:val="0"/>
          <w:color w:val="000000"/>
          <w:sz w:val="30"/>
          <w:szCs w:val="30"/>
        </w:rPr>
        <w:t>环境保护措施监督检查清单</w:t>
      </w:r>
      <w:bookmarkEnd w:id="15"/>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829"/>
        <w:gridCol w:w="830"/>
        <w:gridCol w:w="1505"/>
        <w:gridCol w:w="1853"/>
        <w:gridCol w:w="21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要素</w:t>
            </w:r>
          </w:p>
        </w:tc>
        <w:tc>
          <w:tcPr>
            <w:tcW w:w="165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排放口</w:t>
            </w:r>
            <w:r>
              <w:rPr>
                <w:rFonts w:hint="eastAsia" w:ascii="Times New Roman" w:hAnsi="Times New Roman" w:cs="Times New Roman"/>
                <w:b/>
                <w:bCs/>
                <w:color w:val="000000"/>
                <w:sz w:val="24"/>
                <w:szCs w:val="24"/>
                <w:lang w:eastAsia="zh-CN"/>
              </w:rPr>
              <w:t>（</w:t>
            </w:r>
            <w:r>
              <w:rPr>
                <w:rFonts w:hint="default" w:ascii="Times New Roman" w:hAnsi="Times New Roman" w:cs="Times New Roman"/>
                <w:b/>
                <w:bCs/>
                <w:color w:val="000000"/>
                <w:sz w:val="24"/>
                <w:szCs w:val="24"/>
              </w:rPr>
              <w:t>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名称</w:t>
            </w:r>
            <w:r>
              <w:rPr>
                <w:rFonts w:hint="eastAsia" w:ascii="Times New Roman" w:hAnsi="Times New Roman" w:cs="Times New Roman"/>
                <w:b/>
                <w:bCs/>
                <w:color w:val="000000"/>
                <w:sz w:val="24"/>
                <w:szCs w:val="24"/>
                <w:lang w:eastAsia="zh-CN"/>
              </w:rPr>
              <w:t>）</w:t>
            </w:r>
            <w:r>
              <w:rPr>
                <w:rFonts w:hint="default" w:ascii="Times New Roman" w:hAnsi="Times New Roman" w:cs="Times New Roman"/>
                <w:b/>
                <w:bCs/>
                <w:color w:val="000000"/>
                <w:sz w:val="24"/>
                <w:szCs w:val="24"/>
              </w:rPr>
              <w:t>/污染源</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污染物项目</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环境保护措施</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大气环境</w:t>
            </w:r>
          </w:p>
        </w:tc>
        <w:tc>
          <w:tcPr>
            <w:tcW w:w="165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color w:val="000000"/>
                <w:kern w:val="2"/>
                <w:sz w:val="24"/>
                <w:szCs w:val="24"/>
                <w:lang w:val="en-US" w:eastAsia="zh-CN" w:bidi="ar-SA"/>
              </w:rPr>
            </w:pPr>
            <w:r>
              <w:rPr>
                <w:rFonts w:hint="default" w:ascii="Times New Roman" w:hAnsi="Times New Roman" w:cs="Times New Roman"/>
                <w:b w:val="0"/>
                <w:color w:val="000000"/>
                <w:sz w:val="24"/>
                <w:szCs w:val="24"/>
                <w:lang w:val="en-US" w:eastAsia="zh-CN"/>
              </w:rPr>
              <w:t>DA00</w:t>
            </w:r>
            <w:r>
              <w:rPr>
                <w:rFonts w:hint="eastAsia" w:ascii="Times New Roman" w:hAnsi="Times New Roman" w:cs="Times New Roman"/>
                <w:b w:val="0"/>
                <w:color w:val="000000"/>
                <w:sz w:val="24"/>
                <w:szCs w:val="24"/>
                <w:lang w:val="en-US" w:eastAsia="zh-CN"/>
              </w:rPr>
              <w:t>1</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非甲烷总烃</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酚类、氯苯类</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4"/>
                <w:szCs w:val="24"/>
                <w:lang w:val="en-US" w:eastAsia="zh-CN" w:bidi="ar-SA"/>
              </w:rPr>
            </w:pPr>
            <w:r>
              <w:rPr>
                <w:rFonts w:hint="eastAsia" w:cs="Times New Roman"/>
                <w:b w:val="0"/>
                <w:bCs w:val="0"/>
                <w:color w:val="000000"/>
                <w:sz w:val="24"/>
                <w:szCs w:val="24"/>
                <w:vertAlign w:val="baseline"/>
                <w:lang w:val="en-US" w:eastAsia="zh-CN"/>
              </w:rPr>
              <w:t>风冷管+二级活性炭吸附装置（TA001）</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sz w:val="24"/>
                <w:szCs w:val="24"/>
              </w:rPr>
              <w:t>《合成树脂工业污染物排放标准》（GB31572-2015含2024年修改单）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p>
        </w:tc>
        <w:tc>
          <w:tcPr>
            <w:tcW w:w="82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无组织</w:t>
            </w:r>
          </w:p>
        </w:tc>
        <w:tc>
          <w:tcPr>
            <w:tcW w:w="83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lang w:val="en-US" w:eastAsia="zh-CN"/>
              </w:rPr>
              <w:t>厂界</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非甲烷总烃</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颗粒物</w:t>
            </w:r>
          </w:p>
        </w:tc>
        <w:tc>
          <w:tcPr>
            <w:tcW w:w="1853"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val="en-US" w:eastAsia="zh-CN"/>
              </w:rPr>
              <w:t>布袋除尘器、</w:t>
            </w:r>
            <w:r>
              <w:rPr>
                <w:rFonts w:hint="eastAsia" w:ascii="Times New Roman" w:hAnsi="Times New Roman" w:eastAsia="宋体" w:cs="Times New Roman"/>
                <w:color w:val="auto"/>
                <w:sz w:val="24"/>
                <w:szCs w:val="24"/>
              </w:rPr>
              <w:t>加强通风、植树绿化</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cs="Times New Roman"/>
                <w:sz w:val="24"/>
                <w:szCs w:val="24"/>
              </w:rPr>
              <w:t>《合成树脂工业污染物排放标准》（GB31572-2015含2024年修改单）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p>
        </w:tc>
        <w:tc>
          <w:tcPr>
            <w:tcW w:w="82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p>
        </w:tc>
        <w:tc>
          <w:tcPr>
            <w:tcW w:w="8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4"/>
                <w:szCs w:val="24"/>
                <w:lang w:val="en-US" w:eastAsia="zh-CN"/>
              </w:rPr>
            </w:pPr>
            <w:r>
              <w:rPr>
                <w:rFonts w:hint="eastAsia" w:cs="Times New Roman"/>
                <w:color w:val="auto"/>
                <w:sz w:val="24"/>
                <w:szCs w:val="24"/>
                <w:lang w:val="en-US" w:eastAsia="zh-CN"/>
              </w:rPr>
              <w:t>酚类、氯苯类</w:t>
            </w:r>
          </w:p>
        </w:tc>
        <w:tc>
          <w:tcPr>
            <w:tcW w:w="185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rPr>
            </w:pP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4"/>
                <w:szCs w:val="24"/>
              </w:rPr>
            </w:pPr>
            <w:r>
              <w:rPr>
                <w:rFonts w:hint="eastAsia" w:ascii="Times New Roman" w:hAnsi="Times New Roman" w:cs="Times New Roman"/>
                <w:sz w:val="24"/>
                <w:szCs w:val="24"/>
              </w:rPr>
              <w:t>《大气污染物综合排放标准》（DB32/4041-2021）表3标准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p>
        </w:tc>
        <w:tc>
          <w:tcPr>
            <w:tcW w:w="82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p>
        </w:tc>
        <w:tc>
          <w:tcPr>
            <w:tcW w:w="8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臭气浓度</w:t>
            </w:r>
          </w:p>
        </w:tc>
        <w:tc>
          <w:tcPr>
            <w:tcW w:w="1853"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rPr>
            </w:pP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000000"/>
                <w:sz w:val="24"/>
                <w:szCs w:val="24"/>
              </w:rPr>
              <w:t>《恶臭污染物排放标准》（GB 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p>
        </w:tc>
        <w:tc>
          <w:tcPr>
            <w:tcW w:w="82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p>
        </w:tc>
        <w:tc>
          <w:tcPr>
            <w:tcW w:w="8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lang w:val="en-US" w:eastAsia="zh-CN"/>
              </w:rPr>
              <w:t>厂区内车间外1m</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lang w:val="en-US" w:eastAsia="zh-CN"/>
              </w:rPr>
              <w:t>非甲烷总烃</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lang w:val="en-US" w:eastAsia="zh-CN"/>
              </w:rPr>
              <w:t>/</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rPr>
              <w:t>《大气污染物综合排放标准》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DB32/4041-2021</w:t>
            </w:r>
            <w:r>
              <w:rPr>
                <w:rFonts w:hint="eastAsia"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地表水环境</w:t>
            </w:r>
          </w:p>
        </w:tc>
        <w:tc>
          <w:tcPr>
            <w:tcW w:w="165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生活污水</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pH、COD、SS、NH</w:t>
            </w:r>
            <w:r>
              <w:rPr>
                <w:rFonts w:hint="default" w:ascii="Times New Roman" w:hAnsi="Times New Roman" w:eastAsia="宋体" w:cs="Times New Roman"/>
                <w:color w:val="000000"/>
                <w:sz w:val="24"/>
                <w:szCs w:val="24"/>
                <w:vertAlign w:val="subscript"/>
                <w:lang w:val="en-US" w:eastAsia="zh-CN"/>
              </w:rPr>
              <w:t>3</w:t>
            </w:r>
            <w:r>
              <w:rPr>
                <w:rFonts w:hint="default" w:ascii="Times New Roman" w:hAnsi="Times New Roman" w:eastAsia="宋体" w:cs="Times New Roman"/>
                <w:color w:val="000000"/>
                <w:sz w:val="24"/>
                <w:szCs w:val="24"/>
                <w:lang w:val="en-US" w:eastAsia="zh-CN"/>
              </w:rPr>
              <w:t>-N、TP、TN</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化粪池</w:t>
            </w:r>
          </w:p>
        </w:tc>
        <w:tc>
          <w:tcPr>
            <w:tcW w:w="212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lang w:val="en-US" w:eastAsia="zh-CN"/>
              </w:rPr>
              <w:t>《污水综合排放标准》（GB8978-1996）表4中的三级标准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声环境</w:t>
            </w:r>
          </w:p>
        </w:tc>
        <w:tc>
          <w:tcPr>
            <w:tcW w:w="165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设备噪声 </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Leq(A)</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基础减震、厂房隔声、距离衰减</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工业企业厂界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环境噪声排放</w:t>
            </w:r>
            <w:r>
              <w:rPr>
                <w:rFonts w:hint="eastAsia" w:ascii="Times New Roman" w:hAnsi="Times New Roman" w:cs="Times New Roman"/>
                <w:color w:val="000000"/>
                <w:sz w:val="24"/>
                <w:szCs w:val="24"/>
                <w:lang w:eastAsia="zh-CN"/>
              </w:rPr>
              <w:t>标准</w:t>
            </w:r>
            <w:r>
              <w:rPr>
                <w:rFonts w:hint="default" w:ascii="Times New Roman" w:hAnsi="Times New Roman" w:cs="Times New Roman"/>
                <w:color w:val="000000"/>
                <w:sz w:val="24"/>
                <w:szCs w:val="24"/>
              </w:rPr>
              <w:t>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电磁辐射</w:t>
            </w:r>
          </w:p>
        </w:tc>
        <w:tc>
          <w:tcPr>
            <w:tcW w:w="1659"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w:t>
            </w:r>
          </w:p>
        </w:tc>
        <w:tc>
          <w:tcPr>
            <w:tcW w:w="15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w:t>
            </w: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w:t>
            </w:r>
          </w:p>
        </w:tc>
        <w:tc>
          <w:tcPr>
            <w:tcW w:w="212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固体废物</w:t>
            </w:r>
          </w:p>
        </w:tc>
        <w:tc>
          <w:tcPr>
            <w:tcW w:w="7139"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left"/>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建设项目产生的一般工业固体废物储存执行《一般工业固体废物贮存和填埋污染控制标准》（GB18599-2020）；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危险废物应按照《危险废物贮存污染控制标准》（GB 18597-2023）、《危险废物收集贮存运输技术规范》（HJ2025-2012）及《危险废物识别标志设置技术规范》（HJ 1276-2022）中相关规定要求进行危险废物的包装、贮存设施的选址、设计、运行、安全防护、监测和关闭等要求进行合理的贮存。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污染防治措施</w:t>
            </w:r>
          </w:p>
        </w:tc>
        <w:tc>
          <w:tcPr>
            <w:tcW w:w="7139" w:type="dxa"/>
            <w:gridSpan w:val="5"/>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分区防控。主要包括污染区地面的防渗措施和泄漏、渗漏污染物收集措施，即在污染区地面进行防渗处理，防止洒落地面的污染物渗入地下，从而避免对地下水的污染。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生态保护措施</w:t>
            </w:r>
          </w:p>
        </w:tc>
        <w:tc>
          <w:tcPr>
            <w:tcW w:w="7139"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pacing w:val="-8"/>
                <w:sz w:val="24"/>
                <w:szCs w:val="24"/>
              </w:rPr>
            </w:pPr>
            <w:r>
              <w:rPr>
                <w:rFonts w:hint="default" w:ascii="Times New Roman" w:hAnsi="Times New Roman" w:cs="Times New Roman"/>
                <w:b/>
                <w:bCs/>
                <w:color w:val="000000"/>
                <w:spacing w:val="-8"/>
                <w:sz w:val="24"/>
                <w:szCs w:val="24"/>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pacing w:val="-8"/>
                <w:sz w:val="24"/>
                <w:szCs w:val="24"/>
              </w:rPr>
            </w:pPr>
            <w:r>
              <w:rPr>
                <w:rFonts w:hint="default" w:ascii="Times New Roman" w:hAnsi="Times New Roman" w:cs="Times New Roman"/>
                <w:b/>
                <w:bCs/>
                <w:color w:val="000000"/>
                <w:spacing w:val="-8"/>
                <w:sz w:val="24"/>
                <w:szCs w:val="24"/>
              </w:rPr>
              <w:t>防范措施</w:t>
            </w:r>
          </w:p>
        </w:tc>
        <w:tc>
          <w:tcPr>
            <w:tcW w:w="7139" w:type="dxa"/>
            <w:gridSpan w:val="5"/>
            <w:noWrap w:val="0"/>
            <w:vAlign w:val="center"/>
          </w:tcPr>
          <w:p>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①生产车间及仓库设置监控，杜绝明火；危废仓库采取防渗措施，四周设置导流槽和收集池；</w:t>
            </w:r>
          </w:p>
          <w:p>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②为了防止偶然火灾事故造成重大人身伤亡和设备损失，设计有完整、高效的消防报警系统，整个系统包括烟感系统、应急疏散系统、室内外消防装置系统、排烟系统和应急照明及疏散指示系统。</w:t>
            </w:r>
          </w:p>
          <w:p>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③厂内粘贴禁止烟火的标志牌，并配置一定数量的灭火器等消防器材、应急救援物资，便于紧急情况下使用。</w:t>
            </w:r>
          </w:p>
          <w:p>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④健全雨</w:t>
            </w:r>
            <w:r>
              <w:rPr>
                <w:rFonts w:hint="eastAsia" w:cs="Times New Roman"/>
                <w:color w:val="000000"/>
                <w:sz w:val="24"/>
                <w:szCs w:val="24"/>
                <w:lang w:val="en-US" w:eastAsia="zh-CN"/>
              </w:rPr>
              <w:t>水</w:t>
            </w:r>
            <w:r>
              <w:rPr>
                <w:rFonts w:hint="default" w:ascii="Times New Roman" w:hAnsi="Times New Roman" w:cs="Times New Roman"/>
                <w:color w:val="000000"/>
                <w:sz w:val="24"/>
                <w:szCs w:val="24"/>
                <w:lang w:val="en-US" w:eastAsia="zh-CN"/>
              </w:rPr>
              <w:t>管网系统，在雨水管网的总出口前端设置雨</w:t>
            </w:r>
            <w:r>
              <w:rPr>
                <w:rFonts w:hint="eastAsia" w:cs="Times New Roman"/>
                <w:color w:val="000000"/>
                <w:sz w:val="24"/>
                <w:szCs w:val="24"/>
                <w:lang w:val="en-US" w:eastAsia="zh-CN"/>
              </w:rPr>
              <w:t>水</w:t>
            </w:r>
            <w:r>
              <w:rPr>
                <w:rFonts w:hint="default" w:ascii="Times New Roman" w:hAnsi="Times New Roman" w:cs="Times New Roman"/>
                <w:color w:val="000000"/>
                <w:sz w:val="24"/>
                <w:szCs w:val="24"/>
                <w:lang w:val="en-US" w:eastAsia="zh-CN"/>
              </w:rPr>
              <w:t>切换阀门，发生泄漏和火灾事故产生消防废水后，及时关闭雨水阀门同时打开事故池阀门，保证事故后废水能及时排入事故池，防止有毒物质和消防废水通过雨水管网排入外环境。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pacing w:val="-8"/>
                <w:sz w:val="24"/>
                <w:szCs w:val="24"/>
              </w:rPr>
            </w:pPr>
            <w:r>
              <w:rPr>
                <w:rFonts w:hint="default" w:ascii="Times New Roman" w:hAnsi="Times New Roman" w:cs="Times New Roman"/>
                <w:b/>
                <w:bCs/>
                <w:color w:val="000000"/>
                <w:spacing w:val="-8"/>
                <w:sz w:val="24"/>
                <w:szCs w:val="24"/>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spacing w:val="-8"/>
                <w:sz w:val="24"/>
                <w:szCs w:val="24"/>
              </w:rPr>
            </w:pPr>
            <w:r>
              <w:rPr>
                <w:rFonts w:hint="default" w:ascii="Times New Roman" w:hAnsi="Times New Roman" w:cs="Times New Roman"/>
                <w:b/>
                <w:bCs/>
                <w:color w:val="000000"/>
                <w:spacing w:val="-8"/>
                <w:sz w:val="24"/>
                <w:szCs w:val="24"/>
              </w:rPr>
              <w:t>管理要求</w:t>
            </w:r>
          </w:p>
        </w:tc>
        <w:tc>
          <w:tcPr>
            <w:tcW w:w="7139" w:type="dxa"/>
            <w:gridSpan w:val="5"/>
            <w:noWrap w:val="0"/>
            <w:vAlign w:val="center"/>
          </w:tcPr>
          <w:p>
            <w:pPr>
              <w:keepNext w:val="0"/>
              <w:keepLines w:val="0"/>
              <w:suppressLineNumbers w:val="0"/>
              <w:adjustRightInd w:val="0"/>
              <w:snapToGrid w:val="0"/>
              <w:spacing w:before="0" w:beforeAutospacing="0" w:after="0" w:afterAutospacing="0"/>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本项目配套建设的环境保护设施必须与主体工程同时建成和投产使用，并按规定程序实施竣工环境保护验收，验收合格方可投入生产。</w:t>
            </w:r>
          </w:p>
        </w:tc>
      </w:tr>
    </w:tbl>
    <w:p>
      <w:pPr>
        <w:pStyle w:val="22"/>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cs="Times New Roman"/>
          <w:snapToGrid w:val="0"/>
          <w:color w:val="000000"/>
        </w:rPr>
        <w:br w:type="page"/>
      </w:r>
      <w:r>
        <w:rPr>
          <w:rFonts w:hint="default" w:ascii="Times New Roman" w:hAnsi="Times New Roman" w:eastAsia="黑体" w:cs="Times New Roman"/>
          <w:snapToGrid w:val="0"/>
          <w:color w:val="000000"/>
          <w:sz w:val="30"/>
          <w:szCs w:val="30"/>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rPr>
              <w:t>本项目符合国家及地方相关产业政策，选址符合当地总体规划及环境规划。项目具有较明显的社会效益、经济效益与环境效益，采取的各项污染防治措施合理、有效。废气、废水、噪声及固废均可实现达标排放和安全处置，对周边环境影响较小。项目环保投资可基本满足污染控制需要，如能严格落实本报告提出的各项环保措施，并持之以恒加以管理，可控制环境污染，确保当地的环境质量不会因本项目的运营而下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cs="Times New Roman"/>
                <w:color w:val="000000"/>
                <w:sz w:val="24"/>
              </w:rPr>
            </w:pPr>
            <w:r>
              <w:rPr>
                <w:rFonts w:hint="default" w:ascii="Times New Roman" w:hAnsi="Times New Roman" w:cs="Times New Roman"/>
                <w:b w:val="0"/>
                <w:bCs w:val="0"/>
                <w:color w:val="000000"/>
                <w:sz w:val="24"/>
                <w:szCs w:val="24"/>
              </w:rPr>
              <w:t>因此，本报告认为，从环保角度来看，该项目环境影响是可行的</w:t>
            </w:r>
            <w:r>
              <w:rPr>
                <w:rFonts w:hint="eastAsia" w:ascii="Times New Roman" w:hAnsi="Times New Roman" w:cs="Times New Roman"/>
                <w:b w:val="0"/>
                <w:bCs w:val="0"/>
                <w:color w:val="000000"/>
                <w:sz w:val="24"/>
                <w:szCs w:val="24"/>
                <w:lang w:eastAsia="zh-CN"/>
              </w:rPr>
              <w:t>。</w:t>
            </w:r>
          </w:p>
        </w:tc>
      </w:tr>
    </w:tbl>
    <w:p>
      <w:pPr>
        <w:rPr>
          <w:rFonts w:hint="default" w:ascii="Times New Roman" w:hAnsi="Times New Roman" w:cs="Times New Roman"/>
          <w:color w:val="00000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000000"/>
          <w:sz w:val="32"/>
          <w:szCs w:val="32"/>
        </w:rPr>
      </w:pPr>
      <w:r>
        <w:rPr>
          <w:rFonts w:hint="default" w:ascii="Times New Roman" w:hAnsi="Times New Roman" w:eastAsia="黑体" w:cs="Times New Roman"/>
          <w:snapToGrid w:val="0"/>
          <w:color w:val="000000"/>
          <w:sz w:val="32"/>
          <w:szCs w:val="32"/>
        </w:rPr>
        <w:t>附表</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default" w:ascii="Times New Roman" w:hAnsi="Times New Roman" w:eastAsia="方正小标宋_GBK" w:cs="Times New Roman"/>
          <w:snapToGrid w:val="0"/>
          <w:color w:val="000000"/>
          <w:sz w:val="38"/>
          <w:szCs w:val="38"/>
        </w:rPr>
      </w:pPr>
      <w:r>
        <w:rPr>
          <w:rFonts w:hint="default" w:ascii="Times New Roman" w:hAnsi="Times New Roman" w:eastAsia="方正小标宋_GBK" w:cs="Times New Roman"/>
          <w:snapToGrid w:val="0"/>
          <w:color w:val="000000"/>
          <w:sz w:val="38"/>
          <w:szCs w:val="38"/>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708"/>
        <w:gridCol w:w="709"/>
        <w:gridCol w:w="1701"/>
        <w:gridCol w:w="1276"/>
        <w:gridCol w:w="1701"/>
        <w:gridCol w:w="1559"/>
        <w:gridCol w:w="1761"/>
        <w:gridCol w:w="1689"/>
        <w:gridCol w:w="1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lang w:val="en-US" w:eastAsia="zh-CN"/>
              </w:rPr>
              <w:t xml:space="preserve">      </w:t>
            </w:r>
            <w:r>
              <w:rPr>
                <w:rFonts w:hint="default" w:ascii="Times New Roman" w:hAnsi="Times New Roman" w:eastAsia="宋体" w:cs="Times New Roman"/>
                <w:snapToGrid w:val="0"/>
                <w:color w:val="000000"/>
                <w:spacing w:val="-6"/>
                <w:kern w:val="21"/>
                <w:sz w:val="24"/>
                <w:szCs w:val="24"/>
              </w:rPr>
              <w:t>项目</w:t>
            </w:r>
          </w:p>
          <w:p>
            <w:pPr>
              <w:pStyle w:val="55"/>
              <w:keepNext w:val="0"/>
              <w:keepLines w:val="0"/>
              <w:suppressLineNumbers w:val="0"/>
              <w:spacing w:before="0" w:beforeLines="0" w:beforeAutospacing="0" w:after="0" w:afterLines="0" w:afterAutospacing="0" w:line="240" w:lineRule="auto"/>
              <w:ind w:left="0" w:right="0"/>
              <w:jc w:val="both"/>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分类</w:t>
            </w:r>
          </w:p>
        </w:tc>
        <w:tc>
          <w:tcPr>
            <w:tcW w:w="1417" w:type="dxa"/>
            <w:gridSpan w:val="2"/>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污染物名称</w:t>
            </w:r>
          </w:p>
        </w:tc>
        <w:tc>
          <w:tcPr>
            <w:tcW w:w="1701"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1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color w:val="000000"/>
                <w:kern w:val="2"/>
                <w:sz w:val="24"/>
                <w:szCs w:val="24"/>
              </w:rPr>
              <w:t>①</w:t>
            </w:r>
            <w:r>
              <w:rPr>
                <w:rFonts w:hint="default" w:ascii="Times New Roman" w:hAnsi="Times New Roman" w:eastAsia="宋体" w:cs="Times New Roman"/>
                <w:snapToGrid w:val="0"/>
                <w:color w:val="000000"/>
                <w:spacing w:val="-6"/>
                <w:kern w:val="21"/>
                <w:sz w:val="24"/>
                <w:szCs w:val="24"/>
              </w:rPr>
              <w:fldChar w:fldCharType="end"/>
            </w:r>
          </w:p>
        </w:tc>
        <w:tc>
          <w:tcPr>
            <w:tcW w:w="1276"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许可排放量</w:t>
            </w:r>
          </w:p>
          <w:p>
            <w:pPr>
              <w:pStyle w:val="5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2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snapToGrid w:val="0"/>
                <w:color w:val="000000"/>
                <w:spacing w:val="-6"/>
                <w:kern w:val="21"/>
                <w:sz w:val="24"/>
                <w:szCs w:val="24"/>
              </w:rPr>
              <w:t>②</w:t>
            </w:r>
            <w:r>
              <w:rPr>
                <w:rFonts w:hint="default" w:ascii="Times New Roman" w:hAnsi="Times New Roman" w:eastAsia="宋体" w:cs="Times New Roman"/>
                <w:snapToGrid w:val="0"/>
                <w:color w:val="000000"/>
                <w:spacing w:val="-6"/>
                <w:kern w:val="21"/>
                <w:sz w:val="24"/>
                <w:szCs w:val="24"/>
              </w:rPr>
              <w:fldChar w:fldCharType="end"/>
            </w:r>
          </w:p>
        </w:tc>
        <w:tc>
          <w:tcPr>
            <w:tcW w:w="1701"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在建工程</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3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color w:val="000000"/>
                <w:kern w:val="2"/>
                <w:sz w:val="24"/>
                <w:szCs w:val="24"/>
              </w:rPr>
              <w:t>③</w:t>
            </w:r>
            <w:r>
              <w:rPr>
                <w:rFonts w:hint="default" w:ascii="Times New Roman" w:hAnsi="Times New Roman" w:eastAsia="宋体" w:cs="Times New Roman"/>
                <w:snapToGrid w:val="0"/>
                <w:color w:val="000000"/>
                <w:spacing w:val="-6"/>
                <w:kern w:val="21"/>
                <w:sz w:val="24"/>
                <w:szCs w:val="24"/>
              </w:rPr>
              <w:fldChar w:fldCharType="end"/>
            </w:r>
          </w:p>
        </w:tc>
        <w:tc>
          <w:tcPr>
            <w:tcW w:w="1559"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本项目</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4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color w:val="000000"/>
                <w:kern w:val="2"/>
                <w:sz w:val="24"/>
                <w:szCs w:val="24"/>
              </w:rPr>
              <w:t>④</w:t>
            </w:r>
            <w:r>
              <w:rPr>
                <w:rFonts w:hint="default" w:ascii="Times New Roman" w:hAnsi="Times New Roman" w:eastAsia="宋体" w:cs="Times New Roman"/>
                <w:snapToGrid w:val="0"/>
                <w:color w:val="000000"/>
                <w:spacing w:val="-6"/>
                <w:kern w:val="21"/>
                <w:sz w:val="24"/>
                <w:szCs w:val="24"/>
              </w:rPr>
              <w:fldChar w:fldCharType="end"/>
            </w:r>
          </w:p>
        </w:tc>
        <w:tc>
          <w:tcPr>
            <w:tcW w:w="1761"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以新带老削减量</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（新建项目不填）</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5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color w:val="000000"/>
                <w:kern w:val="2"/>
                <w:sz w:val="24"/>
                <w:szCs w:val="24"/>
              </w:rPr>
              <w:t>⑤</w:t>
            </w:r>
            <w:r>
              <w:rPr>
                <w:rFonts w:hint="default" w:ascii="Times New Roman" w:hAnsi="Times New Roman" w:eastAsia="宋体" w:cs="Times New Roman"/>
                <w:snapToGrid w:val="0"/>
                <w:color w:val="000000"/>
                <w:spacing w:val="-16"/>
                <w:kern w:val="21"/>
                <w:sz w:val="24"/>
                <w:szCs w:val="24"/>
              </w:rPr>
              <w:fldChar w:fldCharType="end"/>
            </w:r>
          </w:p>
        </w:tc>
        <w:tc>
          <w:tcPr>
            <w:tcW w:w="1689"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本项目建成后</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全厂排放量（固体废物产生量）</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6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color w:val="000000"/>
                <w:kern w:val="2"/>
                <w:sz w:val="24"/>
                <w:szCs w:val="24"/>
              </w:rPr>
              <w:t>⑥</w:t>
            </w:r>
            <w:r>
              <w:rPr>
                <w:rFonts w:hint="default" w:ascii="Times New Roman" w:hAnsi="Times New Roman" w:eastAsia="宋体" w:cs="Times New Roman"/>
                <w:snapToGrid w:val="0"/>
                <w:color w:val="000000"/>
                <w:spacing w:val="-16"/>
                <w:kern w:val="21"/>
                <w:sz w:val="24"/>
                <w:szCs w:val="24"/>
              </w:rPr>
              <w:fldChar w:fldCharType="end"/>
            </w:r>
          </w:p>
        </w:tc>
        <w:tc>
          <w:tcPr>
            <w:tcW w:w="1096" w:type="dxa"/>
            <w:noWrap w:val="0"/>
            <w:tcMar>
              <w:left w:w="28" w:type="dxa"/>
              <w:right w:w="28" w:type="dxa"/>
            </w:tcMar>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变化量</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7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color w:val="000000"/>
                <w:kern w:val="2"/>
                <w:sz w:val="24"/>
                <w:szCs w:val="24"/>
              </w:rPr>
              <w:t>⑦</w:t>
            </w:r>
            <w:r>
              <w:rPr>
                <w:rFonts w:hint="default" w:ascii="Times New Roman" w:hAnsi="Times New Roman" w:eastAsia="宋体" w:cs="Times New Roman"/>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lang w:eastAsia="zh-CN"/>
              </w:rPr>
              <w:t>单位</w:t>
            </w:r>
          </w:p>
        </w:tc>
        <w:tc>
          <w:tcPr>
            <w:tcW w:w="1417" w:type="dxa"/>
            <w:gridSpan w:val="2"/>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snapToGrid w:val="0"/>
                <w:color w:val="000000"/>
                <w:kern w:val="21"/>
                <w:sz w:val="24"/>
                <w:szCs w:val="24"/>
                <w:lang w:val="en-US" w:eastAsia="zh-CN"/>
              </w:rPr>
              <w:t>t/a</w:t>
            </w:r>
          </w:p>
        </w:tc>
        <w:tc>
          <w:tcPr>
            <w:tcW w:w="1701" w:type="dxa"/>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276" w:type="dxa"/>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701" w:type="dxa"/>
            <w:noWrap w:val="0"/>
            <w:vAlign w:val="center"/>
          </w:tcPr>
          <w:p>
            <w:pPr>
              <w:pStyle w:val="22"/>
              <w:keepNext w:val="0"/>
              <w:keepLines w:val="0"/>
              <w:widowControl w:val="0"/>
              <w:suppressLineNumbers w:val="0"/>
              <w:tabs>
                <w:tab w:val="left" w:pos="277"/>
                <w:tab w:val="left" w:pos="600"/>
                <w:tab w:val="left" w:pos="780"/>
                <w:tab w:val="left" w:pos="2517"/>
              </w:tabs>
              <w:adjustRightInd w:val="0"/>
              <w:snapToGrid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559" w:type="dxa"/>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689" w:type="dxa"/>
            <w:noWrap w:val="0"/>
            <w:vAlign w:val="center"/>
          </w:tcPr>
          <w:p>
            <w:pPr>
              <w:pStyle w:val="13"/>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val="0"/>
                <w:color w:val="000000"/>
                <w:kern w:val="21"/>
                <w:sz w:val="24"/>
                <w:szCs w:val="24"/>
                <w:lang w:val="en-US" w:eastAsia="zh-CN"/>
              </w:rPr>
              <w:t>t/a</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napToGrid w:val="0"/>
                <w:color w:val="000000"/>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restart"/>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b/>
                <w:bCs/>
                <w:color w:val="000000"/>
                <w:sz w:val="24"/>
                <w:szCs w:val="24"/>
              </w:rPr>
              <w:t>废气</w:t>
            </w:r>
          </w:p>
        </w:tc>
        <w:tc>
          <w:tcPr>
            <w:tcW w:w="79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有组织</w:t>
            </w:r>
          </w:p>
        </w:tc>
        <w:tc>
          <w:tcPr>
            <w:tcW w:w="1417" w:type="dxa"/>
            <w:gridSpan w:val="2"/>
            <w:shd w:val="clear" w:color="auto" w:fill="auto"/>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pacing w:val="-12"/>
                <w:kern w:val="0"/>
                <w:sz w:val="24"/>
                <w:szCs w:val="24"/>
                <w:lang w:val="en-US" w:eastAsia="zh-CN" w:bidi="ar-SA"/>
              </w:rPr>
            </w:pPr>
            <w:r>
              <w:rPr>
                <w:rFonts w:hint="default" w:ascii="Times New Roman" w:hAnsi="Times New Roman" w:cs="Times New Roman"/>
                <w:color w:val="000000"/>
                <w:kern w:val="0"/>
                <w:sz w:val="24"/>
                <w:szCs w:val="24"/>
                <w:lang w:val="en-US" w:eastAsia="zh-CN" w:bidi="ar-SA"/>
              </w:rPr>
              <w:t>非甲烷总烃</w:t>
            </w:r>
          </w:p>
        </w:tc>
        <w:tc>
          <w:tcPr>
            <w:tcW w:w="170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w:t>
            </w:r>
          </w:p>
        </w:tc>
        <w:tc>
          <w:tcPr>
            <w:tcW w:w="1276"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w:t>
            </w:r>
          </w:p>
        </w:tc>
        <w:tc>
          <w:tcPr>
            <w:tcW w:w="170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w:t>
            </w:r>
          </w:p>
        </w:tc>
        <w:tc>
          <w:tcPr>
            <w:tcW w:w="155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0.2445</w:t>
            </w:r>
          </w:p>
        </w:tc>
        <w:tc>
          <w:tcPr>
            <w:tcW w:w="176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w:t>
            </w:r>
          </w:p>
        </w:tc>
        <w:tc>
          <w:tcPr>
            <w:tcW w:w="168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0.2445</w:t>
            </w:r>
          </w:p>
        </w:tc>
        <w:tc>
          <w:tcPr>
            <w:tcW w:w="1096"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+0.2445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color w:val="000000"/>
                <w:sz w:val="24"/>
                <w:szCs w:val="24"/>
              </w:rPr>
            </w:pPr>
          </w:p>
        </w:tc>
        <w:tc>
          <w:tcPr>
            <w:tcW w:w="79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4"/>
                <w:szCs w:val="24"/>
                <w:lang w:eastAsia="zh-CN"/>
              </w:rPr>
            </w:pPr>
          </w:p>
        </w:tc>
        <w:tc>
          <w:tcPr>
            <w:tcW w:w="708" w:type="dxa"/>
            <w:vMerge w:val="restart"/>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其中</w:t>
            </w:r>
          </w:p>
        </w:tc>
        <w:tc>
          <w:tcPr>
            <w:tcW w:w="70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酚类</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0.0454</w:t>
            </w:r>
          </w:p>
        </w:tc>
        <w:tc>
          <w:tcPr>
            <w:tcW w:w="176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0.0454</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+0.0454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color w:val="000000"/>
                <w:sz w:val="24"/>
                <w:szCs w:val="24"/>
              </w:rPr>
            </w:pPr>
          </w:p>
        </w:tc>
        <w:tc>
          <w:tcPr>
            <w:tcW w:w="79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4"/>
                <w:szCs w:val="24"/>
                <w:lang w:eastAsia="zh-CN"/>
              </w:rPr>
            </w:pPr>
          </w:p>
        </w:tc>
        <w:tc>
          <w:tcPr>
            <w:tcW w:w="708" w:type="dxa"/>
            <w:vMerge w:val="continue"/>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p>
        </w:tc>
        <w:tc>
          <w:tcPr>
            <w:tcW w:w="70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氯苯类</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0.0113</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0.0113</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94" w:type="dxa"/>
            <w:vMerge w:val="restart"/>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lang w:eastAsia="zh-CN"/>
              </w:rPr>
            </w:pPr>
            <w:r>
              <w:rPr>
                <w:rFonts w:hint="default" w:ascii="Times New Roman" w:hAnsi="Times New Roman" w:eastAsia="宋体" w:cs="Times New Roman"/>
                <w:snapToGrid w:val="0"/>
                <w:color w:val="000000"/>
                <w:kern w:val="21"/>
                <w:sz w:val="24"/>
                <w:szCs w:val="24"/>
                <w:lang w:eastAsia="zh-CN"/>
              </w:rPr>
              <w:t>无组织</w:t>
            </w: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default" w:ascii="Times New Roman" w:hAnsi="Times New Roman" w:cs="Times New Roman"/>
                <w:b w:val="0"/>
                <w:bCs w:val="0"/>
                <w:color w:val="000000"/>
                <w:sz w:val="24"/>
                <w:szCs w:val="24"/>
                <w:lang w:val="en-US" w:eastAsia="zh-CN"/>
              </w:rPr>
              <w:t>颗粒物</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w:t>
            </w:r>
            <w:r>
              <w:rPr>
                <w:rFonts w:hint="eastAsia" w:cs="Times New Roman"/>
                <w:color w:val="000000"/>
                <w:sz w:val="24"/>
                <w:szCs w:val="24"/>
                <w:lang w:val="en-US" w:eastAsia="zh-CN"/>
              </w:rPr>
              <w:t>131</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w:t>
            </w:r>
            <w:r>
              <w:rPr>
                <w:rFonts w:hint="eastAsia" w:cs="Times New Roman"/>
                <w:color w:val="000000"/>
                <w:sz w:val="24"/>
                <w:szCs w:val="24"/>
                <w:lang w:val="en-US" w:eastAsia="zh-CN"/>
              </w:rPr>
              <w:t>131</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w:t>
            </w:r>
            <w:r>
              <w:rPr>
                <w:rFonts w:hint="eastAsia" w:cs="Times New Roman"/>
                <w:color w:val="000000"/>
                <w:sz w:val="24"/>
                <w:szCs w:val="24"/>
                <w:lang w:val="en-US" w:eastAsia="zh-CN"/>
              </w:rPr>
              <w:t>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default" w:ascii="Times New Roman" w:hAnsi="Times New Roman" w:cs="Times New Roman"/>
                <w:b w:val="0"/>
                <w:bCs w:val="0"/>
                <w:color w:val="000000"/>
                <w:sz w:val="24"/>
                <w:szCs w:val="24"/>
                <w:lang w:eastAsia="zh-CN"/>
              </w:rPr>
              <w:t>非甲烷总烃</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701"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0.2</w:t>
            </w:r>
            <w:r>
              <w:rPr>
                <w:rFonts w:hint="eastAsia" w:cs="Times New Roman"/>
                <w:color w:val="000000"/>
                <w:sz w:val="24"/>
                <w:szCs w:val="24"/>
                <w:lang w:val="en-US" w:eastAsia="zh-CN"/>
              </w:rPr>
              <w:t>824</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0.2</w:t>
            </w:r>
            <w:r>
              <w:rPr>
                <w:rFonts w:hint="eastAsia" w:cs="Times New Roman"/>
                <w:color w:val="000000"/>
                <w:sz w:val="24"/>
                <w:szCs w:val="24"/>
                <w:lang w:val="en-US" w:eastAsia="zh-CN"/>
              </w:rPr>
              <w:t>824</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+0.2</w:t>
            </w:r>
            <w:r>
              <w:rPr>
                <w:rFonts w:hint="eastAsia" w:cs="Times New Roman"/>
                <w:color w:val="000000"/>
                <w:sz w:val="24"/>
                <w:szCs w:val="24"/>
                <w:lang w:val="en-US" w:eastAsia="zh-CN"/>
              </w:rPr>
              <w:t>824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08" w:type="dxa"/>
            <w:vMerge w:val="restart"/>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b w:val="0"/>
                <w:bCs w:val="0"/>
                <w:color w:val="000000"/>
                <w:sz w:val="24"/>
                <w:szCs w:val="24"/>
                <w:lang w:val="en-US" w:eastAsia="zh-CN"/>
              </w:rPr>
              <w:t>其中</w:t>
            </w:r>
          </w:p>
        </w:tc>
        <w:tc>
          <w:tcPr>
            <w:tcW w:w="709"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cs="Times New Roman"/>
                <w:b w:val="0"/>
                <w:bCs w:val="0"/>
                <w:color w:val="000000"/>
                <w:sz w:val="24"/>
                <w:szCs w:val="24"/>
                <w:lang w:val="en-US" w:eastAsia="zh-CN"/>
              </w:rPr>
            </w:pPr>
            <w:r>
              <w:rPr>
                <w:rFonts w:hint="eastAsia" w:ascii="Times New Roman" w:hAnsi="Times New Roman" w:cs="Times New Roman"/>
                <w:color w:val="000000"/>
                <w:kern w:val="0"/>
                <w:sz w:val="24"/>
                <w:szCs w:val="24"/>
                <w:lang w:val="en-US" w:eastAsia="zh-CN" w:bidi="ar-SA"/>
              </w:rPr>
              <w:t>酚类</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0.0504</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0.0504</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94" w:type="dxa"/>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p>
        </w:tc>
        <w:tc>
          <w:tcPr>
            <w:tcW w:w="708" w:type="dxa"/>
            <w:vMerge w:val="continue"/>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b w:val="0"/>
                <w:bCs w:val="0"/>
                <w:color w:val="000000"/>
                <w:sz w:val="24"/>
                <w:szCs w:val="24"/>
                <w:lang w:val="en-US" w:eastAsia="zh-CN"/>
              </w:rPr>
            </w:pPr>
          </w:p>
        </w:tc>
        <w:tc>
          <w:tcPr>
            <w:tcW w:w="709"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b w:val="0"/>
                <w:bCs w:val="0"/>
                <w:color w:val="000000"/>
                <w:sz w:val="24"/>
                <w:szCs w:val="24"/>
                <w:lang w:val="en-US" w:eastAsia="zh-CN"/>
              </w:rPr>
            </w:pPr>
            <w:r>
              <w:rPr>
                <w:rFonts w:hint="eastAsia" w:ascii="Times New Roman" w:hAnsi="Times New Roman" w:cs="Times New Roman"/>
                <w:color w:val="000000"/>
                <w:kern w:val="0"/>
                <w:sz w:val="24"/>
                <w:szCs w:val="24"/>
                <w:lang w:val="en-US" w:eastAsia="zh-CN" w:bidi="ar-SA"/>
              </w:rPr>
              <w:t>氯苯类</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0.0126</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0.0126</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+0.0126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b/>
                <w:bCs/>
                <w:snapToGrid w:val="0"/>
                <w:color w:val="000000"/>
                <w:kern w:val="21"/>
                <w:sz w:val="24"/>
                <w:szCs w:val="24"/>
              </w:rPr>
              <w:t>废水</w:t>
            </w:r>
          </w:p>
        </w:tc>
        <w:tc>
          <w:tcPr>
            <w:tcW w:w="1417" w:type="dxa"/>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color w:val="000000"/>
                <w:sz w:val="24"/>
                <w:szCs w:val="24"/>
              </w:rPr>
              <w:t>废水量</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snapToGrid w:val="0"/>
                <w:color w:val="000000"/>
                <w:kern w:val="21"/>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snapToGrid w:val="0"/>
                <w:color w:val="000000"/>
                <w:kern w:val="21"/>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360</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360</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+360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COD</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0.0734 </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0.0734 </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+0.0734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SS</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0.036</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0.036</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氨氮</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0.0117</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0.0117</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+0.0117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总氮</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0.0161 </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0.0161 </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+0.0161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总磷</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0.0015 </w:t>
            </w:r>
          </w:p>
        </w:tc>
        <w:tc>
          <w:tcPr>
            <w:tcW w:w="1761" w:type="dxa"/>
            <w:noWrap w:val="0"/>
            <w:vAlign w:val="center"/>
          </w:tcPr>
          <w:p>
            <w:pPr>
              <w:pStyle w:val="55"/>
              <w:keepNext w:val="0"/>
              <w:keepLines w:val="0"/>
              <w:suppressLineNumbers w:val="0"/>
              <w:spacing w:before="0" w:beforeAutospacing="0" w:after="0" w:afterAutospacing="0" w:line="320" w:lineRule="exact"/>
              <w:ind w:left="0" w:leftChars="0" w:right="0" w:rightChars="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0.0015 </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cs="Times New Roman"/>
                <w:color w:val="000000"/>
                <w:kern w:val="0"/>
                <w:sz w:val="24"/>
                <w:szCs w:val="24"/>
                <w:lang w:val="en-US" w:eastAsia="zh-CN" w:bidi="ar-SA"/>
              </w:rPr>
            </w:pPr>
            <w:r>
              <w:rPr>
                <w:rFonts w:hint="eastAsia" w:ascii="Times New Roman" w:hAnsi="Times New Roman" w:cs="Times New Roman"/>
                <w:color w:val="000000"/>
                <w:kern w:val="0"/>
                <w:sz w:val="24"/>
                <w:szCs w:val="24"/>
                <w:lang w:val="en-US" w:eastAsia="zh-CN" w:bidi="ar-SA"/>
              </w:rPr>
              <w:t xml:space="preserve">+0.0015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r>
              <w:rPr>
                <w:rFonts w:hint="default" w:ascii="Times New Roman" w:hAnsi="Times New Roman" w:eastAsia="宋体" w:cs="Times New Roman"/>
                <w:b/>
                <w:bCs/>
                <w:snapToGrid w:val="0"/>
                <w:color w:val="000000"/>
                <w:kern w:val="21"/>
                <w:sz w:val="24"/>
                <w:szCs w:val="24"/>
              </w:rPr>
              <w:t>一般工业</w:t>
            </w:r>
          </w:p>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r>
              <w:rPr>
                <w:rFonts w:hint="default" w:ascii="Times New Roman" w:hAnsi="Times New Roman" w:eastAsia="宋体" w:cs="Times New Roman"/>
                <w:b/>
                <w:bCs/>
                <w:snapToGrid w:val="0"/>
                <w:color w:val="000000"/>
                <w:kern w:val="21"/>
                <w:sz w:val="24"/>
                <w:szCs w:val="24"/>
              </w:rPr>
              <w:t>固体废物</w:t>
            </w: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边角料</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240</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240</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废模具</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废包装袋</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9.6</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9.6</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w:t>
            </w:r>
            <w:r>
              <w:rPr>
                <w:rFonts w:hint="default" w:ascii="Times New Roman" w:hAnsi="Times New Roman" w:eastAsia="宋体" w:cs="Times New Roman"/>
                <w:color w:val="000000"/>
                <w:kern w:val="0"/>
                <w:sz w:val="24"/>
                <w:szCs w:val="24"/>
                <w:lang w:val="en-US" w:eastAsia="zh-CN" w:bidi="ar-SA"/>
              </w:rPr>
              <w:t>PE</w:t>
            </w:r>
            <w:r>
              <w:rPr>
                <w:rFonts w:hint="eastAsia" w:ascii="Times New Roman" w:hAnsi="Times New Roman" w:eastAsia="宋体" w:cs="Times New Roman"/>
                <w:color w:val="000000"/>
                <w:kern w:val="0"/>
                <w:sz w:val="24"/>
                <w:szCs w:val="24"/>
                <w:lang w:val="en-US" w:eastAsia="zh-CN" w:bidi="ar-SA"/>
              </w:rPr>
              <w:t>膜</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3.5</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3.5</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碎屑</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10</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10</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集尘灰</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0.0769</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0.0769</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0.0769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废布袋</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0.05</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0.05</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废滤渣</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废滤网</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0.5</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0.5</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废槽渣</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0.5</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0.5</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r>
              <w:rPr>
                <w:rFonts w:hint="default" w:ascii="Times New Roman" w:hAnsi="Times New Roman" w:eastAsia="宋体" w:cs="Times New Roman"/>
                <w:b/>
                <w:bCs/>
                <w:snapToGrid w:val="0"/>
                <w:color w:val="000000"/>
                <w:kern w:val="21"/>
                <w:sz w:val="24"/>
                <w:szCs w:val="24"/>
              </w:rPr>
              <w:t>危险废物</w:t>
            </w: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废活性炭</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28.9305</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28.9305</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28.9305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废包装桶</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0.116</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0.116</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废润滑油</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0.02</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0.02</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废润滑油桶</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0.002</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0.002</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noWrap w:val="0"/>
            <w:vAlign w:val="center"/>
          </w:tcPr>
          <w:p>
            <w:pPr>
              <w:pStyle w:val="5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000000"/>
                <w:kern w:val="21"/>
                <w:sz w:val="24"/>
                <w:szCs w:val="24"/>
              </w:rPr>
            </w:pPr>
          </w:p>
        </w:tc>
        <w:tc>
          <w:tcPr>
            <w:tcW w:w="1417" w:type="dxa"/>
            <w:gridSpan w:val="2"/>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空压机含油废水</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27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70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55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2.592</w:t>
            </w:r>
          </w:p>
        </w:tc>
        <w:tc>
          <w:tcPr>
            <w:tcW w:w="1761"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p>
        </w:tc>
        <w:tc>
          <w:tcPr>
            <w:tcW w:w="1689"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2.592</w:t>
            </w:r>
          </w:p>
        </w:tc>
        <w:tc>
          <w:tcPr>
            <w:tcW w:w="1096" w:type="dxa"/>
            <w:noWrap w:val="0"/>
            <w:vAlign w:val="center"/>
          </w:tcPr>
          <w:p>
            <w:pPr>
              <w:pStyle w:val="55"/>
              <w:keepNext w:val="0"/>
              <w:keepLines w:val="0"/>
              <w:suppressLineNumbers w:val="0"/>
              <w:spacing w:before="0" w:beforeAutospacing="0" w:after="0" w:afterAutospacing="0" w:line="320" w:lineRule="exact"/>
              <w:ind w:left="0" w:right="0" w:firstLine="0" w:firstLineChars="0"/>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2.592</w:t>
            </w:r>
          </w:p>
        </w:tc>
      </w:tr>
    </w:tbl>
    <w:p>
      <w:pPr>
        <w:pStyle w:val="55"/>
        <w:spacing w:before="192" w:beforeLines="80" w:after="24"/>
        <w:jc w:val="left"/>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color w:val="000000"/>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color w:val="000000"/>
          <w:szCs w:val="21"/>
        </w:rPr>
        <w:t>①</w:t>
      </w:r>
      <w:r>
        <w:rPr>
          <w:rFonts w:hint="default" w:ascii="Times New Roman" w:hAnsi="Times New Roman" w:cs="Times New Roman"/>
          <w:snapToGrid w:val="0"/>
          <w:color w:val="000000"/>
          <w:spacing w:val="-6"/>
          <w:kern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FangSong_GB2312">
    <w:panose1 w:val="02010609030101010101"/>
    <w:charset w:val="86"/>
    <w:family w:val="modern"/>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宋体-18030">
    <w:altName w:val="微软雅黑"/>
    <w:panose1 w:val="00000000000000000000"/>
    <w:charset w:val="86"/>
    <w:family w:val="modern"/>
    <w:pitch w:val="default"/>
    <w:sig w:usb0="00000000" w:usb1="00000000" w:usb2="000A005E" w:usb3="00000000" w:csb0="00040001" w:csb1="00000000"/>
  </w:font>
  <w:font w:name="仿宋_GB2312">
    <w:panose1 w:val="02010609030101010101"/>
    <w:charset w:val="86"/>
    <w:family w:val="auto"/>
    <w:pitch w:val="default"/>
    <w:sig w:usb0="00000001" w:usb1="080E0000" w:usb2="00000000" w:usb3="00000000" w:csb0="00040000" w:csb1="00000000"/>
  </w:font>
  <w:font w:name="Arial Black">
    <w:altName w:val="DejaVu Sans"/>
    <w:panose1 w:val="020B0A04020102020204"/>
    <w:charset w:val="00"/>
    <w:family w:val="swiss"/>
    <w:pitch w:val="default"/>
    <w:sig w:usb0="00000000" w:usb1="00000000" w:usb2="00000000" w:usb3="00000000" w:csb0="6000009F" w:csb1="DFD70000"/>
  </w:font>
  <w:font w:name="..ì.">
    <w:altName w:val="黑体"/>
    <w:panose1 w:val="00000000000000000000"/>
    <w:charset w:val="86"/>
    <w:family w:val="modern"/>
    <w:pitch w:val="default"/>
    <w:sig w:usb0="00000000" w:usb1="00000000" w:usb2="00000010" w:usb3="00000000" w:csb0="00040000" w:csb1="00000000"/>
  </w:font>
  <w:font w:name="Arial Unicode MS">
    <w:altName w:val="DejaVu Sans"/>
    <w:panose1 w:val="020B0604020202020204"/>
    <w:charset w:val="86"/>
    <w:family w:val="swiss"/>
    <w:pitch w:val="default"/>
    <w:sig w:usb0="00000000" w:usb1="00000000" w:usb2="0000007F" w:usb3="00000000" w:csb0="203F01FF" w:csb1="DFFF0000"/>
  </w:font>
  <w:font w:name="仿宋">
    <w:altName w:val="微软雅黑"/>
    <w:panose1 w:val="02010609060101010101"/>
    <w:charset w:val="86"/>
    <w:family w:val="auto"/>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2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altName w:val="MathJax_Vector"/>
    <w:panose1 w:val="05020102010507070707"/>
    <w:charset w:val="02"/>
    <w:family w:val="auto"/>
    <w:pitch w:val="default"/>
    <w:sig w:usb0="00000000" w:usb1="00000000" w:usb2="00000000" w:usb3="00000000" w:csb0="80000000" w:csb1="00000000"/>
  </w:font>
  <w:font w:name="MathJax_Vector">
    <w:panose1 w:val="02000603000000000000"/>
    <w:charset w:val="00"/>
    <w:family w:val="auto"/>
    <w:pitch w:val="default"/>
    <w:sig w:usb0="00000001" w:usb1="00000020" w:usb2="00000000" w:usb3="00000000" w:csb0="00000001" w:csb1="00000000"/>
  </w:font>
  <w:font w:name="新宋体">
    <w:panose1 w:val="02010609030101010101"/>
    <w:charset w:val="86"/>
    <w:family w:val="modern"/>
    <w:pitch w:val="default"/>
    <w:sig w:usb0="00000283" w:usb1="288F0000" w:usb2="00000006" w:usb3="00000000" w:csb0="00040001" w:csb1="00000000"/>
  </w:font>
  <w:font w:name="方正仿宋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Noto Sans CJK HK">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11</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3F978"/>
    <w:multiLevelType w:val="singleLevel"/>
    <w:tmpl w:val="8C73F978"/>
    <w:lvl w:ilvl="0" w:tentative="0">
      <w:start w:val="2"/>
      <w:numFmt w:val="decimal"/>
      <w:suff w:val="nothing"/>
      <w:lvlText w:val="（%1）"/>
      <w:lvlJc w:val="left"/>
    </w:lvl>
  </w:abstractNum>
  <w:abstractNum w:abstractNumId="1">
    <w:nsid w:val="9283BF97"/>
    <w:multiLevelType w:val="singleLevel"/>
    <w:tmpl w:val="9283BF97"/>
    <w:lvl w:ilvl="0" w:tentative="0">
      <w:start w:val="6"/>
      <w:numFmt w:val="decimal"/>
      <w:suff w:val="nothing"/>
      <w:lvlText w:val="（%1）"/>
      <w:lvlJc w:val="left"/>
    </w:lvl>
  </w:abstractNum>
  <w:abstractNum w:abstractNumId="2">
    <w:nsid w:val="A9ED1FA4"/>
    <w:multiLevelType w:val="singleLevel"/>
    <w:tmpl w:val="A9ED1FA4"/>
    <w:lvl w:ilvl="0" w:tentative="0">
      <w:start w:val="2"/>
      <w:numFmt w:val="decimal"/>
      <w:suff w:val="nothing"/>
      <w:lvlText w:val="%1、"/>
      <w:lvlJc w:val="left"/>
    </w:lvl>
  </w:abstractNum>
  <w:abstractNum w:abstractNumId="3">
    <w:nsid w:val="AD04B485"/>
    <w:multiLevelType w:val="singleLevel"/>
    <w:tmpl w:val="AD04B485"/>
    <w:lvl w:ilvl="0" w:tentative="0">
      <w:start w:val="7"/>
      <w:numFmt w:val="decimal"/>
      <w:suff w:val="nothing"/>
      <w:lvlText w:val="（%1）"/>
      <w:lvlJc w:val="left"/>
    </w:lvl>
  </w:abstractNum>
  <w:abstractNum w:abstractNumId="4">
    <w:nsid w:val="B6304DAF"/>
    <w:multiLevelType w:val="singleLevel"/>
    <w:tmpl w:val="B6304DAF"/>
    <w:lvl w:ilvl="0" w:tentative="0">
      <w:start w:val="1"/>
      <w:numFmt w:val="lowerLetter"/>
      <w:lvlText w:val="%1."/>
      <w:lvlJc w:val="left"/>
      <w:pPr>
        <w:tabs>
          <w:tab w:val="left" w:pos="312"/>
        </w:tabs>
      </w:pPr>
    </w:lvl>
  </w:abstractNum>
  <w:abstractNum w:abstractNumId="5">
    <w:nsid w:val="DD5DFFDF"/>
    <w:multiLevelType w:val="singleLevel"/>
    <w:tmpl w:val="DD5DFFDF"/>
    <w:lvl w:ilvl="0" w:tentative="0">
      <w:start w:val="1"/>
      <w:numFmt w:val="decimal"/>
      <w:lvlText w:val="%1."/>
      <w:lvlJc w:val="left"/>
      <w:pPr>
        <w:tabs>
          <w:tab w:val="left" w:pos="312"/>
        </w:tabs>
      </w:pPr>
    </w:lvl>
  </w:abstractNum>
  <w:abstractNum w:abstractNumId="6">
    <w:nsid w:val="DEF19F24"/>
    <w:multiLevelType w:val="singleLevel"/>
    <w:tmpl w:val="DEF19F24"/>
    <w:lvl w:ilvl="0" w:tentative="0">
      <w:start w:val="1"/>
      <w:numFmt w:val="decimal"/>
      <w:suff w:val="nothing"/>
      <w:lvlText w:val="%1、"/>
      <w:lvlJc w:val="left"/>
    </w:lvl>
  </w:abstractNum>
  <w:abstractNum w:abstractNumId="7">
    <w:nsid w:val="E9C5506C"/>
    <w:multiLevelType w:val="singleLevel"/>
    <w:tmpl w:val="E9C5506C"/>
    <w:lvl w:ilvl="0" w:tentative="0">
      <w:start w:val="1"/>
      <w:numFmt w:val="decimal"/>
      <w:suff w:val="nothing"/>
      <w:lvlText w:val="%1、"/>
      <w:lvlJc w:val="left"/>
    </w:lvl>
  </w:abstractNum>
  <w:abstractNum w:abstractNumId="8">
    <w:nsid w:val="F32BB238"/>
    <w:multiLevelType w:val="singleLevel"/>
    <w:tmpl w:val="F32BB238"/>
    <w:lvl w:ilvl="0" w:tentative="0">
      <w:start w:val="1"/>
      <w:numFmt w:val="decimal"/>
      <w:suff w:val="nothing"/>
      <w:lvlText w:val="%1、"/>
      <w:lvlJc w:val="left"/>
    </w:lvl>
  </w:abstractNum>
  <w:abstractNum w:abstractNumId="9">
    <w:nsid w:val="FB534C7D"/>
    <w:multiLevelType w:val="singleLevel"/>
    <w:tmpl w:val="FB534C7D"/>
    <w:lvl w:ilvl="0" w:tentative="0">
      <w:start w:val="4"/>
      <w:numFmt w:val="decimal"/>
      <w:suff w:val="nothing"/>
      <w:lvlText w:val="%1、"/>
      <w:lvlJc w:val="left"/>
    </w:lvl>
  </w:abstractNum>
  <w:abstractNum w:abstractNumId="10">
    <w:nsid w:val="1888A6C7"/>
    <w:multiLevelType w:val="singleLevel"/>
    <w:tmpl w:val="1888A6C7"/>
    <w:lvl w:ilvl="0" w:tentative="0">
      <w:start w:val="2"/>
      <w:numFmt w:val="decimal"/>
      <w:suff w:val="nothing"/>
      <w:lvlText w:val="（%1）"/>
      <w:lvlJc w:val="left"/>
    </w:lvl>
  </w:abstractNum>
  <w:abstractNum w:abstractNumId="11">
    <w:nsid w:val="28788687"/>
    <w:multiLevelType w:val="singleLevel"/>
    <w:tmpl w:val="28788687"/>
    <w:lvl w:ilvl="0" w:tentative="0">
      <w:start w:val="3"/>
      <w:numFmt w:val="decimal"/>
      <w:suff w:val="nothing"/>
      <w:lvlText w:val="（%1）"/>
      <w:lvlJc w:val="left"/>
    </w:lvl>
  </w:abstractNum>
  <w:abstractNum w:abstractNumId="12">
    <w:nsid w:val="28DF2290"/>
    <w:multiLevelType w:val="singleLevel"/>
    <w:tmpl w:val="28DF2290"/>
    <w:lvl w:ilvl="0" w:tentative="0">
      <w:start w:val="1"/>
      <w:numFmt w:val="decimal"/>
      <w:suff w:val="nothing"/>
      <w:lvlText w:val="%1、"/>
      <w:lvlJc w:val="left"/>
    </w:lvl>
  </w:abstractNum>
  <w:abstractNum w:abstractNumId="13">
    <w:nsid w:val="30D9CFA3"/>
    <w:multiLevelType w:val="singleLevel"/>
    <w:tmpl w:val="30D9CFA3"/>
    <w:lvl w:ilvl="0" w:tentative="0">
      <w:start w:val="1"/>
      <w:numFmt w:val="decimal"/>
      <w:suff w:val="nothing"/>
      <w:lvlText w:val="%1、"/>
      <w:lvlJc w:val="left"/>
    </w:lvl>
  </w:abstractNum>
  <w:abstractNum w:abstractNumId="14">
    <w:nsid w:val="4196B257"/>
    <w:multiLevelType w:val="singleLevel"/>
    <w:tmpl w:val="4196B257"/>
    <w:lvl w:ilvl="0" w:tentative="0">
      <w:start w:val="1"/>
      <w:numFmt w:val="lowerLetter"/>
      <w:lvlText w:val="%1."/>
      <w:lvlJc w:val="left"/>
      <w:pPr>
        <w:tabs>
          <w:tab w:val="left" w:pos="312"/>
        </w:tabs>
      </w:pPr>
    </w:lvl>
  </w:abstractNum>
  <w:abstractNum w:abstractNumId="15">
    <w:nsid w:val="5AD18E8C"/>
    <w:multiLevelType w:val="singleLevel"/>
    <w:tmpl w:val="5AD18E8C"/>
    <w:lvl w:ilvl="0" w:tentative="0">
      <w:start w:val="1"/>
      <w:numFmt w:val="decimal"/>
      <w:suff w:val="nothing"/>
      <w:lvlText w:val="%1、"/>
      <w:lvlJc w:val="left"/>
    </w:lvl>
  </w:abstractNum>
  <w:abstractNum w:abstractNumId="16">
    <w:nsid w:val="5EC66158"/>
    <w:multiLevelType w:val="singleLevel"/>
    <w:tmpl w:val="5EC66158"/>
    <w:lvl w:ilvl="0" w:tentative="0">
      <w:start w:val="2"/>
      <w:numFmt w:val="decimal"/>
      <w:suff w:val="nothing"/>
      <w:lvlText w:val="%1、"/>
      <w:lvlJc w:val="left"/>
    </w:lvl>
  </w:abstractNum>
  <w:abstractNum w:abstractNumId="17">
    <w:nsid w:val="6B2A4D91"/>
    <w:multiLevelType w:val="singleLevel"/>
    <w:tmpl w:val="6B2A4D91"/>
    <w:lvl w:ilvl="0" w:tentative="0">
      <w:start w:val="1"/>
      <w:numFmt w:val="decimal"/>
      <w:suff w:val="nothing"/>
      <w:lvlText w:val="%1、"/>
      <w:lvlJc w:val="left"/>
    </w:lvl>
  </w:abstractNum>
  <w:abstractNum w:abstractNumId="18">
    <w:nsid w:val="6FD2A0D6"/>
    <w:multiLevelType w:val="singleLevel"/>
    <w:tmpl w:val="6FD2A0D6"/>
    <w:lvl w:ilvl="0" w:tentative="0">
      <w:start w:val="1"/>
      <w:numFmt w:val="decimal"/>
      <w:suff w:val="nothing"/>
      <w:lvlText w:val="%1、"/>
      <w:lvlJc w:val="left"/>
    </w:lvl>
  </w:abstractNum>
  <w:num w:numId="1">
    <w:abstractNumId w:val="13"/>
  </w:num>
  <w:num w:numId="2">
    <w:abstractNumId w:val="11"/>
  </w:num>
  <w:num w:numId="3">
    <w:abstractNumId w:val="5"/>
  </w:num>
  <w:num w:numId="4">
    <w:abstractNumId w:val="16"/>
  </w:num>
  <w:num w:numId="5">
    <w:abstractNumId w:val="18"/>
  </w:num>
  <w:num w:numId="6">
    <w:abstractNumId w:val="8"/>
  </w:num>
  <w:num w:numId="7">
    <w:abstractNumId w:val="6"/>
  </w:num>
  <w:num w:numId="8">
    <w:abstractNumId w:val="17"/>
  </w:num>
  <w:num w:numId="9">
    <w:abstractNumId w:val="15"/>
  </w:num>
  <w:num w:numId="10">
    <w:abstractNumId w:val="12"/>
  </w:num>
  <w:num w:numId="11">
    <w:abstractNumId w:val="2"/>
  </w:num>
  <w:num w:numId="12">
    <w:abstractNumId w:val="3"/>
  </w:num>
  <w:num w:numId="13">
    <w:abstractNumId w:val="7"/>
  </w:num>
  <w:num w:numId="14">
    <w:abstractNumId w:val="1"/>
  </w:num>
  <w:num w:numId="15">
    <w:abstractNumId w:val="10"/>
  </w:num>
  <w:num w:numId="16">
    <w:abstractNumId w:val="4"/>
  </w:num>
  <w:num w:numId="17">
    <w:abstractNumId w:val="14"/>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kYjc0NzkxZDdlYzJkMmViMDdjYmVjYTFiM2IwM2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3019"/>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5302"/>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32B"/>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39A0"/>
    <w:rsid w:val="00554A7B"/>
    <w:rsid w:val="0055572C"/>
    <w:rsid w:val="0056106A"/>
    <w:rsid w:val="005720AE"/>
    <w:rsid w:val="0057756B"/>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3D48"/>
    <w:rsid w:val="00EA233A"/>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616BF"/>
    <w:rsid w:val="01203FAE"/>
    <w:rsid w:val="01290F7E"/>
    <w:rsid w:val="012D0479"/>
    <w:rsid w:val="01445140"/>
    <w:rsid w:val="014B50BC"/>
    <w:rsid w:val="015D1E09"/>
    <w:rsid w:val="017E2A82"/>
    <w:rsid w:val="01865AD0"/>
    <w:rsid w:val="018B0FC8"/>
    <w:rsid w:val="01B15AD0"/>
    <w:rsid w:val="01DF28CB"/>
    <w:rsid w:val="01F56AD8"/>
    <w:rsid w:val="01F84801"/>
    <w:rsid w:val="022558D6"/>
    <w:rsid w:val="026003DA"/>
    <w:rsid w:val="02697903"/>
    <w:rsid w:val="02933AA2"/>
    <w:rsid w:val="02C941D1"/>
    <w:rsid w:val="02D8125B"/>
    <w:rsid w:val="02F96569"/>
    <w:rsid w:val="03457CFC"/>
    <w:rsid w:val="035148F2"/>
    <w:rsid w:val="03520A81"/>
    <w:rsid w:val="035325BC"/>
    <w:rsid w:val="035C4C3E"/>
    <w:rsid w:val="03621338"/>
    <w:rsid w:val="03AC38D7"/>
    <w:rsid w:val="03EA7B21"/>
    <w:rsid w:val="03F02E1E"/>
    <w:rsid w:val="03F46B80"/>
    <w:rsid w:val="03FA4753"/>
    <w:rsid w:val="040556DD"/>
    <w:rsid w:val="04486CDD"/>
    <w:rsid w:val="04627993"/>
    <w:rsid w:val="04673CA2"/>
    <w:rsid w:val="04801A2C"/>
    <w:rsid w:val="0486410C"/>
    <w:rsid w:val="04912D46"/>
    <w:rsid w:val="049770A5"/>
    <w:rsid w:val="04A94B5F"/>
    <w:rsid w:val="04ED07AE"/>
    <w:rsid w:val="05A64D4A"/>
    <w:rsid w:val="05CD3FD8"/>
    <w:rsid w:val="05D47115"/>
    <w:rsid w:val="05F219E5"/>
    <w:rsid w:val="05F83EAE"/>
    <w:rsid w:val="0616048E"/>
    <w:rsid w:val="0624122F"/>
    <w:rsid w:val="063E7D85"/>
    <w:rsid w:val="06450E2E"/>
    <w:rsid w:val="066E20F0"/>
    <w:rsid w:val="0672713F"/>
    <w:rsid w:val="06A72A7B"/>
    <w:rsid w:val="06E24C57"/>
    <w:rsid w:val="06E57242"/>
    <w:rsid w:val="07293586"/>
    <w:rsid w:val="07295285"/>
    <w:rsid w:val="0737795B"/>
    <w:rsid w:val="075C4B87"/>
    <w:rsid w:val="075D0149"/>
    <w:rsid w:val="07636392"/>
    <w:rsid w:val="076809D1"/>
    <w:rsid w:val="07770C56"/>
    <w:rsid w:val="07A70BDA"/>
    <w:rsid w:val="07DC0503"/>
    <w:rsid w:val="07F85DB7"/>
    <w:rsid w:val="08181954"/>
    <w:rsid w:val="08392487"/>
    <w:rsid w:val="084D31AF"/>
    <w:rsid w:val="087F6557"/>
    <w:rsid w:val="08A1381C"/>
    <w:rsid w:val="08A14073"/>
    <w:rsid w:val="08C01BD2"/>
    <w:rsid w:val="08D137DE"/>
    <w:rsid w:val="08E703A6"/>
    <w:rsid w:val="09024A47"/>
    <w:rsid w:val="090E6DE2"/>
    <w:rsid w:val="091D0DD3"/>
    <w:rsid w:val="092217DD"/>
    <w:rsid w:val="092E25B4"/>
    <w:rsid w:val="093A7294"/>
    <w:rsid w:val="09431CAA"/>
    <w:rsid w:val="094A4910"/>
    <w:rsid w:val="0963712E"/>
    <w:rsid w:val="0977417A"/>
    <w:rsid w:val="097E7AC3"/>
    <w:rsid w:val="09D771D4"/>
    <w:rsid w:val="0A0C0E2E"/>
    <w:rsid w:val="0A0C71A7"/>
    <w:rsid w:val="0A263993"/>
    <w:rsid w:val="0A2D3AC2"/>
    <w:rsid w:val="0A671ADA"/>
    <w:rsid w:val="0A963AA2"/>
    <w:rsid w:val="0AA755DF"/>
    <w:rsid w:val="0AC45FF2"/>
    <w:rsid w:val="0AD8120D"/>
    <w:rsid w:val="0AF24999"/>
    <w:rsid w:val="0B0E20B4"/>
    <w:rsid w:val="0B120D44"/>
    <w:rsid w:val="0B88058A"/>
    <w:rsid w:val="0B901D30"/>
    <w:rsid w:val="0BA81739"/>
    <w:rsid w:val="0BB77A01"/>
    <w:rsid w:val="0BCC7EE0"/>
    <w:rsid w:val="0BD27BF6"/>
    <w:rsid w:val="0BDC5554"/>
    <w:rsid w:val="0BE60E6B"/>
    <w:rsid w:val="0C1C106F"/>
    <w:rsid w:val="0C3B3C7D"/>
    <w:rsid w:val="0C4D0749"/>
    <w:rsid w:val="0C791519"/>
    <w:rsid w:val="0C7F438D"/>
    <w:rsid w:val="0C8864E6"/>
    <w:rsid w:val="0C994C14"/>
    <w:rsid w:val="0CA14B3C"/>
    <w:rsid w:val="0CAB2EAE"/>
    <w:rsid w:val="0CD12B32"/>
    <w:rsid w:val="0D19522B"/>
    <w:rsid w:val="0D2B56DC"/>
    <w:rsid w:val="0D307327"/>
    <w:rsid w:val="0D4808A7"/>
    <w:rsid w:val="0D58305A"/>
    <w:rsid w:val="0D621C7D"/>
    <w:rsid w:val="0D627091"/>
    <w:rsid w:val="0D805326"/>
    <w:rsid w:val="0DA970D9"/>
    <w:rsid w:val="0DAA00D3"/>
    <w:rsid w:val="0DB55E3C"/>
    <w:rsid w:val="0DC5319D"/>
    <w:rsid w:val="0E1447B8"/>
    <w:rsid w:val="0E183015"/>
    <w:rsid w:val="0E1C4FE4"/>
    <w:rsid w:val="0E581C77"/>
    <w:rsid w:val="0E6D567B"/>
    <w:rsid w:val="0E73034D"/>
    <w:rsid w:val="0E7F470B"/>
    <w:rsid w:val="0E8012D9"/>
    <w:rsid w:val="0E9B1E28"/>
    <w:rsid w:val="0EE06B2A"/>
    <w:rsid w:val="0EF3392B"/>
    <w:rsid w:val="0F13775A"/>
    <w:rsid w:val="0F242EBB"/>
    <w:rsid w:val="0F384E5F"/>
    <w:rsid w:val="0F5F45FE"/>
    <w:rsid w:val="0F9A112B"/>
    <w:rsid w:val="0FDA7A1E"/>
    <w:rsid w:val="0FE809A6"/>
    <w:rsid w:val="0FFC01E3"/>
    <w:rsid w:val="102F4B50"/>
    <w:rsid w:val="10610161"/>
    <w:rsid w:val="106D2F64"/>
    <w:rsid w:val="10721C05"/>
    <w:rsid w:val="107501BE"/>
    <w:rsid w:val="108C51BC"/>
    <w:rsid w:val="10914A2F"/>
    <w:rsid w:val="10B63710"/>
    <w:rsid w:val="10BA502A"/>
    <w:rsid w:val="10DD0376"/>
    <w:rsid w:val="10E90EEC"/>
    <w:rsid w:val="10F10820"/>
    <w:rsid w:val="111C2F7A"/>
    <w:rsid w:val="11270C74"/>
    <w:rsid w:val="11340524"/>
    <w:rsid w:val="114F1D45"/>
    <w:rsid w:val="115D13F6"/>
    <w:rsid w:val="11665CA1"/>
    <w:rsid w:val="117B42E9"/>
    <w:rsid w:val="11A01E2E"/>
    <w:rsid w:val="11A7470E"/>
    <w:rsid w:val="11BD75F7"/>
    <w:rsid w:val="11D46B5F"/>
    <w:rsid w:val="12133FB0"/>
    <w:rsid w:val="126E269F"/>
    <w:rsid w:val="12767ED2"/>
    <w:rsid w:val="12C02EFB"/>
    <w:rsid w:val="12C67543"/>
    <w:rsid w:val="133D279D"/>
    <w:rsid w:val="13951726"/>
    <w:rsid w:val="139D148E"/>
    <w:rsid w:val="139F5206"/>
    <w:rsid w:val="13C609E5"/>
    <w:rsid w:val="13F10FD8"/>
    <w:rsid w:val="13FD1F2D"/>
    <w:rsid w:val="141554C8"/>
    <w:rsid w:val="14213E6D"/>
    <w:rsid w:val="142D4213"/>
    <w:rsid w:val="143725C7"/>
    <w:rsid w:val="14396509"/>
    <w:rsid w:val="14694215"/>
    <w:rsid w:val="14A267A2"/>
    <w:rsid w:val="14A46E3A"/>
    <w:rsid w:val="14B67EBB"/>
    <w:rsid w:val="14B76566"/>
    <w:rsid w:val="14BF754D"/>
    <w:rsid w:val="14CF3748"/>
    <w:rsid w:val="14D520FC"/>
    <w:rsid w:val="14DD2C3C"/>
    <w:rsid w:val="14E04EC4"/>
    <w:rsid w:val="14FB2BA6"/>
    <w:rsid w:val="1504288A"/>
    <w:rsid w:val="15164037"/>
    <w:rsid w:val="15277E23"/>
    <w:rsid w:val="152E22E5"/>
    <w:rsid w:val="155F4841"/>
    <w:rsid w:val="1579194A"/>
    <w:rsid w:val="15A707FB"/>
    <w:rsid w:val="15AB7DD0"/>
    <w:rsid w:val="15DC1024"/>
    <w:rsid w:val="15EA028F"/>
    <w:rsid w:val="16087E1D"/>
    <w:rsid w:val="165D74A2"/>
    <w:rsid w:val="168E004D"/>
    <w:rsid w:val="16B34B25"/>
    <w:rsid w:val="16C15493"/>
    <w:rsid w:val="16E01DBD"/>
    <w:rsid w:val="16E32AEA"/>
    <w:rsid w:val="16E55626"/>
    <w:rsid w:val="16E82ABD"/>
    <w:rsid w:val="17033CFE"/>
    <w:rsid w:val="173B60B4"/>
    <w:rsid w:val="175B6477"/>
    <w:rsid w:val="1760737E"/>
    <w:rsid w:val="176679EC"/>
    <w:rsid w:val="176757DE"/>
    <w:rsid w:val="176951BA"/>
    <w:rsid w:val="17701D14"/>
    <w:rsid w:val="17735226"/>
    <w:rsid w:val="1779331F"/>
    <w:rsid w:val="177B5416"/>
    <w:rsid w:val="178534DF"/>
    <w:rsid w:val="178A7DCB"/>
    <w:rsid w:val="17987CFE"/>
    <w:rsid w:val="17991F6C"/>
    <w:rsid w:val="179D327B"/>
    <w:rsid w:val="17AF5CEB"/>
    <w:rsid w:val="17C92852"/>
    <w:rsid w:val="17D060A0"/>
    <w:rsid w:val="17E21865"/>
    <w:rsid w:val="17EE212D"/>
    <w:rsid w:val="17F82789"/>
    <w:rsid w:val="17FE0B68"/>
    <w:rsid w:val="180657DC"/>
    <w:rsid w:val="18115297"/>
    <w:rsid w:val="181B370B"/>
    <w:rsid w:val="18331C1F"/>
    <w:rsid w:val="183521E7"/>
    <w:rsid w:val="1840063A"/>
    <w:rsid w:val="18950986"/>
    <w:rsid w:val="189F624C"/>
    <w:rsid w:val="18A64ED4"/>
    <w:rsid w:val="18A81AE2"/>
    <w:rsid w:val="18CD45C3"/>
    <w:rsid w:val="18F95ACE"/>
    <w:rsid w:val="19001357"/>
    <w:rsid w:val="191C4C03"/>
    <w:rsid w:val="192E158C"/>
    <w:rsid w:val="194303E2"/>
    <w:rsid w:val="197A5461"/>
    <w:rsid w:val="19AF0847"/>
    <w:rsid w:val="19B830B3"/>
    <w:rsid w:val="1A0538E9"/>
    <w:rsid w:val="1A1C66C0"/>
    <w:rsid w:val="1A42393B"/>
    <w:rsid w:val="1A447D68"/>
    <w:rsid w:val="1A6E5F6D"/>
    <w:rsid w:val="1AAD45DE"/>
    <w:rsid w:val="1AF26AEE"/>
    <w:rsid w:val="1AF916A0"/>
    <w:rsid w:val="1B046F80"/>
    <w:rsid w:val="1B0E4768"/>
    <w:rsid w:val="1B1F79FF"/>
    <w:rsid w:val="1B3267B5"/>
    <w:rsid w:val="1B40161D"/>
    <w:rsid w:val="1B441859"/>
    <w:rsid w:val="1B627436"/>
    <w:rsid w:val="1B6606B1"/>
    <w:rsid w:val="1B6B4C97"/>
    <w:rsid w:val="1B6F6331"/>
    <w:rsid w:val="1BAA595F"/>
    <w:rsid w:val="1BB22A5F"/>
    <w:rsid w:val="1BE03118"/>
    <w:rsid w:val="1BF260EF"/>
    <w:rsid w:val="1C2E24DE"/>
    <w:rsid w:val="1C401235"/>
    <w:rsid w:val="1C513FDA"/>
    <w:rsid w:val="1C5E7925"/>
    <w:rsid w:val="1C611B5B"/>
    <w:rsid w:val="1C746B04"/>
    <w:rsid w:val="1CE575BC"/>
    <w:rsid w:val="1CF20386"/>
    <w:rsid w:val="1CFD070F"/>
    <w:rsid w:val="1D02282F"/>
    <w:rsid w:val="1D3679F9"/>
    <w:rsid w:val="1D3F5364"/>
    <w:rsid w:val="1D5202A2"/>
    <w:rsid w:val="1D5F6196"/>
    <w:rsid w:val="1D6132A5"/>
    <w:rsid w:val="1D8106F6"/>
    <w:rsid w:val="1D8E56D5"/>
    <w:rsid w:val="1DB83859"/>
    <w:rsid w:val="1DD44A27"/>
    <w:rsid w:val="1DF0665E"/>
    <w:rsid w:val="1DF1740B"/>
    <w:rsid w:val="1E0A7720"/>
    <w:rsid w:val="1E133B69"/>
    <w:rsid w:val="1E164B2F"/>
    <w:rsid w:val="1E2D0F85"/>
    <w:rsid w:val="1E462EBE"/>
    <w:rsid w:val="1E4A0464"/>
    <w:rsid w:val="1E693712"/>
    <w:rsid w:val="1E6B1012"/>
    <w:rsid w:val="1E7539C0"/>
    <w:rsid w:val="1E7A2AF8"/>
    <w:rsid w:val="1E7A43DA"/>
    <w:rsid w:val="1E9B4F23"/>
    <w:rsid w:val="1E9E0BAD"/>
    <w:rsid w:val="1EB368E9"/>
    <w:rsid w:val="1EDF6DFF"/>
    <w:rsid w:val="1EE77A61"/>
    <w:rsid w:val="1F100D66"/>
    <w:rsid w:val="1F422EEA"/>
    <w:rsid w:val="1F777037"/>
    <w:rsid w:val="1F884DA0"/>
    <w:rsid w:val="1FE7539E"/>
    <w:rsid w:val="1FF4173C"/>
    <w:rsid w:val="1FF90B1F"/>
    <w:rsid w:val="2004283B"/>
    <w:rsid w:val="20055A87"/>
    <w:rsid w:val="2042649F"/>
    <w:rsid w:val="20493F4A"/>
    <w:rsid w:val="204D5FEA"/>
    <w:rsid w:val="20671BE0"/>
    <w:rsid w:val="20880DD0"/>
    <w:rsid w:val="20906190"/>
    <w:rsid w:val="20963CB8"/>
    <w:rsid w:val="20A23CC0"/>
    <w:rsid w:val="20A5284B"/>
    <w:rsid w:val="20A81A1B"/>
    <w:rsid w:val="20B07FB6"/>
    <w:rsid w:val="20B47E17"/>
    <w:rsid w:val="20B646FB"/>
    <w:rsid w:val="21056955"/>
    <w:rsid w:val="210B3025"/>
    <w:rsid w:val="21117B79"/>
    <w:rsid w:val="21154355"/>
    <w:rsid w:val="213B74B1"/>
    <w:rsid w:val="215A2310"/>
    <w:rsid w:val="217462B7"/>
    <w:rsid w:val="21751354"/>
    <w:rsid w:val="21947BAF"/>
    <w:rsid w:val="21AF49FC"/>
    <w:rsid w:val="21B31E7D"/>
    <w:rsid w:val="21C40162"/>
    <w:rsid w:val="21C760A1"/>
    <w:rsid w:val="21DE318A"/>
    <w:rsid w:val="21E07116"/>
    <w:rsid w:val="21EF5B80"/>
    <w:rsid w:val="220152DE"/>
    <w:rsid w:val="220F4878"/>
    <w:rsid w:val="22105521"/>
    <w:rsid w:val="2216760B"/>
    <w:rsid w:val="223E5DC5"/>
    <w:rsid w:val="22576990"/>
    <w:rsid w:val="226E4415"/>
    <w:rsid w:val="22877C60"/>
    <w:rsid w:val="229257DC"/>
    <w:rsid w:val="22BC5527"/>
    <w:rsid w:val="22BD1205"/>
    <w:rsid w:val="22D447A0"/>
    <w:rsid w:val="22F47480"/>
    <w:rsid w:val="22F63F99"/>
    <w:rsid w:val="22FB7172"/>
    <w:rsid w:val="22FF7A6F"/>
    <w:rsid w:val="231C66A2"/>
    <w:rsid w:val="23340FA1"/>
    <w:rsid w:val="236D2C2B"/>
    <w:rsid w:val="239372EB"/>
    <w:rsid w:val="239D2DE4"/>
    <w:rsid w:val="23B720F8"/>
    <w:rsid w:val="23D41D37"/>
    <w:rsid w:val="23DE1C48"/>
    <w:rsid w:val="23E175EA"/>
    <w:rsid w:val="240210CD"/>
    <w:rsid w:val="24056D54"/>
    <w:rsid w:val="246630C3"/>
    <w:rsid w:val="249A5C43"/>
    <w:rsid w:val="24BF09F7"/>
    <w:rsid w:val="24D243A2"/>
    <w:rsid w:val="24D60F14"/>
    <w:rsid w:val="24D65197"/>
    <w:rsid w:val="250C6E50"/>
    <w:rsid w:val="2511463D"/>
    <w:rsid w:val="25191B12"/>
    <w:rsid w:val="252D53FE"/>
    <w:rsid w:val="25375BDA"/>
    <w:rsid w:val="25427516"/>
    <w:rsid w:val="25741467"/>
    <w:rsid w:val="257A09F7"/>
    <w:rsid w:val="25A77F4A"/>
    <w:rsid w:val="25A820EA"/>
    <w:rsid w:val="25D71F51"/>
    <w:rsid w:val="25EC2D81"/>
    <w:rsid w:val="25FC7E3F"/>
    <w:rsid w:val="263E08AF"/>
    <w:rsid w:val="2685203A"/>
    <w:rsid w:val="276D4936"/>
    <w:rsid w:val="277057A2"/>
    <w:rsid w:val="27D150E1"/>
    <w:rsid w:val="27FB16CC"/>
    <w:rsid w:val="28004B71"/>
    <w:rsid w:val="28232BFC"/>
    <w:rsid w:val="28470B4F"/>
    <w:rsid w:val="28B86934"/>
    <w:rsid w:val="28EC7115"/>
    <w:rsid w:val="28ED3EC6"/>
    <w:rsid w:val="28F65471"/>
    <w:rsid w:val="28FD67FF"/>
    <w:rsid w:val="29036423"/>
    <w:rsid w:val="29206EB8"/>
    <w:rsid w:val="2928349A"/>
    <w:rsid w:val="293B10D5"/>
    <w:rsid w:val="293E2974"/>
    <w:rsid w:val="29595666"/>
    <w:rsid w:val="29667E00"/>
    <w:rsid w:val="296A40E9"/>
    <w:rsid w:val="29714315"/>
    <w:rsid w:val="29874881"/>
    <w:rsid w:val="29A14E20"/>
    <w:rsid w:val="29E325E0"/>
    <w:rsid w:val="2A027E45"/>
    <w:rsid w:val="2A452503"/>
    <w:rsid w:val="2A910533"/>
    <w:rsid w:val="2ABB3D2F"/>
    <w:rsid w:val="2AD24A76"/>
    <w:rsid w:val="2AE735EB"/>
    <w:rsid w:val="2B095C43"/>
    <w:rsid w:val="2B190DE1"/>
    <w:rsid w:val="2B492711"/>
    <w:rsid w:val="2B5F4AA0"/>
    <w:rsid w:val="2BA936A8"/>
    <w:rsid w:val="2BAD5B8F"/>
    <w:rsid w:val="2C315A5A"/>
    <w:rsid w:val="2C477D91"/>
    <w:rsid w:val="2C4B1C25"/>
    <w:rsid w:val="2C4F5908"/>
    <w:rsid w:val="2C5250A4"/>
    <w:rsid w:val="2C6D5566"/>
    <w:rsid w:val="2CCF1A4A"/>
    <w:rsid w:val="2CD3540E"/>
    <w:rsid w:val="2CFA61F5"/>
    <w:rsid w:val="2D483DC1"/>
    <w:rsid w:val="2D9E56F5"/>
    <w:rsid w:val="2DA20AB1"/>
    <w:rsid w:val="2DCC67A0"/>
    <w:rsid w:val="2DCD1217"/>
    <w:rsid w:val="2DDA558F"/>
    <w:rsid w:val="2E0B1E77"/>
    <w:rsid w:val="2E291E44"/>
    <w:rsid w:val="2E340BC1"/>
    <w:rsid w:val="2E4C168F"/>
    <w:rsid w:val="2E5F5866"/>
    <w:rsid w:val="2E653EE9"/>
    <w:rsid w:val="2E667F96"/>
    <w:rsid w:val="2E6A4FCC"/>
    <w:rsid w:val="2E6E5F17"/>
    <w:rsid w:val="2E8226AB"/>
    <w:rsid w:val="2EA36B0F"/>
    <w:rsid w:val="2EA84B6E"/>
    <w:rsid w:val="2EB46281"/>
    <w:rsid w:val="2EC456C9"/>
    <w:rsid w:val="2ED209BA"/>
    <w:rsid w:val="2ED718A0"/>
    <w:rsid w:val="2F4C4F43"/>
    <w:rsid w:val="2F4D655F"/>
    <w:rsid w:val="2F69244D"/>
    <w:rsid w:val="2F6F418C"/>
    <w:rsid w:val="2F766259"/>
    <w:rsid w:val="2F8B6633"/>
    <w:rsid w:val="2FD065E6"/>
    <w:rsid w:val="2FD96870"/>
    <w:rsid w:val="2FFD0E93"/>
    <w:rsid w:val="30202DD3"/>
    <w:rsid w:val="302428C3"/>
    <w:rsid w:val="3039298F"/>
    <w:rsid w:val="304B40B3"/>
    <w:rsid w:val="30580BC9"/>
    <w:rsid w:val="3075311F"/>
    <w:rsid w:val="30915BFA"/>
    <w:rsid w:val="30A85DD6"/>
    <w:rsid w:val="30B06913"/>
    <w:rsid w:val="30BA6A29"/>
    <w:rsid w:val="30C53578"/>
    <w:rsid w:val="311E2ED7"/>
    <w:rsid w:val="311F752F"/>
    <w:rsid w:val="312A3C99"/>
    <w:rsid w:val="314A6E33"/>
    <w:rsid w:val="3156080E"/>
    <w:rsid w:val="315619EE"/>
    <w:rsid w:val="315840B2"/>
    <w:rsid w:val="315C449C"/>
    <w:rsid w:val="31A50EC7"/>
    <w:rsid w:val="31B70755"/>
    <w:rsid w:val="31B82709"/>
    <w:rsid w:val="31C300FD"/>
    <w:rsid w:val="31C47400"/>
    <w:rsid w:val="31D05482"/>
    <w:rsid w:val="31EE13DB"/>
    <w:rsid w:val="31F91590"/>
    <w:rsid w:val="32190984"/>
    <w:rsid w:val="32400B34"/>
    <w:rsid w:val="329E6876"/>
    <w:rsid w:val="32A47CEB"/>
    <w:rsid w:val="32BF120B"/>
    <w:rsid w:val="32EF59F2"/>
    <w:rsid w:val="32F36C2B"/>
    <w:rsid w:val="32FB3683"/>
    <w:rsid w:val="331D5BEE"/>
    <w:rsid w:val="33260599"/>
    <w:rsid w:val="333015F2"/>
    <w:rsid w:val="333A2336"/>
    <w:rsid w:val="333C43C8"/>
    <w:rsid w:val="334B6320"/>
    <w:rsid w:val="3353293C"/>
    <w:rsid w:val="337B6D0E"/>
    <w:rsid w:val="337E678E"/>
    <w:rsid w:val="338873E8"/>
    <w:rsid w:val="33933A39"/>
    <w:rsid w:val="33C1667B"/>
    <w:rsid w:val="33CE5371"/>
    <w:rsid w:val="33D04B10"/>
    <w:rsid w:val="33D934D4"/>
    <w:rsid w:val="33E518FA"/>
    <w:rsid w:val="33FE2F6A"/>
    <w:rsid w:val="340B25B7"/>
    <w:rsid w:val="340E07E5"/>
    <w:rsid w:val="34235BF7"/>
    <w:rsid w:val="34306ECD"/>
    <w:rsid w:val="345C0152"/>
    <w:rsid w:val="3469469A"/>
    <w:rsid w:val="348C0B69"/>
    <w:rsid w:val="34B13D24"/>
    <w:rsid w:val="34BB131C"/>
    <w:rsid w:val="34E14E13"/>
    <w:rsid w:val="34E41468"/>
    <w:rsid w:val="358C5FA8"/>
    <w:rsid w:val="35A6198F"/>
    <w:rsid w:val="35C15DF1"/>
    <w:rsid w:val="35D95EFE"/>
    <w:rsid w:val="36074A7F"/>
    <w:rsid w:val="360A255B"/>
    <w:rsid w:val="36453593"/>
    <w:rsid w:val="36817A92"/>
    <w:rsid w:val="368216D5"/>
    <w:rsid w:val="368A747F"/>
    <w:rsid w:val="36923549"/>
    <w:rsid w:val="36B75FBF"/>
    <w:rsid w:val="36BD0C45"/>
    <w:rsid w:val="36E36908"/>
    <w:rsid w:val="370E0330"/>
    <w:rsid w:val="372B3420"/>
    <w:rsid w:val="3735188E"/>
    <w:rsid w:val="374864BD"/>
    <w:rsid w:val="374E393B"/>
    <w:rsid w:val="375B7008"/>
    <w:rsid w:val="37893954"/>
    <w:rsid w:val="379E026D"/>
    <w:rsid w:val="379E73FF"/>
    <w:rsid w:val="37AF33CA"/>
    <w:rsid w:val="37D61868"/>
    <w:rsid w:val="37E00298"/>
    <w:rsid w:val="37E20570"/>
    <w:rsid w:val="38150498"/>
    <w:rsid w:val="381A5E76"/>
    <w:rsid w:val="3835198A"/>
    <w:rsid w:val="38450240"/>
    <w:rsid w:val="389205E6"/>
    <w:rsid w:val="38AA6EBD"/>
    <w:rsid w:val="38B302F9"/>
    <w:rsid w:val="38CF652D"/>
    <w:rsid w:val="38F12CD3"/>
    <w:rsid w:val="38F94775"/>
    <w:rsid w:val="39205BF2"/>
    <w:rsid w:val="392971ED"/>
    <w:rsid w:val="39325651"/>
    <w:rsid w:val="39462E83"/>
    <w:rsid w:val="394C278A"/>
    <w:rsid w:val="39847220"/>
    <w:rsid w:val="39861EF9"/>
    <w:rsid w:val="39BF7AAC"/>
    <w:rsid w:val="3A2E3523"/>
    <w:rsid w:val="3A654204"/>
    <w:rsid w:val="3A872856"/>
    <w:rsid w:val="3AAB7108"/>
    <w:rsid w:val="3AC23405"/>
    <w:rsid w:val="3AC55DF3"/>
    <w:rsid w:val="3B307B9A"/>
    <w:rsid w:val="3B3763D1"/>
    <w:rsid w:val="3B3D0FDF"/>
    <w:rsid w:val="3B4D3A10"/>
    <w:rsid w:val="3B5129DA"/>
    <w:rsid w:val="3B573637"/>
    <w:rsid w:val="3B6532D5"/>
    <w:rsid w:val="3B7E0E11"/>
    <w:rsid w:val="3B850B51"/>
    <w:rsid w:val="3B9A19A6"/>
    <w:rsid w:val="3BAC19BF"/>
    <w:rsid w:val="3C15360D"/>
    <w:rsid w:val="3C2F6E1E"/>
    <w:rsid w:val="3C354D6C"/>
    <w:rsid w:val="3C3562AC"/>
    <w:rsid w:val="3C4F64BA"/>
    <w:rsid w:val="3C5A58BF"/>
    <w:rsid w:val="3CA07775"/>
    <w:rsid w:val="3CC61EB5"/>
    <w:rsid w:val="3CDA245A"/>
    <w:rsid w:val="3D115167"/>
    <w:rsid w:val="3D1E06B7"/>
    <w:rsid w:val="3D204412"/>
    <w:rsid w:val="3D2C1009"/>
    <w:rsid w:val="3D43530C"/>
    <w:rsid w:val="3D811B22"/>
    <w:rsid w:val="3D8C3E1B"/>
    <w:rsid w:val="3D922CF0"/>
    <w:rsid w:val="3DAE5F93"/>
    <w:rsid w:val="3DC2371B"/>
    <w:rsid w:val="3E3A1504"/>
    <w:rsid w:val="3E3B4A3A"/>
    <w:rsid w:val="3E4208F8"/>
    <w:rsid w:val="3E7155A6"/>
    <w:rsid w:val="3E9713C0"/>
    <w:rsid w:val="3EAC4DE8"/>
    <w:rsid w:val="3EAD4A34"/>
    <w:rsid w:val="3ED76FB5"/>
    <w:rsid w:val="3EDA0523"/>
    <w:rsid w:val="3F0A2F86"/>
    <w:rsid w:val="3F0B4C4E"/>
    <w:rsid w:val="3F1F1CC7"/>
    <w:rsid w:val="3F3C3F70"/>
    <w:rsid w:val="3F45165E"/>
    <w:rsid w:val="3F603A91"/>
    <w:rsid w:val="3F783934"/>
    <w:rsid w:val="3F7C00E2"/>
    <w:rsid w:val="3F9A7FCD"/>
    <w:rsid w:val="3FC473EF"/>
    <w:rsid w:val="3FD27F37"/>
    <w:rsid w:val="3FDD483D"/>
    <w:rsid w:val="3FF27647"/>
    <w:rsid w:val="3FFE7FD8"/>
    <w:rsid w:val="400F75B1"/>
    <w:rsid w:val="40420E70"/>
    <w:rsid w:val="407A6407"/>
    <w:rsid w:val="40965CD2"/>
    <w:rsid w:val="40AA6BB5"/>
    <w:rsid w:val="40C22FE0"/>
    <w:rsid w:val="40C84C03"/>
    <w:rsid w:val="40E34069"/>
    <w:rsid w:val="4112510B"/>
    <w:rsid w:val="41464DB1"/>
    <w:rsid w:val="414839E0"/>
    <w:rsid w:val="415A1C8A"/>
    <w:rsid w:val="417755B9"/>
    <w:rsid w:val="419217F1"/>
    <w:rsid w:val="419B050B"/>
    <w:rsid w:val="4200449D"/>
    <w:rsid w:val="4203046B"/>
    <w:rsid w:val="4213285D"/>
    <w:rsid w:val="423A3BCC"/>
    <w:rsid w:val="423D5A66"/>
    <w:rsid w:val="424E57D2"/>
    <w:rsid w:val="42935686"/>
    <w:rsid w:val="42A52109"/>
    <w:rsid w:val="42B26C49"/>
    <w:rsid w:val="42B52EAB"/>
    <w:rsid w:val="42CB67CE"/>
    <w:rsid w:val="42E859D2"/>
    <w:rsid w:val="42ED27DA"/>
    <w:rsid w:val="42FE0D52"/>
    <w:rsid w:val="430E6A24"/>
    <w:rsid w:val="43146583"/>
    <w:rsid w:val="43154F99"/>
    <w:rsid w:val="432A6FFE"/>
    <w:rsid w:val="433A6FE6"/>
    <w:rsid w:val="43443180"/>
    <w:rsid w:val="43480868"/>
    <w:rsid w:val="4350713C"/>
    <w:rsid w:val="43610452"/>
    <w:rsid w:val="436653E0"/>
    <w:rsid w:val="437D7322"/>
    <w:rsid w:val="438110BA"/>
    <w:rsid w:val="438C716F"/>
    <w:rsid w:val="43AF352E"/>
    <w:rsid w:val="43C4431A"/>
    <w:rsid w:val="43E02B4D"/>
    <w:rsid w:val="43EF4B3E"/>
    <w:rsid w:val="44206E4F"/>
    <w:rsid w:val="445B21D4"/>
    <w:rsid w:val="4476157F"/>
    <w:rsid w:val="44861E24"/>
    <w:rsid w:val="449D7FBD"/>
    <w:rsid w:val="44A439E1"/>
    <w:rsid w:val="44B951CC"/>
    <w:rsid w:val="44CD14E0"/>
    <w:rsid w:val="44D41620"/>
    <w:rsid w:val="44EA310E"/>
    <w:rsid w:val="44F20B0B"/>
    <w:rsid w:val="452E5F4C"/>
    <w:rsid w:val="45470C7B"/>
    <w:rsid w:val="4548500B"/>
    <w:rsid w:val="455853A5"/>
    <w:rsid w:val="45612018"/>
    <w:rsid w:val="45684BA8"/>
    <w:rsid w:val="456E6494"/>
    <w:rsid w:val="45807551"/>
    <w:rsid w:val="458946E9"/>
    <w:rsid w:val="458A23AD"/>
    <w:rsid w:val="45992544"/>
    <w:rsid w:val="45A47C0E"/>
    <w:rsid w:val="45AC718B"/>
    <w:rsid w:val="46020B59"/>
    <w:rsid w:val="46227A5C"/>
    <w:rsid w:val="463F1DAD"/>
    <w:rsid w:val="46577FD6"/>
    <w:rsid w:val="465D7413"/>
    <w:rsid w:val="467109B7"/>
    <w:rsid w:val="46841EB6"/>
    <w:rsid w:val="46B1124A"/>
    <w:rsid w:val="46B72B3B"/>
    <w:rsid w:val="46B81B60"/>
    <w:rsid w:val="46C10EC2"/>
    <w:rsid w:val="46CA14FC"/>
    <w:rsid w:val="46CF341F"/>
    <w:rsid w:val="46D0433C"/>
    <w:rsid w:val="46D208A5"/>
    <w:rsid w:val="46D4777B"/>
    <w:rsid w:val="46D955A7"/>
    <w:rsid w:val="46EC4182"/>
    <w:rsid w:val="47133957"/>
    <w:rsid w:val="474621AA"/>
    <w:rsid w:val="477D1A6B"/>
    <w:rsid w:val="479B74B7"/>
    <w:rsid w:val="47A07E0C"/>
    <w:rsid w:val="47CE3EA0"/>
    <w:rsid w:val="47D91D8D"/>
    <w:rsid w:val="47DB0C21"/>
    <w:rsid w:val="47DE236C"/>
    <w:rsid w:val="47FD5DF2"/>
    <w:rsid w:val="482C2A73"/>
    <w:rsid w:val="483C4181"/>
    <w:rsid w:val="48587A14"/>
    <w:rsid w:val="4860425D"/>
    <w:rsid w:val="4870272E"/>
    <w:rsid w:val="487B5B30"/>
    <w:rsid w:val="48A01E5A"/>
    <w:rsid w:val="48AC4B03"/>
    <w:rsid w:val="49115557"/>
    <w:rsid w:val="491737F8"/>
    <w:rsid w:val="49532ABA"/>
    <w:rsid w:val="49562B34"/>
    <w:rsid w:val="499E4651"/>
    <w:rsid w:val="49C8030C"/>
    <w:rsid w:val="49D03CF9"/>
    <w:rsid w:val="49DC7715"/>
    <w:rsid w:val="49E71E13"/>
    <w:rsid w:val="49EF486E"/>
    <w:rsid w:val="49F11380"/>
    <w:rsid w:val="4A023139"/>
    <w:rsid w:val="4A1C1E18"/>
    <w:rsid w:val="4A3B288C"/>
    <w:rsid w:val="4A49144C"/>
    <w:rsid w:val="4A7B576F"/>
    <w:rsid w:val="4A8C520C"/>
    <w:rsid w:val="4A9C7F9B"/>
    <w:rsid w:val="4AAE79C0"/>
    <w:rsid w:val="4AB32D6A"/>
    <w:rsid w:val="4AF561A9"/>
    <w:rsid w:val="4B030956"/>
    <w:rsid w:val="4B2138A1"/>
    <w:rsid w:val="4B3859D9"/>
    <w:rsid w:val="4B8B339F"/>
    <w:rsid w:val="4B9E5ED6"/>
    <w:rsid w:val="4BB3570A"/>
    <w:rsid w:val="4BD56708"/>
    <w:rsid w:val="4BD56D10"/>
    <w:rsid w:val="4BD60402"/>
    <w:rsid w:val="4BDB2578"/>
    <w:rsid w:val="4C006274"/>
    <w:rsid w:val="4C236E6B"/>
    <w:rsid w:val="4C4A0649"/>
    <w:rsid w:val="4C7E5ECA"/>
    <w:rsid w:val="4C876AA5"/>
    <w:rsid w:val="4C8C5620"/>
    <w:rsid w:val="4CD36B70"/>
    <w:rsid w:val="4CE51278"/>
    <w:rsid w:val="4D095EAB"/>
    <w:rsid w:val="4D0A75F6"/>
    <w:rsid w:val="4D0E00FB"/>
    <w:rsid w:val="4D176606"/>
    <w:rsid w:val="4D1B711B"/>
    <w:rsid w:val="4D241C6C"/>
    <w:rsid w:val="4D764FBA"/>
    <w:rsid w:val="4D987FF5"/>
    <w:rsid w:val="4DD80D25"/>
    <w:rsid w:val="4DEC4FB0"/>
    <w:rsid w:val="4E075D8A"/>
    <w:rsid w:val="4E4D0E9A"/>
    <w:rsid w:val="4E7E186D"/>
    <w:rsid w:val="4E830CA5"/>
    <w:rsid w:val="4E9D4749"/>
    <w:rsid w:val="4EB1136E"/>
    <w:rsid w:val="4EC00FAD"/>
    <w:rsid w:val="4ECC7F56"/>
    <w:rsid w:val="4ED07AB5"/>
    <w:rsid w:val="4EDB1CEB"/>
    <w:rsid w:val="4EE86626"/>
    <w:rsid w:val="4F0C47F7"/>
    <w:rsid w:val="4F283122"/>
    <w:rsid w:val="4F3946EC"/>
    <w:rsid w:val="4F4817CD"/>
    <w:rsid w:val="4F563CC4"/>
    <w:rsid w:val="4F5E23EC"/>
    <w:rsid w:val="4F7F321A"/>
    <w:rsid w:val="4F8A3DD9"/>
    <w:rsid w:val="4F9843DC"/>
    <w:rsid w:val="4FA03070"/>
    <w:rsid w:val="4FB150E2"/>
    <w:rsid w:val="4FBE01E7"/>
    <w:rsid w:val="4FC3403D"/>
    <w:rsid w:val="4FC62A8C"/>
    <w:rsid w:val="4FD31AC3"/>
    <w:rsid w:val="4FD36DD8"/>
    <w:rsid w:val="4FE20F0D"/>
    <w:rsid w:val="4FE51552"/>
    <w:rsid w:val="50084FB8"/>
    <w:rsid w:val="500A342C"/>
    <w:rsid w:val="50504C4B"/>
    <w:rsid w:val="507A452D"/>
    <w:rsid w:val="508A021B"/>
    <w:rsid w:val="50947199"/>
    <w:rsid w:val="509C6E7C"/>
    <w:rsid w:val="50B734E0"/>
    <w:rsid w:val="51273B6A"/>
    <w:rsid w:val="514F4E6E"/>
    <w:rsid w:val="515A3F3F"/>
    <w:rsid w:val="5162104E"/>
    <w:rsid w:val="5164532F"/>
    <w:rsid w:val="516B1460"/>
    <w:rsid w:val="518853A6"/>
    <w:rsid w:val="51A8357A"/>
    <w:rsid w:val="51E05BBD"/>
    <w:rsid w:val="51F16D0E"/>
    <w:rsid w:val="523A0A5D"/>
    <w:rsid w:val="525550C6"/>
    <w:rsid w:val="52592B7B"/>
    <w:rsid w:val="525C2E75"/>
    <w:rsid w:val="52920990"/>
    <w:rsid w:val="52A91116"/>
    <w:rsid w:val="53320B51"/>
    <w:rsid w:val="533A55D2"/>
    <w:rsid w:val="535B3F9E"/>
    <w:rsid w:val="5361355D"/>
    <w:rsid w:val="53631031"/>
    <w:rsid w:val="53715570"/>
    <w:rsid w:val="53996C37"/>
    <w:rsid w:val="53A039CC"/>
    <w:rsid w:val="53A1505A"/>
    <w:rsid w:val="53A45545"/>
    <w:rsid w:val="53A505C8"/>
    <w:rsid w:val="53C30FAF"/>
    <w:rsid w:val="54063E08"/>
    <w:rsid w:val="54064005"/>
    <w:rsid w:val="543437E8"/>
    <w:rsid w:val="54413194"/>
    <w:rsid w:val="54456004"/>
    <w:rsid w:val="54514F32"/>
    <w:rsid w:val="54B54FC0"/>
    <w:rsid w:val="54B605FA"/>
    <w:rsid w:val="54F73313"/>
    <w:rsid w:val="54F80955"/>
    <w:rsid w:val="55056941"/>
    <w:rsid w:val="55277B39"/>
    <w:rsid w:val="553F25EE"/>
    <w:rsid w:val="555170A7"/>
    <w:rsid w:val="55580DE3"/>
    <w:rsid w:val="557650C0"/>
    <w:rsid w:val="5587536D"/>
    <w:rsid w:val="559316EA"/>
    <w:rsid w:val="55992B5C"/>
    <w:rsid w:val="559B174B"/>
    <w:rsid w:val="55CE0CF4"/>
    <w:rsid w:val="56056F35"/>
    <w:rsid w:val="56101070"/>
    <w:rsid w:val="564E1B99"/>
    <w:rsid w:val="56A35D42"/>
    <w:rsid w:val="56B22A9C"/>
    <w:rsid w:val="56EF546F"/>
    <w:rsid w:val="57113016"/>
    <w:rsid w:val="57400709"/>
    <w:rsid w:val="5750168D"/>
    <w:rsid w:val="575B7169"/>
    <w:rsid w:val="577764A7"/>
    <w:rsid w:val="57AB7F1F"/>
    <w:rsid w:val="57B72A76"/>
    <w:rsid w:val="57C240FE"/>
    <w:rsid w:val="57C3426C"/>
    <w:rsid w:val="57CE1F93"/>
    <w:rsid w:val="57F22B10"/>
    <w:rsid w:val="57F34BCC"/>
    <w:rsid w:val="57FD367A"/>
    <w:rsid w:val="583272CD"/>
    <w:rsid w:val="5853767F"/>
    <w:rsid w:val="58675193"/>
    <w:rsid w:val="586B4C53"/>
    <w:rsid w:val="588743D1"/>
    <w:rsid w:val="5887701A"/>
    <w:rsid w:val="5898359F"/>
    <w:rsid w:val="589D79CE"/>
    <w:rsid w:val="58E660B8"/>
    <w:rsid w:val="5909575A"/>
    <w:rsid w:val="59385527"/>
    <w:rsid w:val="594C62E5"/>
    <w:rsid w:val="597436C4"/>
    <w:rsid w:val="59BE7035"/>
    <w:rsid w:val="59C0439F"/>
    <w:rsid w:val="5A025EE6"/>
    <w:rsid w:val="5A5F37F7"/>
    <w:rsid w:val="5A860E8B"/>
    <w:rsid w:val="5ABE2233"/>
    <w:rsid w:val="5ADA65A8"/>
    <w:rsid w:val="5AE23EE6"/>
    <w:rsid w:val="5AF56A87"/>
    <w:rsid w:val="5B527E23"/>
    <w:rsid w:val="5B8D7C5D"/>
    <w:rsid w:val="5B903F17"/>
    <w:rsid w:val="5BBB6EE2"/>
    <w:rsid w:val="5BDF5D95"/>
    <w:rsid w:val="5BFE7528"/>
    <w:rsid w:val="5C033B7E"/>
    <w:rsid w:val="5C0F4DAD"/>
    <w:rsid w:val="5C1B635E"/>
    <w:rsid w:val="5C240609"/>
    <w:rsid w:val="5C6F122F"/>
    <w:rsid w:val="5C9F224C"/>
    <w:rsid w:val="5CAE4F2C"/>
    <w:rsid w:val="5CB92483"/>
    <w:rsid w:val="5CE92243"/>
    <w:rsid w:val="5D184A06"/>
    <w:rsid w:val="5D24060E"/>
    <w:rsid w:val="5D2D075A"/>
    <w:rsid w:val="5D3537CA"/>
    <w:rsid w:val="5DCA244C"/>
    <w:rsid w:val="5DDE7A41"/>
    <w:rsid w:val="5DE6548E"/>
    <w:rsid w:val="5DF62E28"/>
    <w:rsid w:val="5E2467F1"/>
    <w:rsid w:val="5E4B41EE"/>
    <w:rsid w:val="5E501272"/>
    <w:rsid w:val="5E6A3C95"/>
    <w:rsid w:val="5E6F08FE"/>
    <w:rsid w:val="5E940365"/>
    <w:rsid w:val="5EB86749"/>
    <w:rsid w:val="5EBD3CCB"/>
    <w:rsid w:val="5ECB3DA3"/>
    <w:rsid w:val="5F1A2B43"/>
    <w:rsid w:val="5F1F4206"/>
    <w:rsid w:val="5F2E69CE"/>
    <w:rsid w:val="5F4A781B"/>
    <w:rsid w:val="5F557AF4"/>
    <w:rsid w:val="5F630AFE"/>
    <w:rsid w:val="5FA67458"/>
    <w:rsid w:val="5FB201C3"/>
    <w:rsid w:val="5FB837BB"/>
    <w:rsid w:val="5FEE6D27"/>
    <w:rsid w:val="5FF627C7"/>
    <w:rsid w:val="5FFDA3A7"/>
    <w:rsid w:val="602F47E9"/>
    <w:rsid w:val="60426BD0"/>
    <w:rsid w:val="60483136"/>
    <w:rsid w:val="606E3563"/>
    <w:rsid w:val="60BF5B6D"/>
    <w:rsid w:val="60CC405A"/>
    <w:rsid w:val="60CF1B28"/>
    <w:rsid w:val="60EF600F"/>
    <w:rsid w:val="60F4207F"/>
    <w:rsid w:val="61497B2C"/>
    <w:rsid w:val="61554B37"/>
    <w:rsid w:val="61581B1D"/>
    <w:rsid w:val="617C1F7C"/>
    <w:rsid w:val="61B91E36"/>
    <w:rsid w:val="61B958AD"/>
    <w:rsid w:val="61C73F05"/>
    <w:rsid w:val="61E215D8"/>
    <w:rsid w:val="61EF6442"/>
    <w:rsid w:val="61F25C2D"/>
    <w:rsid w:val="621B3775"/>
    <w:rsid w:val="622B693C"/>
    <w:rsid w:val="622B7232"/>
    <w:rsid w:val="62364782"/>
    <w:rsid w:val="6252656D"/>
    <w:rsid w:val="62571849"/>
    <w:rsid w:val="625911A8"/>
    <w:rsid w:val="628250A4"/>
    <w:rsid w:val="629813F5"/>
    <w:rsid w:val="629923ED"/>
    <w:rsid w:val="62CC2423"/>
    <w:rsid w:val="632979B1"/>
    <w:rsid w:val="6370314E"/>
    <w:rsid w:val="63857E3E"/>
    <w:rsid w:val="6394356A"/>
    <w:rsid w:val="63994339"/>
    <w:rsid w:val="63C61B2C"/>
    <w:rsid w:val="63D40BE9"/>
    <w:rsid w:val="63F87DA2"/>
    <w:rsid w:val="640A35A3"/>
    <w:rsid w:val="64102431"/>
    <w:rsid w:val="642B07DF"/>
    <w:rsid w:val="642F3009"/>
    <w:rsid w:val="64442174"/>
    <w:rsid w:val="64466637"/>
    <w:rsid w:val="64582A79"/>
    <w:rsid w:val="64947D16"/>
    <w:rsid w:val="64A5243A"/>
    <w:rsid w:val="64A86B79"/>
    <w:rsid w:val="64AE1CD8"/>
    <w:rsid w:val="64BC382B"/>
    <w:rsid w:val="64F531DE"/>
    <w:rsid w:val="650F6997"/>
    <w:rsid w:val="65227EAA"/>
    <w:rsid w:val="653012D4"/>
    <w:rsid w:val="65306421"/>
    <w:rsid w:val="65373578"/>
    <w:rsid w:val="65533DFC"/>
    <w:rsid w:val="656B6DB9"/>
    <w:rsid w:val="656E7B61"/>
    <w:rsid w:val="656F0669"/>
    <w:rsid w:val="6587477F"/>
    <w:rsid w:val="65BF660F"/>
    <w:rsid w:val="65E322FD"/>
    <w:rsid w:val="65FB09BC"/>
    <w:rsid w:val="66017D62"/>
    <w:rsid w:val="6603474E"/>
    <w:rsid w:val="66081513"/>
    <w:rsid w:val="66182D39"/>
    <w:rsid w:val="662D5B47"/>
    <w:rsid w:val="664E4C32"/>
    <w:rsid w:val="665A5356"/>
    <w:rsid w:val="66932D32"/>
    <w:rsid w:val="66A959B0"/>
    <w:rsid w:val="66B03545"/>
    <w:rsid w:val="66B4434D"/>
    <w:rsid w:val="67030FDD"/>
    <w:rsid w:val="671F124A"/>
    <w:rsid w:val="672524A2"/>
    <w:rsid w:val="673C79EA"/>
    <w:rsid w:val="674D2B5F"/>
    <w:rsid w:val="677A33C6"/>
    <w:rsid w:val="677B5B6F"/>
    <w:rsid w:val="67C021CA"/>
    <w:rsid w:val="67DE6206"/>
    <w:rsid w:val="67EC1211"/>
    <w:rsid w:val="67F44A59"/>
    <w:rsid w:val="681E586F"/>
    <w:rsid w:val="681F6961"/>
    <w:rsid w:val="6846585C"/>
    <w:rsid w:val="68580783"/>
    <w:rsid w:val="68610A2F"/>
    <w:rsid w:val="686E50C0"/>
    <w:rsid w:val="68805514"/>
    <w:rsid w:val="68B43298"/>
    <w:rsid w:val="6901702A"/>
    <w:rsid w:val="691E68CF"/>
    <w:rsid w:val="69316E2F"/>
    <w:rsid w:val="694E2071"/>
    <w:rsid w:val="695C1F70"/>
    <w:rsid w:val="69734749"/>
    <w:rsid w:val="69766163"/>
    <w:rsid w:val="697A3B33"/>
    <w:rsid w:val="699639C6"/>
    <w:rsid w:val="69B87E31"/>
    <w:rsid w:val="69B95123"/>
    <w:rsid w:val="69D44760"/>
    <w:rsid w:val="69D87D3D"/>
    <w:rsid w:val="6A241D10"/>
    <w:rsid w:val="6A471C17"/>
    <w:rsid w:val="6A481AA9"/>
    <w:rsid w:val="6A4F3D29"/>
    <w:rsid w:val="6A520EC7"/>
    <w:rsid w:val="6A6C45FA"/>
    <w:rsid w:val="6A723C50"/>
    <w:rsid w:val="6AC30431"/>
    <w:rsid w:val="6ACC6514"/>
    <w:rsid w:val="6AF03461"/>
    <w:rsid w:val="6AF87E20"/>
    <w:rsid w:val="6AF90DE3"/>
    <w:rsid w:val="6B132F2E"/>
    <w:rsid w:val="6B160A7F"/>
    <w:rsid w:val="6B2D1EA9"/>
    <w:rsid w:val="6B322639"/>
    <w:rsid w:val="6B3D0BB5"/>
    <w:rsid w:val="6B8005EE"/>
    <w:rsid w:val="6B845086"/>
    <w:rsid w:val="6B8867DC"/>
    <w:rsid w:val="6BA40CAF"/>
    <w:rsid w:val="6BDA16AB"/>
    <w:rsid w:val="6BFF06F8"/>
    <w:rsid w:val="6C4514B6"/>
    <w:rsid w:val="6C6121CE"/>
    <w:rsid w:val="6C636C38"/>
    <w:rsid w:val="6C8D761B"/>
    <w:rsid w:val="6D125276"/>
    <w:rsid w:val="6D377B05"/>
    <w:rsid w:val="6D605124"/>
    <w:rsid w:val="6D655E2F"/>
    <w:rsid w:val="6D7266BD"/>
    <w:rsid w:val="6D803223"/>
    <w:rsid w:val="6DB34098"/>
    <w:rsid w:val="6DB545B6"/>
    <w:rsid w:val="6DE02FB4"/>
    <w:rsid w:val="6DEE714D"/>
    <w:rsid w:val="6DFA2090"/>
    <w:rsid w:val="6E1E66B4"/>
    <w:rsid w:val="6E514CED"/>
    <w:rsid w:val="6E5D0E28"/>
    <w:rsid w:val="6E7A54C7"/>
    <w:rsid w:val="6E9437BA"/>
    <w:rsid w:val="6EA2378D"/>
    <w:rsid w:val="6EAA5120"/>
    <w:rsid w:val="6EB563D5"/>
    <w:rsid w:val="6EBE0699"/>
    <w:rsid w:val="6ED92677"/>
    <w:rsid w:val="6F043A8A"/>
    <w:rsid w:val="6F18782D"/>
    <w:rsid w:val="6F225983"/>
    <w:rsid w:val="6F2F1805"/>
    <w:rsid w:val="6F583666"/>
    <w:rsid w:val="6F651447"/>
    <w:rsid w:val="6F71097A"/>
    <w:rsid w:val="6F9D1DA6"/>
    <w:rsid w:val="6FAB0E82"/>
    <w:rsid w:val="6FD26F3F"/>
    <w:rsid w:val="6FEB7142"/>
    <w:rsid w:val="6FF670D1"/>
    <w:rsid w:val="6FFC5590"/>
    <w:rsid w:val="70042157"/>
    <w:rsid w:val="701265B1"/>
    <w:rsid w:val="70266A24"/>
    <w:rsid w:val="702875E2"/>
    <w:rsid w:val="703B0F88"/>
    <w:rsid w:val="70653096"/>
    <w:rsid w:val="706648C2"/>
    <w:rsid w:val="706D1DD0"/>
    <w:rsid w:val="706F2F57"/>
    <w:rsid w:val="70856B87"/>
    <w:rsid w:val="708C17E3"/>
    <w:rsid w:val="70A40BE9"/>
    <w:rsid w:val="70BD199D"/>
    <w:rsid w:val="70D527EE"/>
    <w:rsid w:val="70F03B20"/>
    <w:rsid w:val="71067165"/>
    <w:rsid w:val="7130580C"/>
    <w:rsid w:val="714A6657"/>
    <w:rsid w:val="71595953"/>
    <w:rsid w:val="715B5300"/>
    <w:rsid w:val="71A87F57"/>
    <w:rsid w:val="71D27F8A"/>
    <w:rsid w:val="71D90A58"/>
    <w:rsid w:val="720552D6"/>
    <w:rsid w:val="72231B21"/>
    <w:rsid w:val="72440F45"/>
    <w:rsid w:val="72477770"/>
    <w:rsid w:val="724A6876"/>
    <w:rsid w:val="72553024"/>
    <w:rsid w:val="72A65FE5"/>
    <w:rsid w:val="72AF4117"/>
    <w:rsid w:val="73017D83"/>
    <w:rsid w:val="73122968"/>
    <w:rsid w:val="731F5D5E"/>
    <w:rsid w:val="73327082"/>
    <w:rsid w:val="737444BA"/>
    <w:rsid w:val="73C51AD5"/>
    <w:rsid w:val="73D17C39"/>
    <w:rsid w:val="73FB2F08"/>
    <w:rsid w:val="73FD46B4"/>
    <w:rsid w:val="7400478C"/>
    <w:rsid w:val="740D2C3B"/>
    <w:rsid w:val="7413635E"/>
    <w:rsid w:val="741E793C"/>
    <w:rsid w:val="744D4DE6"/>
    <w:rsid w:val="74500D80"/>
    <w:rsid w:val="745E3944"/>
    <w:rsid w:val="748F53FE"/>
    <w:rsid w:val="74C57072"/>
    <w:rsid w:val="75335A08"/>
    <w:rsid w:val="75427091"/>
    <w:rsid w:val="755B7885"/>
    <w:rsid w:val="759F5B15"/>
    <w:rsid w:val="75A1363B"/>
    <w:rsid w:val="75A95796"/>
    <w:rsid w:val="75D7492C"/>
    <w:rsid w:val="75F34CA7"/>
    <w:rsid w:val="7635099D"/>
    <w:rsid w:val="76402E54"/>
    <w:rsid w:val="76417F54"/>
    <w:rsid w:val="767D11E7"/>
    <w:rsid w:val="767F06B8"/>
    <w:rsid w:val="769136B0"/>
    <w:rsid w:val="76A100CB"/>
    <w:rsid w:val="76B22F6D"/>
    <w:rsid w:val="76BB53E9"/>
    <w:rsid w:val="76DF3974"/>
    <w:rsid w:val="76EB6C30"/>
    <w:rsid w:val="774D0C67"/>
    <w:rsid w:val="774E57D5"/>
    <w:rsid w:val="77762421"/>
    <w:rsid w:val="777B7560"/>
    <w:rsid w:val="779B52FD"/>
    <w:rsid w:val="779C6A71"/>
    <w:rsid w:val="77A5731F"/>
    <w:rsid w:val="77B56B1F"/>
    <w:rsid w:val="77C91A05"/>
    <w:rsid w:val="77CF28E7"/>
    <w:rsid w:val="780F09F4"/>
    <w:rsid w:val="78160042"/>
    <w:rsid w:val="78375964"/>
    <w:rsid w:val="786A240A"/>
    <w:rsid w:val="78880923"/>
    <w:rsid w:val="78883343"/>
    <w:rsid w:val="788A6608"/>
    <w:rsid w:val="78A90480"/>
    <w:rsid w:val="78AB0948"/>
    <w:rsid w:val="78B84848"/>
    <w:rsid w:val="78BB1B99"/>
    <w:rsid w:val="78CF7861"/>
    <w:rsid w:val="78D67AA0"/>
    <w:rsid w:val="78D84463"/>
    <w:rsid w:val="793303EF"/>
    <w:rsid w:val="79635F47"/>
    <w:rsid w:val="798676AF"/>
    <w:rsid w:val="79961B88"/>
    <w:rsid w:val="79974758"/>
    <w:rsid w:val="79975481"/>
    <w:rsid w:val="799D4281"/>
    <w:rsid w:val="79AB2CDA"/>
    <w:rsid w:val="79B06543"/>
    <w:rsid w:val="79D51B05"/>
    <w:rsid w:val="79E955B1"/>
    <w:rsid w:val="7A22410F"/>
    <w:rsid w:val="7A364017"/>
    <w:rsid w:val="7A376F02"/>
    <w:rsid w:val="7A772BBC"/>
    <w:rsid w:val="7A8265E1"/>
    <w:rsid w:val="7A8552D9"/>
    <w:rsid w:val="7A9943E3"/>
    <w:rsid w:val="7AA469C2"/>
    <w:rsid w:val="7AE55D78"/>
    <w:rsid w:val="7AE83ABA"/>
    <w:rsid w:val="7AFA1B89"/>
    <w:rsid w:val="7B243F06"/>
    <w:rsid w:val="7B3764F0"/>
    <w:rsid w:val="7B686D42"/>
    <w:rsid w:val="7B6F425C"/>
    <w:rsid w:val="7B841746"/>
    <w:rsid w:val="7BA8201E"/>
    <w:rsid w:val="7BDF243B"/>
    <w:rsid w:val="7BEE7C9B"/>
    <w:rsid w:val="7BFE7322"/>
    <w:rsid w:val="7C1032C9"/>
    <w:rsid w:val="7C2559E9"/>
    <w:rsid w:val="7C6C5AC7"/>
    <w:rsid w:val="7C7515C0"/>
    <w:rsid w:val="7C7A7E03"/>
    <w:rsid w:val="7CA5314C"/>
    <w:rsid w:val="7CC6544B"/>
    <w:rsid w:val="7CC851B8"/>
    <w:rsid w:val="7CC92247"/>
    <w:rsid w:val="7CE87DA1"/>
    <w:rsid w:val="7D0239FF"/>
    <w:rsid w:val="7D5E40CD"/>
    <w:rsid w:val="7D8442EE"/>
    <w:rsid w:val="7DA43CC8"/>
    <w:rsid w:val="7DCD56F2"/>
    <w:rsid w:val="7DF6029C"/>
    <w:rsid w:val="7E075BE0"/>
    <w:rsid w:val="7E0F579C"/>
    <w:rsid w:val="7E152423"/>
    <w:rsid w:val="7E221091"/>
    <w:rsid w:val="7E264AC7"/>
    <w:rsid w:val="7E2F5B58"/>
    <w:rsid w:val="7E3B2F1E"/>
    <w:rsid w:val="7E4F2B60"/>
    <w:rsid w:val="7E5C5697"/>
    <w:rsid w:val="7E6B7EE1"/>
    <w:rsid w:val="7E7C69F3"/>
    <w:rsid w:val="7E9C4FE5"/>
    <w:rsid w:val="7EBA17D7"/>
    <w:rsid w:val="7EC909DF"/>
    <w:rsid w:val="7ED90074"/>
    <w:rsid w:val="7ED92098"/>
    <w:rsid w:val="7EF81322"/>
    <w:rsid w:val="7F001CE7"/>
    <w:rsid w:val="7F007624"/>
    <w:rsid w:val="7F1D5577"/>
    <w:rsid w:val="7F246657"/>
    <w:rsid w:val="7F54786E"/>
    <w:rsid w:val="7F5A511F"/>
    <w:rsid w:val="7F635EC5"/>
    <w:rsid w:val="7FDB313B"/>
    <w:rsid w:val="7FE1060F"/>
    <w:rsid w:val="7FE231C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outlineLvl w:val="1"/>
    </w:pPr>
    <w:rPr>
      <w:rFonts w:ascii="Arial" w:hAnsi="Arial" w:eastAsia="黑体"/>
      <w:b/>
      <w:bCs/>
      <w:sz w:val="28"/>
      <w:szCs w:val="32"/>
    </w:rPr>
  </w:style>
  <w:style w:type="paragraph" w:styleId="2">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unhideWhenUsed/>
    <w:qFormat/>
    <w:locked/>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28">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3"/>
    <w:next w:val="1"/>
    <w:qFormat/>
    <w:locked/>
    <w:uiPriority w:val="0"/>
    <w:pPr>
      <w:widowControl w:val="0"/>
      <w:autoSpaceDE w:val="0"/>
      <w:autoSpaceDN w:val="0"/>
      <w:spacing w:line="288" w:lineRule="auto"/>
      <w:ind w:left="1260" w:hanging="420"/>
      <w:jc w:val="both"/>
    </w:pPr>
    <w:rPr>
      <w:rFonts w:ascii="Times New Roman" w:hAnsi="Times New Roman" w:eastAsia="宋体" w:cs="Times New Roman"/>
      <w:kern w:val="2"/>
      <w:sz w:val="24"/>
      <w:szCs w:val="21"/>
      <w:lang w:val="en-US" w:eastAsia="zh-CN" w:bidi="ar-SA"/>
    </w:rPr>
  </w:style>
  <w:style w:type="paragraph" w:styleId="7">
    <w:name w:val="toc 7"/>
    <w:basedOn w:val="1"/>
    <w:next w:val="1"/>
    <w:qFormat/>
    <w:locked/>
    <w:uiPriority w:val="0"/>
    <w:pPr>
      <w:widowControl w:val="0"/>
      <w:autoSpaceDE/>
      <w:autoSpaceDN/>
      <w:spacing w:before="0" w:after="0" w:line="240" w:lineRule="auto"/>
      <w:ind w:left="2520" w:firstLine="0"/>
      <w:jc w:val="both"/>
    </w:pPr>
    <w:rPr>
      <w:rFonts w:ascii="Times New Roman" w:eastAsia="宋体"/>
      <w:sz w:val="21"/>
    </w:rPr>
  </w:style>
  <w:style w:type="paragraph" w:styleId="8">
    <w:name w:val="Normal Indent"/>
    <w:basedOn w:val="1"/>
    <w:next w:val="1"/>
    <w:qFormat/>
    <w:locked/>
    <w:uiPriority w:val="0"/>
    <w:pPr>
      <w:adjustRightInd w:val="0"/>
      <w:snapToGrid w:val="0"/>
      <w:spacing w:line="300" w:lineRule="auto"/>
    </w:pPr>
    <w:rPr>
      <w:rFonts w:ascii="FangSong_GB2312" w:eastAsia="FangSong_GB2312"/>
      <w:sz w:val="28"/>
    </w:rPr>
  </w:style>
  <w:style w:type="paragraph" w:styleId="9">
    <w:name w:val="annotation text"/>
    <w:basedOn w:val="1"/>
    <w:link w:val="38"/>
    <w:semiHidden/>
    <w:qFormat/>
    <w:uiPriority w:val="0"/>
    <w:pPr>
      <w:jc w:val="left"/>
    </w:pPr>
    <w:rPr>
      <w:kern w:val="0"/>
      <w:sz w:val="24"/>
      <w:szCs w:val="20"/>
    </w:rPr>
  </w:style>
  <w:style w:type="paragraph" w:styleId="10">
    <w:name w:val="Salutation"/>
    <w:basedOn w:val="1"/>
    <w:next w:val="1"/>
    <w:qFormat/>
    <w:locked/>
    <w:uiPriority w:val="0"/>
    <w:pPr>
      <w:adjustRightInd w:val="0"/>
      <w:spacing w:line="360" w:lineRule="atLeast"/>
      <w:textAlignment w:val="baseline"/>
    </w:pPr>
    <w:rPr>
      <w:rFonts w:ascii="宋体" w:hAnsi="华文宋体" w:eastAsia="宋体" w:cs="Times New Roman"/>
      <w:sz w:val="28"/>
      <w:szCs w:val="24"/>
    </w:rPr>
  </w:style>
  <w:style w:type="paragraph" w:styleId="11">
    <w:name w:val="Body Text"/>
    <w:basedOn w:val="1"/>
    <w:next w:val="1"/>
    <w:link w:val="39"/>
    <w:qFormat/>
    <w:uiPriority w:val="0"/>
    <w:pPr>
      <w:widowControl/>
      <w:snapToGrid w:val="0"/>
      <w:spacing w:before="60" w:after="160" w:line="259" w:lineRule="auto"/>
      <w:ind w:right="113"/>
    </w:pPr>
    <w:rPr>
      <w:kern w:val="0"/>
      <w:sz w:val="18"/>
      <w:szCs w:val="20"/>
    </w:rPr>
  </w:style>
  <w:style w:type="paragraph" w:styleId="12">
    <w:name w:val="Body Text Indent"/>
    <w:basedOn w:val="1"/>
    <w:link w:val="40"/>
    <w:qFormat/>
    <w:uiPriority w:val="0"/>
    <w:pPr>
      <w:spacing w:after="120"/>
      <w:ind w:left="420" w:leftChars="200"/>
    </w:pPr>
    <w:rPr>
      <w:kern w:val="0"/>
      <w:sz w:val="24"/>
      <w:szCs w:val="20"/>
    </w:rPr>
  </w:style>
  <w:style w:type="paragraph" w:styleId="13">
    <w:name w:val="Plain Text"/>
    <w:basedOn w:val="1"/>
    <w:next w:val="14"/>
    <w:qFormat/>
    <w:locked/>
    <w:uiPriority w:val="99"/>
    <w:rPr>
      <w:rFonts w:ascii="宋体" w:hAnsi="Courier New"/>
      <w:sz w:val="21"/>
      <w:szCs w:val="24"/>
    </w:rPr>
  </w:style>
  <w:style w:type="paragraph" w:styleId="14">
    <w:name w:val="toc 1"/>
    <w:basedOn w:val="1"/>
    <w:next w:val="1"/>
    <w:qFormat/>
    <w:locked/>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15">
    <w:name w:val="Date"/>
    <w:basedOn w:val="1"/>
    <w:next w:val="1"/>
    <w:link w:val="41"/>
    <w:qFormat/>
    <w:uiPriority w:val="0"/>
    <w:pPr>
      <w:ind w:left="100" w:leftChars="2500"/>
    </w:pPr>
    <w:rPr>
      <w:kern w:val="0"/>
      <w:sz w:val="24"/>
      <w:szCs w:val="20"/>
    </w:rPr>
  </w:style>
  <w:style w:type="paragraph" w:styleId="16">
    <w:name w:val="Balloon Text"/>
    <w:basedOn w:val="1"/>
    <w:link w:val="42"/>
    <w:semiHidden/>
    <w:qFormat/>
    <w:uiPriority w:val="0"/>
    <w:rPr>
      <w:kern w:val="0"/>
      <w:sz w:val="18"/>
      <w:szCs w:val="20"/>
    </w:rPr>
  </w:style>
  <w:style w:type="paragraph" w:styleId="17">
    <w:name w:val="footer"/>
    <w:basedOn w:val="1"/>
    <w:link w:val="43"/>
    <w:qFormat/>
    <w:uiPriority w:val="99"/>
    <w:pPr>
      <w:tabs>
        <w:tab w:val="center" w:pos="4153"/>
        <w:tab w:val="right" w:pos="8306"/>
      </w:tabs>
      <w:snapToGrid w:val="0"/>
      <w:jc w:val="left"/>
    </w:pPr>
    <w:rPr>
      <w:kern w:val="0"/>
      <w:sz w:val="18"/>
      <w:szCs w:val="20"/>
    </w:rPr>
  </w:style>
  <w:style w:type="paragraph" w:styleId="18">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qFormat/>
    <w:locked/>
    <w:uiPriority w:val="0"/>
    <w:rPr>
      <w:szCs w:val="20"/>
    </w:rPr>
  </w:style>
  <w:style w:type="paragraph" w:styleId="20">
    <w:name w:val="index 1"/>
    <w:basedOn w:val="1"/>
    <w:next w:val="1"/>
    <w:qFormat/>
    <w:locked/>
    <w:uiPriority w:val="0"/>
    <w:pPr>
      <w:widowControl/>
      <w:adjustRightInd w:val="0"/>
      <w:snapToGrid w:val="0"/>
      <w:spacing w:line="0" w:lineRule="atLeast"/>
      <w:jc w:val="center"/>
    </w:pPr>
    <w:rPr>
      <w:kern w:val="0"/>
      <w:szCs w:val="24"/>
      <w:lang w:eastAsia="en-US" w:bidi="en-US"/>
    </w:rPr>
  </w:style>
  <w:style w:type="paragraph" w:styleId="21">
    <w:name w:val="List"/>
    <w:basedOn w:val="1"/>
    <w:unhideWhenUsed/>
    <w:qFormat/>
    <w:locked/>
    <w:uiPriority w:val="0"/>
    <w:pPr>
      <w:spacing w:line="400" w:lineRule="exact"/>
      <w:jc w:val="center"/>
    </w:pPr>
    <w:rPr>
      <w:rFonts w:ascii="宋体" w:hAnsi="宋体"/>
      <w:sz w:val="24"/>
      <w:szCs w:val="20"/>
    </w:rPr>
  </w:style>
  <w:style w:type="paragraph" w:styleId="22">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6"/>
    <w:semiHidden/>
    <w:qFormat/>
    <w:uiPriority w:val="0"/>
    <w:rPr>
      <w:b/>
      <w:sz w:val="24"/>
      <w:szCs w:val="20"/>
    </w:rPr>
  </w:style>
  <w:style w:type="paragraph" w:styleId="24">
    <w:name w:val="Body Text First Indent"/>
    <w:basedOn w:val="11"/>
    <w:qFormat/>
    <w:locked/>
    <w:uiPriority w:val="0"/>
    <w:pPr>
      <w:widowControl/>
      <w:adjustRightInd w:val="0"/>
      <w:snapToGrid w:val="0"/>
      <w:ind w:firstLine="420" w:firstLineChars="100"/>
    </w:pPr>
    <w:rPr>
      <w:sz w:val="28"/>
      <w:szCs w:val="24"/>
      <w:lang w:eastAsia="en-US" w:bidi="en-US"/>
    </w:rPr>
  </w:style>
  <w:style w:type="paragraph" w:styleId="25">
    <w:name w:val="Body Text First Indent 2"/>
    <w:basedOn w:val="1"/>
    <w:next w:val="1"/>
    <w:qFormat/>
    <w:locked/>
    <w:uiPriority w:val="0"/>
    <w:pPr>
      <w:spacing w:before="60" w:after="120"/>
      <w:ind w:left="420" w:firstLine="210"/>
    </w:pPr>
    <w:rPr>
      <w:rFonts w:ascii="Times New Roman" w:eastAsia="宋体"/>
      <w:color w:val="auto"/>
      <w:kern w:val="0"/>
      <w:sz w:val="18"/>
      <w:szCs w:val="24"/>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basedOn w:val="28"/>
    <w:qFormat/>
    <w:locked/>
    <w:uiPriority w:val="0"/>
  </w:style>
  <w:style w:type="character" w:styleId="31">
    <w:name w:val="FollowedHyperlink"/>
    <w:basedOn w:val="28"/>
    <w:qFormat/>
    <w:locked/>
    <w:uiPriority w:val="0"/>
    <w:rPr>
      <w:color w:val="185ECF"/>
      <w:u w:val="none"/>
    </w:rPr>
  </w:style>
  <w:style w:type="character" w:styleId="32">
    <w:name w:val="Emphasis"/>
    <w:basedOn w:val="28"/>
    <w:qFormat/>
    <w:locked/>
    <w:uiPriority w:val="0"/>
    <w:rPr>
      <w:i/>
    </w:rPr>
  </w:style>
  <w:style w:type="character" w:styleId="33">
    <w:name w:val="Hyperlink"/>
    <w:basedOn w:val="28"/>
    <w:unhideWhenUsed/>
    <w:qFormat/>
    <w:locked/>
    <w:uiPriority w:val="0"/>
    <w:rPr>
      <w:color w:val="136EC2"/>
      <w:u w:val="single"/>
    </w:rPr>
  </w:style>
  <w:style w:type="character" w:styleId="34">
    <w:name w:val="annotation reference"/>
    <w:semiHidden/>
    <w:qFormat/>
    <w:uiPriority w:val="0"/>
    <w:rPr>
      <w:sz w:val="21"/>
    </w:rPr>
  </w:style>
  <w:style w:type="paragraph" w:customStyle="1" w:styleId="35">
    <w:name w:val="Default"/>
    <w:basedOn w:val="36"/>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36">
    <w:name w:val="标题 段落4级"/>
    <w:basedOn w:val="37"/>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7">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38">
    <w:name w:val="批注文字 Char"/>
    <w:link w:val="9"/>
    <w:qFormat/>
    <w:locked/>
    <w:uiPriority w:val="0"/>
    <w:rPr>
      <w:rFonts w:ascii="Times New Roman" w:hAnsi="Times New Roman" w:eastAsia="宋体"/>
      <w:sz w:val="24"/>
    </w:rPr>
  </w:style>
  <w:style w:type="character" w:customStyle="1" w:styleId="39">
    <w:name w:val="正文文本 Char"/>
    <w:link w:val="11"/>
    <w:qFormat/>
    <w:locked/>
    <w:uiPriority w:val="0"/>
    <w:rPr>
      <w:sz w:val="18"/>
    </w:rPr>
  </w:style>
  <w:style w:type="character" w:customStyle="1" w:styleId="40">
    <w:name w:val="正文文本缩进 Char"/>
    <w:link w:val="12"/>
    <w:semiHidden/>
    <w:qFormat/>
    <w:locked/>
    <w:uiPriority w:val="0"/>
    <w:rPr>
      <w:rFonts w:ascii="Times New Roman" w:hAnsi="Times New Roman" w:eastAsia="宋体"/>
      <w:sz w:val="24"/>
    </w:rPr>
  </w:style>
  <w:style w:type="character" w:customStyle="1" w:styleId="41">
    <w:name w:val="日期 Char"/>
    <w:link w:val="15"/>
    <w:qFormat/>
    <w:locked/>
    <w:uiPriority w:val="0"/>
    <w:rPr>
      <w:rFonts w:ascii="Times New Roman" w:hAnsi="Times New Roman" w:eastAsia="宋体"/>
      <w:sz w:val="24"/>
    </w:rPr>
  </w:style>
  <w:style w:type="character" w:customStyle="1" w:styleId="42">
    <w:name w:val="批注框文本 Char"/>
    <w:link w:val="16"/>
    <w:semiHidden/>
    <w:qFormat/>
    <w:locked/>
    <w:uiPriority w:val="0"/>
    <w:rPr>
      <w:rFonts w:ascii="Times New Roman" w:hAnsi="Times New Roman" w:eastAsia="宋体"/>
      <w:sz w:val="18"/>
    </w:rPr>
  </w:style>
  <w:style w:type="character" w:customStyle="1" w:styleId="43">
    <w:name w:val="页脚 Char"/>
    <w:link w:val="17"/>
    <w:qFormat/>
    <w:locked/>
    <w:uiPriority w:val="99"/>
    <w:rPr>
      <w:sz w:val="18"/>
    </w:rPr>
  </w:style>
  <w:style w:type="character" w:customStyle="1" w:styleId="44">
    <w:name w:val="页眉 Char"/>
    <w:link w:val="18"/>
    <w:qFormat/>
    <w:locked/>
    <w:uiPriority w:val="0"/>
    <w:rPr>
      <w:sz w:val="18"/>
    </w:rPr>
  </w:style>
  <w:style w:type="character" w:customStyle="1" w:styleId="45">
    <w:name w:val="普通(网站) Char"/>
    <w:link w:val="22"/>
    <w:qFormat/>
    <w:locked/>
    <w:uiPriority w:val="0"/>
    <w:rPr>
      <w:rFonts w:ascii="宋体" w:hAnsi="宋体" w:eastAsia="宋体"/>
      <w:sz w:val="24"/>
    </w:rPr>
  </w:style>
  <w:style w:type="character" w:customStyle="1" w:styleId="46">
    <w:name w:val="批注主题 Char"/>
    <w:link w:val="23"/>
    <w:semiHidden/>
    <w:qFormat/>
    <w:locked/>
    <w:uiPriority w:val="0"/>
    <w:rPr>
      <w:rFonts w:ascii="Times New Roman" w:hAnsi="Times New Roman" w:eastAsia="宋体"/>
      <w:b/>
      <w:kern w:val="2"/>
      <w:sz w:val="24"/>
    </w:rPr>
  </w:style>
  <w:style w:type="paragraph" w:customStyle="1" w:styleId="47">
    <w:name w:val="样式1"/>
    <w:basedOn w:val="19"/>
    <w:next w:val="1"/>
    <w:qFormat/>
    <w:uiPriority w:val="0"/>
    <w:pPr>
      <w:widowControl/>
      <w:adjustRightInd w:val="0"/>
      <w:snapToGrid w:val="0"/>
      <w:jc w:val="center"/>
    </w:pPr>
    <w:rPr>
      <w:rFonts w:ascii="宋体" w:hAnsi="宋体"/>
      <w:spacing w:val="-12"/>
      <w:kern w:val="0"/>
      <w:szCs w:val="28"/>
      <w:lang w:eastAsia="en-US" w:bidi="en-US"/>
    </w:rPr>
  </w:style>
  <w:style w:type="paragraph" w:customStyle="1" w:styleId="48">
    <w:name w:val="0正文"/>
    <w:basedOn w:val="22"/>
    <w:qFormat/>
    <w:uiPriority w:val="0"/>
    <w:pPr>
      <w:spacing w:before="0" w:beforeAutospacing="0" w:after="0" w:afterAutospacing="0"/>
      <w:ind w:firstLine="482"/>
      <w:jc w:val="both"/>
    </w:pPr>
    <w:rPr>
      <w:rFonts w:ascii="Times New Roman" w:hAnsi="Times New Roman"/>
      <w:kern w:val="2"/>
    </w:rPr>
  </w:style>
  <w:style w:type="paragraph" w:customStyle="1" w:styleId="49">
    <w:name w:val="样式35"/>
    <w:basedOn w:val="1"/>
    <w:next w:val="1"/>
    <w:qFormat/>
    <w:uiPriority w:val="0"/>
    <w:pPr>
      <w:spacing w:line="312" w:lineRule="auto"/>
      <w:ind w:firstLine="567"/>
    </w:pPr>
    <w:rPr>
      <w:rFonts w:ascii="宋体"/>
      <w:sz w:val="28"/>
    </w:rPr>
  </w:style>
  <w:style w:type="character" w:customStyle="1" w:styleId="50">
    <w:name w:val="日期 字符"/>
    <w:semiHidden/>
    <w:qFormat/>
    <w:uiPriority w:val="0"/>
    <w:rPr>
      <w:rFonts w:ascii="Times New Roman" w:hAnsi="Times New Roman" w:eastAsia="宋体"/>
      <w:sz w:val="24"/>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页脚 字符"/>
    <w:basedOn w:val="28"/>
    <w:qFormat/>
    <w:uiPriority w:val="99"/>
  </w:style>
  <w:style w:type="character" w:customStyle="1" w:styleId="54">
    <w:name w:val="表格 Char"/>
    <w:link w:val="55"/>
    <w:qFormat/>
    <w:locked/>
    <w:uiPriority w:val="0"/>
    <w:rPr>
      <w:rFonts w:ascii="宋体"/>
      <w:sz w:val="21"/>
    </w:rPr>
  </w:style>
  <w:style w:type="paragraph" w:customStyle="1" w:styleId="55">
    <w:name w:val="表格"/>
    <w:basedOn w:val="47"/>
    <w:next w:val="1"/>
    <w:link w:val="54"/>
    <w:qFormat/>
    <w:uiPriority w:val="0"/>
    <w:pPr>
      <w:adjustRightInd w:val="0"/>
      <w:snapToGrid w:val="0"/>
      <w:spacing w:beforeLines="10" w:afterLines="10" w:line="259" w:lineRule="auto"/>
      <w:jc w:val="center"/>
    </w:pPr>
    <w:rPr>
      <w:rFonts w:ascii="宋体"/>
      <w:kern w:val="0"/>
      <w:szCs w:val="20"/>
    </w:rPr>
  </w:style>
  <w:style w:type="paragraph" w:customStyle="1" w:styleId="56">
    <w:name w:val="图表"/>
    <w:basedOn w:val="1"/>
    <w:qFormat/>
    <w:uiPriority w:val="0"/>
    <w:pPr>
      <w:adjustRightInd w:val="0"/>
      <w:snapToGrid w:val="0"/>
      <w:spacing w:line="240" w:lineRule="auto"/>
      <w:ind w:firstLine="0" w:firstLineChars="0"/>
      <w:jc w:val="center"/>
    </w:pPr>
    <w:rPr>
      <w:color w:val="000000"/>
      <w:sz w:val="21"/>
      <w:szCs w:val="21"/>
      <w:lang w:val="zh-CN"/>
    </w:rPr>
  </w:style>
  <w:style w:type="paragraph" w:customStyle="1" w:styleId="57">
    <w:name w:val="样式 表文字 + 左侧:  -0.85 厘米"/>
    <w:basedOn w:val="1"/>
    <w:qFormat/>
    <w:uiPriority w:val="0"/>
    <w:pPr>
      <w:widowControl/>
      <w:spacing w:line="240" w:lineRule="auto"/>
      <w:ind w:firstLine="0" w:firstLineChars="0"/>
      <w:jc w:val="center"/>
    </w:pPr>
    <w:rPr>
      <w:rFonts w:ascii="Arial" w:hAnsi="Arial" w:eastAsia="FangSong_GB2312" w:cs="宋体"/>
      <w:kern w:val="0"/>
      <w:sz w:val="21"/>
    </w:rPr>
  </w:style>
  <w:style w:type="paragraph" w:customStyle="1" w:styleId="58">
    <w:name w:val="表头"/>
    <w:basedOn w:val="59"/>
    <w:qFormat/>
    <w:uiPriority w:val="0"/>
    <w:pPr>
      <w:spacing w:line="240" w:lineRule="auto"/>
      <w:ind w:firstLine="422"/>
      <w:jc w:val="center"/>
    </w:pPr>
    <w:rPr>
      <w:sz w:val="21"/>
      <w:szCs w:val="21"/>
    </w:rPr>
  </w:style>
  <w:style w:type="paragraph" w:customStyle="1" w:styleId="59">
    <w:name w:val="图、表"/>
    <w:basedOn w:val="1"/>
    <w:qFormat/>
    <w:uiPriority w:val="0"/>
    <w:pPr>
      <w:jc w:val="center"/>
    </w:pPr>
    <w:rPr>
      <w:b/>
    </w:rPr>
  </w:style>
  <w:style w:type="paragraph" w:customStyle="1" w:styleId="60">
    <w:name w:val="表标题"/>
    <w:next w:val="1"/>
    <w:qFormat/>
    <w:uiPriority w:val="0"/>
    <w:pPr>
      <w:spacing w:before="60"/>
      <w:jc w:val="center"/>
    </w:pPr>
    <w:rPr>
      <w:rFonts w:ascii="Calibri" w:hAnsi="Calibri" w:eastAsia="宋体" w:cs="Times New Roman"/>
      <w:b/>
      <w:kern w:val="2"/>
      <w:sz w:val="24"/>
      <w:szCs w:val="24"/>
      <w:lang w:val="en-US" w:eastAsia="zh-CN" w:bidi="ar-SA"/>
    </w:rPr>
  </w:style>
  <w:style w:type="paragraph" w:customStyle="1" w:styleId="61">
    <w:name w:val="表格内文字"/>
    <w:basedOn w:val="1"/>
    <w:qFormat/>
    <w:uiPriority w:val="0"/>
    <w:pPr>
      <w:tabs>
        <w:tab w:val="left" w:pos="0"/>
      </w:tabs>
      <w:adjustRightInd w:val="0"/>
      <w:snapToGrid w:val="0"/>
      <w:jc w:val="center"/>
    </w:pPr>
    <w:rPr>
      <w:spacing w:val="4"/>
      <w:kern w:val="18"/>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表格1"/>
    <w:basedOn w:val="1"/>
    <w:qFormat/>
    <w:uiPriority w:val="0"/>
    <w:pPr>
      <w:adjustRightInd w:val="0"/>
      <w:snapToGrid w:val="0"/>
      <w:spacing w:line="240" w:lineRule="auto"/>
      <w:ind w:firstLine="0" w:firstLineChars="0"/>
      <w:jc w:val="center"/>
    </w:pPr>
    <w:rPr>
      <w:sz w:val="21"/>
      <w:szCs w:val="21"/>
    </w:rPr>
  </w:style>
  <w:style w:type="paragraph" w:customStyle="1" w:styleId="64">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65">
    <w:name w:val="表格文字2"/>
    <w:basedOn w:val="66"/>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66">
    <w:name w:val="表格文字"/>
    <w:basedOn w:val="13"/>
    <w:qFormat/>
    <w:uiPriority w:val="0"/>
    <w:pPr>
      <w:widowControl/>
      <w:adjustRightInd w:val="0"/>
      <w:snapToGrid w:val="0"/>
      <w:jc w:val="center"/>
    </w:pPr>
    <w:rPr>
      <w:rFonts w:ascii="FangSong_GB2312" w:hAnsi="Arial Black" w:eastAsia="FangSong_GB2312"/>
      <w:kern w:val="44"/>
      <w:szCs w:val="24"/>
      <w:lang w:eastAsia="en-US" w:bidi="en-US"/>
    </w:rPr>
  </w:style>
  <w:style w:type="paragraph" w:customStyle="1" w:styleId="67">
    <w:name w:val="引用1"/>
    <w:basedOn w:val="1"/>
    <w:next w:val="1"/>
    <w:qFormat/>
    <w:uiPriority w:val="29"/>
    <w:pPr>
      <w:widowControl/>
      <w:adjustRightInd w:val="0"/>
      <w:snapToGrid w:val="0"/>
    </w:pPr>
    <w:rPr>
      <w:i/>
      <w:kern w:val="0"/>
      <w:szCs w:val="24"/>
      <w:lang w:eastAsia="en-US" w:bidi="en-US"/>
    </w:rPr>
  </w:style>
  <w:style w:type="paragraph" w:customStyle="1" w:styleId="68">
    <w:name w:val="新正文"/>
    <w:basedOn w:val="1"/>
    <w:qFormat/>
    <w:uiPriority w:val="0"/>
    <w:pPr>
      <w:spacing w:line="480" w:lineRule="exact"/>
      <w:ind w:firstLine="567"/>
    </w:pPr>
    <w:rPr>
      <w:rFonts w:ascii="FangSong_GB2312" w:eastAsia="FangSong_GB2312"/>
      <w:bCs/>
      <w:kern w:val="0"/>
      <w:sz w:val="28"/>
      <w:szCs w:val="21"/>
    </w:rPr>
  </w:style>
  <w:style w:type="paragraph" w:customStyle="1" w:styleId="69">
    <w:name w:val="!正文"/>
    <w:basedOn w:val="1"/>
    <w:qFormat/>
    <w:uiPriority w:val="0"/>
    <w:pPr>
      <w:tabs>
        <w:tab w:val="left" w:pos="840"/>
      </w:tabs>
      <w:spacing w:line="312" w:lineRule="auto"/>
      <w:ind w:firstLine="200" w:firstLineChars="200"/>
    </w:pPr>
    <w:rPr>
      <w:sz w:val="24"/>
    </w:rPr>
  </w:style>
  <w:style w:type="paragraph" w:customStyle="1" w:styleId="70">
    <w:name w:val="CM10"/>
    <w:basedOn w:val="1"/>
    <w:next w:val="1"/>
    <w:qFormat/>
    <w:uiPriority w:val="0"/>
    <w:pPr>
      <w:autoSpaceDE w:val="0"/>
      <w:autoSpaceDN w:val="0"/>
      <w:adjustRightInd w:val="0"/>
      <w:spacing w:line="560" w:lineRule="atLeast"/>
      <w:ind w:firstLine="0" w:firstLineChars="0"/>
      <w:jc w:val="left"/>
    </w:pPr>
    <w:rPr>
      <w:rFonts w:ascii="..ì." w:eastAsia="..ì."/>
      <w:kern w:val="0"/>
      <w:szCs w:val="24"/>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首行缩进"/>
    <w:basedOn w:val="1"/>
    <w:qFormat/>
    <w:uiPriority w:val="0"/>
    <w:pPr>
      <w:adjustRightInd w:val="0"/>
      <w:snapToGrid w:val="0"/>
      <w:ind w:firstLine="480"/>
    </w:pPr>
    <w:rPr>
      <w:szCs w:val="24"/>
    </w:rPr>
  </w:style>
  <w:style w:type="paragraph" w:customStyle="1" w:styleId="73">
    <w:name w:val="样式 宋体 小四 两端对齐 首行缩进:  0.85 厘米 行距: 1.5 倍行距"/>
    <w:basedOn w:val="1"/>
    <w:qFormat/>
    <w:uiPriority w:val="0"/>
    <w:pPr>
      <w:widowControl/>
      <w:ind w:firstLine="482" w:firstLineChars="0"/>
    </w:pPr>
    <w:rPr>
      <w:kern w:val="0"/>
      <w:szCs w:val="24"/>
    </w:rPr>
  </w:style>
  <w:style w:type="paragraph" w:customStyle="1" w:styleId="74">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character" w:customStyle="1" w:styleId="75">
    <w:name w:val="font01"/>
    <w:basedOn w:val="28"/>
    <w:qFormat/>
    <w:uiPriority w:val="0"/>
    <w:rPr>
      <w:rFonts w:hint="eastAsia" w:ascii="宋体" w:hAnsi="宋体" w:eastAsia="宋体" w:cs="宋体"/>
      <w:color w:val="000000"/>
      <w:sz w:val="24"/>
      <w:szCs w:val="24"/>
      <w:u w:val="none"/>
    </w:rPr>
  </w:style>
  <w:style w:type="paragraph" w:customStyle="1" w:styleId="76">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77">
    <w:name w:val="NormalCharacter"/>
    <w:semiHidden/>
    <w:qFormat/>
    <w:uiPriority w:val="0"/>
    <w:rPr>
      <w:kern w:val="2"/>
      <w:sz w:val="21"/>
      <w:szCs w:val="24"/>
      <w:lang w:val="en-US" w:eastAsia="zh-CN" w:bidi="ar-SA"/>
    </w:rPr>
  </w:style>
  <w:style w:type="paragraph" w:customStyle="1" w:styleId="78">
    <w:name w:val="Table Paragraph"/>
    <w:basedOn w:val="1"/>
    <w:qFormat/>
    <w:uiPriority w:val="0"/>
    <w:pPr>
      <w:spacing w:line="360" w:lineRule="auto"/>
      <w:ind w:firstLine="200" w:firstLineChars="200"/>
      <w:jc w:val="center"/>
    </w:pPr>
    <w:rPr>
      <w:rFonts w:ascii="宋体" w:hAnsi="宋体" w:cs="宋体"/>
      <w:snapToGrid/>
      <w:kern w:val="2"/>
      <w:sz w:val="24"/>
      <w:szCs w:val="24"/>
    </w:rPr>
  </w:style>
  <w:style w:type="paragraph" w:customStyle="1" w:styleId="79">
    <w:name w:val="样式 样式 正文缩进正文（首行缩进两字） Char Char Char Char Char Char Char表格标题标题4文...."/>
    <w:basedOn w:val="80"/>
    <w:qFormat/>
    <w:uiPriority w:val="0"/>
  </w:style>
  <w:style w:type="paragraph" w:customStyle="1" w:styleId="80">
    <w:name w:val="样式 正文缩进正文（首行缩进两字） Char Char Char Char Char Char Char表格标题标题4文..."/>
    <w:basedOn w:val="8"/>
    <w:qFormat/>
    <w:uiPriority w:val="99"/>
    <w:pPr>
      <w:overflowPunct w:val="0"/>
      <w:adjustRightInd w:val="0"/>
      <w:snapToGrid w:val="0"/>
      <w:spacing w:line="500" w:lineRule="exact"/>
      <w:ind w:firstLine="200" w:firstLineChars="200"/>
      <w:jc w:val="left"/>
    </w:pPr>
    <w:rPr>
      <w:rFonts w:ascii="宋体" w:hAnsi="宋体" w:eastAsia="仿宋_GB2312" w:cs="宋体"/>
      <w:sz w:val="28"/>
    </w:rPr>
  </w:style>
  <w:style w:type="paragraph" w:customStyle="1" w:styleId="81">
    <w:name w:val="报告表格"/>
    <w:basedOn w:val="1"/>
    <w:qFormat/>
    <w:uiPriority w:val="0"/>
    <w:pPr>
      <w:autoSpaceDE w:val="0"/>
      <w:autoSpaceDN w:val="0"/>
      <w:adjustRightInd w:val="0"/>
      <w:spacing w:before="40" w:after="40"/>
      <w:jc w:val="center"/>
    </w:pPr>
    <w:rPr>
      <w:rFonts w:ascii="Times New Roman" w:hAnsi="Times New Roman" w:eastAsia="宋体" w:cs="Times New Roman"/>
      <w:kern w:val="0"/>
      <w:szCs w:val="20"/>
    </w:rPr>
  </w:style>
  <w:style w:type="paragraph" w:customStyle="1" w:styleId="82">
    <w:name w:val="zl正文"/>
    <w:basedOn w:val="1"/>
    <w:qFormat/>
    <w:uiPriority w:val="0"/>
    <w:pPr>
      <w:spacing w:line="360" w:lineRule="auto"/>
      <w:ind w:firstLine="480" w:firstLineChars="200"/>
    </w:pPr>
    <w:rPr>
      <w:sz w:val="24"/>
      <w:szCs w:val="24"/>
    </w:rPr>
  </w:style>
  <w:style w:type="paragraph" w:customStyle="1" w:styleId="83">
    <w:name w:val="环评"/>
    <w:basedOn w:val="1"/>
    <w:qFormat/>
    <w:uiPriority w:val="0"/>
    <w:pPr>
      <w:adjustRightInd w:val="0"/>
      <w:snapToGrid w:val="0"/>
      <w:spacing w:line="360" w:lineRule="auto"/>
      <w:ind w:firstLine="360" w:firstLineChars="200"/>
    </w:pPr>
    <w:rPr>
      <w:szCs w:val="18"/>
    </w:rPr>
  </w:style>
  <w:style w:type="paragraph" w:customStyle="1" w:styleId="84">
    <w:name w:val="表文"/>
    <w:basedOn w:val="1"/>
    <w:qFormat/>
    <w:uiPriority w:val="0"/>
    <w:pPr>
      <w:adjustRightInd w:val="0"/>
      <w:snapToGrid w:val="0"/>
      <w:jc w:val="center"/>
    </w:pPr>
    <w:rPr>
      <w:sz w:val="18"/>
      <w:szCs w:val="21"/>
    </w:rPr>
  </w:style>
  <w:style w:type="character" w:customStyle="1" w:styleId="85">
    <w:name w:val="checkbox"/>
    <w:basedOn w:val="28"/>
    <w:qFormat/>
    <w:uiPriority w:val="0"/>
  </w:style>
  <w:style w:type="character" w:customStyle="1" w:styleId="86">
    <w:name w:val="shenbao"/>
    <w:basedOn w:val="28"/>
    <w:qFormat/>
    <w:uiPriority w:val="0"/>
    <w:rPr>
      <w:color w:val="EF6334"/>
    </w:rPr>
  </w:style>
  <w:style w:type="character" w:customStyle="1" w:styleId="87">
    <w:name w:val="chakan"/>
    <w:basedOn w:val="28"/>
    <w:qFormat/>
    <w:uiPriority w:val="0"/>
    <w:rPr>
      <w:color w:val="0064EA"/>
    </w:rPr>
  </w:style>
  <w:style w:type="paragraph" w:styleId="88">
    <w:name w:val="List Paragraph"/>
    <w:basedOn w:val="1"/>
    <w:qFormat/>
    <w:uiPriority w:val="34"/>
    <w:pPr>
      <w:ind w:firstLine="420"/>
    </w:pPr>
    <w:rPr>
      <w:szCs w:val="24"/>
    </w:rPr>
  </w:style>
  <w:style w:type="paragraph" w:customStyle="1" w:styleId="89">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szCs w:val="24"/>
    </w:rPr>
  </w:style>
  <w:style w:type="paragraph" w:customStyle="1" w:styleId="90">
    <w:name w:val="正文-lcc"/>
    <w:basedOn w:val="1"/>
    <w:qFormat/>
    <w:uiPriority w:val="0"/>
    <w:pPr>
      <w:snapToGrid w:val="0"/>
    </w:pPr>
    <w:rPr>
      <w:rFonts w:eastAsia="仿宋"/>
      <w:color w:val="000000"/>
      <w:szCs w:val="24"/>
    </w:rPr>
  </w:style>
  <w:style w:type="paragraph" w:customStyle="1" w:styleId="91">
    <w:name w:val="正文_8"/>
    <w:qFormat/>
    <w:uiPriority w:val="0"/>
    <w:pPr>
      <w:widowControl w:val="0"/>
      <w:jc w:val="both"/>
    </w:pPr>
    <w:rPr>
      <w:rFonts w:ascii="Calibri" w:hAnsi="Calibri" w:eastAsia="宋体" w:cs="Times New Roman"/>
      <w:kern w:val="2"/>
      <w:sz w:val="21"/>
      <w:lang w:val="en-US" w:eastAsia="zh-CN" w:bidi="ar-SA"/>
    </w:rPr>
  </w:style>
  <w:style w:type="paragraph" w:customStyle="1" w:styleId="92">
    <w:name w:val="表格标题1"/>
    <w:basedOn w:val="1"/>
    <w:qFormat/>
    <w:uiPriority w:val="0"/>
    <w:pPr>
      <w:ind w:firstLine="0" w:firstLineChars="0"/>
      <w:jc w:val="center"/>
    </w:pPr>
    <w:rPr>
      <w:b/>
    </w:rPr>
  </w:style>
  <w:style w:type="paragraph" w:customStyle="1" w:styleId="93">
    <w:name w:val="样式 表格 + 加粗"/>
    <w:basedOn w:val="55"/>
    <w:qFormat/>
    <w:uiPriority w:val="0"/>
  </w:style>
  <w:style w:type="paragraph" w:customStyle="1" w:styleId="94">
    <w:name w:val="样式2"/>
    <w:basedOn w:val="95"/>
    <w:qFormat/>
    <w:uiPriority w:val="99"/>
    <w:pPr>
      <w:tabs>
        <w:tab w:val="left" w:pos="480"/>
        <w:tab w:val="right" w:leader="dot" w:pos="8100"/>
        <w:tab w:val="right" w:leader="dot" w:pos="8302"/>
        <w:tab w:val="right" w:leader="dot" w:pos="9061"/>
      </w:tabs>
      <w:ind w:right="200" w:rightChars="200"/>
    </w:pPr>
    <w:rPr>
      <w:b w:val="0"/>
      <w:szCs w:val="28"/>
    </w:rPr>
  </w:style>
  <w:style w:type="paragraph" w:customStyle="1" w:styleId="95">
    <w:name w:val="目录 11"/>
    <w:basedOn w:val="1"/>
    <w:next w:val="1"/>
    <w:qFormat/>
    <w:uiPriority w:val="0"/>
    <w:pPr>
      <w:widowControl w:val="0"/>
      <w:tabs>
        <w:tab w:val="left" w:pos="480"/>
        <w:tab w:val="right" w:leader="dot" w:pos="9061"/>
      </w:tabs>
      <w:jc w:val="center"/>
    </w:pPr>
    <w:rPr>
      <w:rFonts w:ascii="Calibri" w:hAnsi="Calibri" w:cs="Calibri"/>
      <w:b/>
      <w:bCs/>
      <w:caps/>
      <w:kern w:val="2"/>
      <w:sz w:val="20"/>
      <w:szCs w:val="20"/>
    </w:rPr>
  </w:style>
  <w:style w:type="character" w:customStyle="1" w:styleId="96">
    <w:name w:val="font11"/>
    <w:basedOn w:val="28"/>
    <w:qFormat/>
    <w:uiPriority w:val="0"/>
    <w:rPr>
      <w:rFonts w:hint="eastAsia" w:ascii="宋体" w:hAnsi="宋体" w:eastAsia="宋体" w:cs="宋体"/>
      <w:b/>
      <w:bCs/>
      <w:color w:val="000000"/>
      <w:sz w:val="21"/>
      <w:szCs w:val="21"/>
      <w:u w:val="none"/>
    </w:rPr>
  </w:style>
  <w:style w:type="character" w:customStyle="1" w:styleId="97">
    <w:name w:val="font41"/>
    <w:basedOn w:val="28"/>
    <w:qFormat/>
    <w:uiPriority w:val="0"/>
    <w:rPr>
      <w:rFonts w:hint="default" w:ascii="Times New Roman" w:hAnsi="Times New Roman" w:cs="Times New Roman"/>
      <w:b/>
      <w:bCs/>
      <w:color w:val="000000"/>
      <w:sz w:val="21"/>
      <w:szCs w:val="21"/>
      <w:u w:val="none"/>
    </w:rPr>
  </w:style>
  <w:style w:type="character" w:customStyle="1" w:styleId="98">
    <w:name w:val="font31"/>
    <w:basedOn w:val="28"/>
    <w:qFormat/>
    <w:uiPriority w:val="0"/>
    <w:rPr>
      <w:rFonts w:hint="default" w:ascii="Times New Roman" w:hAnsi="Times New Roman" w:cs="Times New Roman"/>
      <w:color w:val="000000"/>
      <w:sz w:val="21"/>
      <w:szCs w:val="21"/>
      <w:u w:val="none"/>
    </w:rPr>
  </w:style>
  <w:style w:type="character" w:customStyle="1" w:styleId="99">
    <w:name w:val="font21"/>
    <w:basedOn w:val="28"/>
    <w:qFormat/>
    <w:uiPriority w:val="0"/>
    <w:rPr>
      <w:rFonts w:hint="eastAsia" w:ascii="宋体" w:hAnsi="宋体" w:eastAsia="宋体" w:cs="宋体"/>
      <w:color w:val="000000"/>
      <w:sz w:val="21"/>
      <w:szCs w:val="21"/>
      <w:u w:val="none"/>
    </w:rPr>
  </w:style>
  <w:style w:type="paragraph" w:customStyle="1" w:styleId="100">
    <w:name w:val="表格正文"/>
    <w:basedOn w:val="1"/>
    <w:qFormat/>
    <w:uiPriority w:val="0"/>
    <w:pPr>
      <w:autoSpaceDE w:val="0"/>
      <w:autoSpaceDN w:val="0"/>
      <w:adjustRightInd w:val="0"/>
      <w:snapToGrid/>
      <w:spacing w:line="360" w:lineRule="auto"/>
      <w:ind w:firstLine="1440" w:firstLineChars="200"/>
      <w:jc w:val="left"/>
    </w:pPr>
    <w:rPr>
      <w:rFonts w:hint="eastAsia" w:ascii="Times New Roman" w:hAnsi="Times New Roman" w:eastAsia="宋体" w:cs="Times New Roman"/>
      <w:color w:val="auto"/>
      <w:spacing w:val="-1"/>
      <w:kern w:val="0"/>
      <w:szCs w:val="21"/>
    </w:rPr>
  </w:style>
  <w:style w:type="paragraph" w:customStyle="1" w:styleId="101">
    <w:name w:val="正文 首行缩进:  2 字符"/>
    <w:basedOn w:val="1"/>
    <w:qFormat/>
    <w:uiPriority w:val="0"/>
    <w:pPr>
      <w:adjustRightInd w:val="0"/>
      <w:snapToGrid w:val="0"/>
      <w:spacing w:line="500" w:lineRule="exact"/>
      <w:ind w:firstLine="480"/>
    </w:pPr>
    <w:rPr>
      <w:rFonts w:eastAsia="楷体_GB2312"/>
    </w:rPr>
  </w:style>
  <w:style w:type="paragraph" w:customStyle="1" w:styleId="10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2NzM0MzczODcwIiwKCSJHcm91cElkIiA6ICI1OTM5NzQyOTEiLAoJIkltYWdlIiA6ICJpVkJPUncwS0dnb0FBQUFOU1VoRVVnQUFBelFBQUFON0NBWUFBQUNUZk4vT0FBQUFBWE5TUjBJQXJzNGM2UUFBSUFCSlJFRlVlSnpzM1hsY1Rmbi9CL0RYdWZlMkNoR05raWFSaU5LTkdMdVlZVEMySW10OE1iYXhMMk1yUkdoR2xzaFl4cEJsN0lUc1MyVVpzcVZTU2lSUnFWUktpKzZ0MnoyL1AzVFByOU85TnpmN21QZno4WmpIb3o3bmM4NzUzR2JtM3ZzK244L24vUV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"/>
    </extobj>
    <extobj name="ECB019B1-382A-4266-B25C-5B523AA43C14-2">
      <extobjdata type="ECB019B1-382A-4266-B25C-5B523AA43C14" data="ewoJIkZpbGVJZCIgOiAiMzc5MDQ0OTE2NTY1IiwKCSJHcm91cElkIiA6ICI1OTM5NzQyOTEiLAoJIkltYWdlIiA6ICJpVkJPUncwS0dnb0FBQUFOU1VoRVVnQUFBNGNBQUFIZUNBWUFBQUFvODM2QUFBQUFBWE5TUjBJQXJzNGM2UUFBSUFCSlJFRlVlSnpzM1hsNFU4WDZCL0R2bkNUZHl5YTBDRVVxRnBDdHpVbFJFVVhGSytJRkVVVkZXUVVVMEIrS0xJSUlLTElJSWdvWEZBUlpaQk5VQkdWUkZDNmdiQ3JZcGkyVVhTaFFXU3Qwb3kxcGN1YjNSNXJjcGtuYXRCVEw4djA4RDArVHM4NHBtZWE4WjJiZUFZ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UxYOGYwN0FHdVFTc1lTUEFBQUFBRWxGVGtTdVFtQ0MiLAoJIlRoZW1lIiA6ICIiLAoJIlR5cGUiIDogImZsb3ciLAoJIlVzZXJJZCIgOiAiNTExMjQ0MzQ5IiwKCSJWZXJzaW9uIiA6ICI0NyIKfQo="/>
    </extobj>
    <extobj name="ECB019B1-382A-4266-B25C-5B523AA43C14-3">
      <extobjdata type="ECB019B1-382A-4266-B25C-5B523AA43C14" data="ewoJIkZpbGVJZCIgOiAiMjkzMzc4NjcxMDYxIiwKCSJHcm91cElkIiA6ICI1OTM5NzQyOTEiLAoJIkltYWdlIiA6ICJpVkJPUncwS0dnb0FBQUFOU1VoRVVnQUFBL0FBQUFMbUNBWUFBQURscDM4OEFBQUFBWE5TUjBJQXJzNGM2UUFBSUFCSlJFRlVlSnpzM1hsNFZPWFpQL0R2ZmM1a2hVUVFVRlJhc0VhRGdTVG5PWEd0dHE2dCtsUDZ1dFZxcllyaThyWjkxVzR1YmJYRlZ1cXIxVmI3YWwyN3FGUlJ0RnAzYlYycTFuM216RXdnZ3FhS0ZoUUZBZGt6bVhQdTN4OXpCb2ZKSkV3Q3lSRDRmcTZMaTh4em51ZWMreVNRbWZzOEcw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135</Pages>
  <Words>173</Words>
  <Characters>179</Characters>
  <Lines>1</Lines>
  <Paragraphs>1</Paragraphs>
  <TotalTime>893</TotalTime>
  <ScaleCrop>false</ScaleCrop>
  <LinksUpToDate>false</LinksUpToDate>
  <CharactersWithSpaces>232</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greatwall</cp:lastModifiedBy>
  <cp:lastPrinted>2025-03-24T15:34:00Z</cp:lastPrinted>
  <dcterms:modified xsi:type="dcterms:W3CDTF">2026-05-20T17:04:31Z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0C0A84AC3F814F7BA7F21E38FB51F5BD_13</vt:lpwstr>
  </property>
  <property fmtid="{D5CDD505-2E9C-101B-9397-08002B2CF9AE}" pid="4" name="KSOTemplateDocerSaveRecord">
    <vt:lpwstr>eyJoZGlkIjoiNmI3MjY2OGQxMDgzNWIxMWNhNDlkNzJmNzNlNGExZWEiLCJ1c2VySWQiOiI1MTEyNDQzNDkifQ==</vt:lpwstr>
  </property>
</Properties>
</file>