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2FE96">
      <w:pPr>
        <w:rPr>
          <w:rFonts w:ascii="仿宋_GB2312" w:hAnsi="仿宋_GB2312" w:eastAsia="仿宋_GB2312" w:cs="仿宋_GB2312"/>
          <w:color w:val="auto"/>
          <w:sz w:val="36"/>
          <w:szCs w:val="36"/>
        </w:rPr>
      </w:pPr>
    </w:p>
    <w:p w14:paraId="335FA49B">
      <w:pPr>
        <w:rPr>
          <w:rFonts w:ascii="仿宋_GB2312" w:hAnsi="仿宋_GB2312" w:eastAsia="仿宋_GB2312" w:cs="仿宋_GB2312"/>
          <w:color w:val="auto"/>
          <w:sz w:val="36"/>
          <w:szCs w:val="36"/>
        </w:rPr>
      </w:pPr>
    </w:p>
    <w:p w14:paraId="23FD1061">
      <w:pPr>
        <w:rPr>
          <w:rFonts w:ascii="仿宋_GB2312" w:hAnsi="仿宋_GB2312" w:eastAsia="仿宋_GB2312" w:cs="仿宋_GB2312"/>
          <w:color w:val="auto"/>
          <w:sz w:val="36"/>
          <w:szCs w:val="36"/>
        </w:rPr>
      </w:pPr>
    </w:p>
    <w:p w14:paraId="0EE4C50F">
      <w:pPr>
        <w:rPr>
          <w:rFonts w:ascii="仿宋_GB2312" w:hAnsi="仿宋_GB2312" w:eastAsia="仿宋_GB2312" w:cs="仿宋_GB2312"/>
          <w:color w:val="auto"/>
          <w:sz w:val="36"/>
          <w:szCs w:val="36"/>
        </w:rPr>
      </w:pPr>
    </w:p>
    <w:p w14:paraId="22060165">
      <w:pPr>
        <w:rPr>
          <w:rFonts w:hint="eastAsia" w:ascii="仿宋_GB2312" w:hAnsi="仿宋_GB2312" w:eastAsia="仿宋_GB2312" w:cs="仿宋_GB2312"/>
          <w:color w:val="auto"/>
          <w:sz w:val="36"/>
          <w:szCs w:val="36"/>
        </w:rPr>
      </w:pPr>
    </w:p>
    <w:p w14:paraId="6DD18277">
      <w:pPr>
        <w:adjustRightInd w:val="0"/>
        <w:snapToGrid w:val="0"/>
        <w:jc w:val="center"/>
        <w:outlineLvl w:val="0"/>
        <w:rPr>
          <w:rFonts w:hint="eastAsia" w:ascii="方正小标宋_GBK" w:eastAsia="方正小标宋_GBK"/>
          <w:bCs/>
          <w:color w:val="auto"/>
          <w:sz w:val="72"/>
          <w:szCs w:val="72"/>
        </w:rPr>
      </w:pPr>
      <w:r>
        <w:rPr>
          <w:rFonts w:hint="eastAsia" w:ascii="方正小标宋_GBK" w:eastAsia="方正小标宋_GBK"/>
          <w:bCs/>
          <w:color w:val="auto"/>
          <w:sz w:val="72"/>
          <w:szCs w:val="72"/>
        </w:rPr>
        <w:t>建设项目环境影响报告表</w:t>
      </w:r>
    </w:p>
    <w:p w14:paraId="4A5D4741">
      <w:pPr>
        <w:adjustRightInd w:val="0"/>
        <w:snapToGrid w:val="0"/>
        <w:spacing w:before="192" w:beforeLines="80"/>
        <w:jc w:val="center"/>
        <w:rPr>
          <w:rFonts w:hint="eastAsia" w:ascii="楷体_GB2312" w:eastAsia="楷体_GB2312"/>
          <w:bCs/>
          <w:color w:val="auto"/>
          <w:sz w:val="48"/>
          <w:szCs w:val="48"/>
        </w:rPr>
      </w:pPr>
      <w:r>
        <w:rPr>
          <w:rFonts w:hint="eastAsia" w:ascii="楷体_GB2312" w:eastAsia="楷体_GB2312"/>
          <w:bCs/>
          <w:color w:val="auto"/>
          <w:sz w:val="48"/>
          <w:szCs w:val="48"/>
        </w:rPr>
        <w:t>（污染影响类）</w:t>
      </w:r>
    </w:p>
    <w:p w14:paraId="457FBEB4">
      <w:pPr>
        <w:adjustRightInd w:val="0"/>
        <w:snapToGrid w:val="0"/>
        <w:spacing w:line="288" w:lineRule="auto"/>
        <w:jc w:val="center"/>
        <w:outlineLvl w:val="0"/>
        <w:rPr>
          <w:rFonts w:ascii="华文仿宋" w:hAnsi="华文仿宋" w:eastAsia="华文仿宋" w:cs="华文仿宋"/>
          <w:color w:val="auto"/>
          <w:kern w:val="44"/>
          <w:sz w:val="44"/>
          <w:szCs w:val="44"/>
        </w:rPr>
      </w:pPr>
    </w:p>
    <w:p w14:paraId="4A719100">
      <w:pPr>
        <w:jc w:val="center"/>
        <w:rPr>
          <w:rFonts w:eastAsia="仿宋"/>
          <w:color w:val="auto"/>
          <w:sz w:val="52"/>
          <w:szCs w:val="52"/>
        </w:rPr>
      </w:pPr>
    </w:p>
    <w:p w14:paraId="587D65D3">
      <w:pPr>
        <w:ind w:firstLine="1040"/>
        <w:rPr>
          <w:rFonts w:eastAsia="仿宋"/>
          <w:color w:val="auto"/>
          <w:sz w:val="44"/>
          <w:szCs w:val="44"/>
        </w:rPr>
      </w:pPr>
    </w:p>
    <w:p w14:paraId="6E707C38">
      <w:pPr>
        <w:ind w:firstLine="1040"/>
        <w:rPr>
          <w:rFonts w:eastAsia="仿宋"/>
          <w:color w:val="auto"/>
          <w:sz w:val="44"/>
          <w:szCs w:val="44"/>
        </w:rPr>
      </w:pPr>
    </w:p>
    <w:p w14:paraId="05078BB7">
      <w:pPr>
        <w:ind w:firstLine="1040"/>
        <w:rPr>
          <w:rFonts w:eastAsia="仿宋"/>
          <w:color w:val="auto"/>
          <w:sz w:val="44"/>
          <w:szCs w:val="44"/>
        </w:rPr>
      </w:pPr>
    </w:p>
    <w:p w14:paraId="38DB7104">
      <w:pPr>
        <w:adjustRightInd w:val="0"/>
        <w:snapToGrid w:val="0"/>
        <w:spacing w:line="288" w:lineRule="auto"/>
        <w:ind w:firstLine="720" w:firstLineChars="200"/>
        <w:jc w:val="both"/>
        <w:rPr>
          <w:rFonts w:hint="default" w:ascii="仿宋_GB2312" w:eastAsia="仿宋_GB2312"/>
          <w:color w:val="auto"/>
          <w:sz w:val="36"/>
          <w:szCs w:val="36"/>
          <w:u w:val="single"/>
          <w:lang w:val="en-US"/>
        </w:rPr>
      </w:pPr>
      <w:r>
        <w:rPr>
          <w:rFonts w:hint="eastAsia" w:ascii="仿宋_GB2312" w:eastAsia="仿宋_GB2312"/>
          <w:color w:val="auto"/>
          <w:sz w:val="36"/>
          <w:szCs w:val="36"/>
        </w:rPr>
        <w:t>项目名称：</w:t>
      </w:r>
      <w:r>
        <w:rPr>
          <w:rFonts w:hint="eastAsia" w:ascii="仿宋_GB2312" w:eastAsia="仿宋_GB2312"/>
          <w:color w:val="auto"/>
          <w:sz w:val="36"/>
          <w:szCs w:val="36"/>
          <w:u w:val="single"/>
          <w:lang w:val="en-US" w:eastAsia="zh-CN"/>
        </w:rPr>
        <w:t xml:space="preserve">    新增生物质热解气锅炉（备用）项目</w:t>
      </w:r>
    </w:p>
    <w:p w14:paraId="4EB14A1F">
      <w:pPr>
        <w:adjustRightInd w:val="0"/>
        <w:snapToGrid w:val="0"/>
        <w:spacing w:line="288" w:lineRule="auto"/>
        <w:ind w:firstLine="720" w:firstLineChars="200"/>
        <w:jc w:val="both"/>
        <w:rPr>
          <w:rFonts w:hint="default" w:ascii="仿宋_GB2312" w:eastAsia="仿宋_GB2312"/>
          <w:color w:val="auto"/>
          <w:sz w:val="36"/>
          <w:szCs w:val="36"/>
          <w:u w:val="single"/>
          <w:lang w:val="en-US"/>
        </w:rPr>
      </w:pPr>
      <w:r>
        <w:rPr>
          <w:rFonts w:hint="eastAsia" w:ascii="仿宋_GB2312" w:eastAsia="仿宋_GB2312"/>
          <w:color w:val="auto"/>
          <w:sz w:val="36"/>
          <w:szCs w:val="36"/>
        </w:rPr>
        <w:t>建设单位（盖章）：</w:t>
      </w:r>
      <w:r>
        <w:rPr>
          <w:rFonts w:hint="eastAsia" w:ascii="仿宋_GB2312" w:eastAsia="仿宋_GB2312"/>
          <w:color w:val="auto"/>
          <w:sz w:val="36"/>
          <w:szCs w:val="36"/>
          <w:u w:val="single"/>
          <w:lang w:eastAsia="zh-CN"/>
        </w:rPr>
        <w:t>如皋市协和印染有限公司</w:t>
      </w:r>
    </w:p>
    <w:p w14:paraId="42A502DC">
      <w:pPr>
        <w:adjustRightInd w:val="0"/>
        <w:snapToGrid w:val="0"/>
        <w:spacing w:line="288" w:lineRule="auto"/>
        <w:ind w:firstLine="720" w:firstLineChars="200"/>
        <w:jc w:val="both"/>
        <w:rPr>
          <w:rFonts w:hint="default" w:ascii="仿宋_GB2312" w:eastAsia="仿宋_GB2312"/>
          <w:color w:val="auto"/>
          <w:sz w:val="36"/>
          <w:szCs w:val="36"/>
          <w:u w:val="single"/>
          <w:lang w:val="en-US" w:eastAsia="zh-CN"/>
        </w:rPr>
      </w:pPr>
      <w:r>
        <w:rPr>
          <w:rFonts w:hint="eastAsia" w:ascii="仿宋_GB2312" w:eastAsia="仿宋_GB2312"/>
          <w:color w:val="auto"/>
          <w:sz w:val="36"/>
          <w:szCs w:val="36"/>
        </w:rPr>
        <w:t>编制日期：</w:t>
      </w:r>
      <w:r>
        <w:rPr>
          <w:rFonts w:hint="eastAsia" w:ascii="仿宋_GB2312" w:eastAsia="仿宋_GB2312"/>
          <w:color w:val="auto"/>
          <w:sz w:val="36"/>
          <w:szCs w:val="36"/>
          <w:u w:val="single"/>
          <w:lang w:val="en-US" w:eastAsia="zh-CN"/>
        </w:rPr>
        <w:t xml:space="preserve">        </w:t>
      </w:r>
      <w:r>
        <w:rPr>
          <w:rFonts w:hint="default" w:ascii="Times New Roman" w:hAnsi="Times New Roman" w:eastAsia="仿宋_GB2312" w:cs="Times New Roman"/>
          <w:color w:val="auto"/>
          <w:sz w:val="36"/>
          <w:szCs w:val="36"/>
          <w:u w:val="single"/>
          <w:lang w:val="en-US" w:eastAsia="zh-CN"/>
        </w:rPr>
        <w:t>202</w:t>
      </w:r>
      <w:r>
        <w:rPr>
          <w:rFonts w:hint="eastAsia" w:eastAsia="仿宋_GB2312" w:cs="Times New Roman"/>
          <w:color w:val="auto"/>
          <w:sz w:val="36"/>
          <w:szCs w:val="36"/>
          <w:u w:val="single"/>
          <w:lang w:val="en-US" w:eastAsia="zh-CN"/>
        </w:rPr>
        <w:t>5</w:t>
      </w:r>
      <w:r>
        <w:rPr>
          <w:rFonts w:hint="default" w:ascii="Times New Roman" w:hAnsi="Times New Roman" w:eastAsia="仿宋_GB2312" w:cs="Times New Roman"/>
          <w:color w:val="auto"/>
          <w:sz w:val="36"/>
          <w:szCs w:val="36"/>
          <w:u w:val="single"/>
          <w:lang w:val="en-US" w:eastAsia="zh-CN"/>
        </w:rPr>
        <w:t>年</w:t>
      </w:r>
      <w:r>
        <w:rPr>
          <w:rFonts w:hint="eastAsia" w:eastAsia="仿宋_GB2312" w:cs="Times New Roman"/>
          <w:color w:val="auto"/>
          <w:sz w:val="36"/>
          <w:szCs w:val="36"/>
          <w:u w:val="single"/>
          <w:lang w:val="en-US" w:eastAsia="zh-CN"/>
        </w:rPr>
        <w:t>3</w:t>
      </w:r>
      <w:r>
        <w:rPr>
          <w:rFonts w:hint="default" w:ascii="Times New Roman" w:hAnsi="Times New Roman" w:eastAsia="仿宋_GB2312" w:cs="Times New Roman"/>
          <w:color w:val="auto"/>
          <w:sz w:val="36"/>
          <w:szCs w:val="36"/>
          <w:u w:val="single"/>
          <w:lang w:val="en-US" w:eastAsia="zh-CN"/>
        </w:rPr>
        <w:t>月</w:t>
      </w:r>
      <w:r>
        <w:rPr>
          <w:rFonts w:hint="eastAsia" w:eastAsia="仿宋_GB2312" w:cs="Times New Roman"/>
          <w:color w:val="auto"/>
          <w:sz w:val="36"/>
          <w:szCs w:val="36"/>
          <w:u w:val="single"/>
          <w:lang w:val="en-US" w:eastAsia="zh-CN"/>
        </w:rPr>
        <w:t xml:space="preserve">               </w:t>
      </w:r>
    </w:p>
    <w:p w14:paraId="2F3BAC23">
      <w:pPr>
        <w:adjustRightInd w:val="0"/>
        <w:snapToGrid w:val="0"/>
        <w:spacing w:line="288" w:lineRule="auto"/>
        <w:ind w:firstLine="1040"/>
        <w:rPr>
          <w:rFonts w:ascii="仿宋_GB2312" w:eastAsia="仿宋_GB2312"/>
          <w:color w:val="auto"/>
          <w:sz w:val="36"/>
          <w:szCs w:val="36"/>
          <w:u w:val="single"/>
        </w:rPr>
      </w:pPr>
      <w:bookmarkStart w:id="0" w:name="_Hlk57884087"/>
    </w:p>
    <w:p w14:paraId="79D58AEA">
      <w:pPr>
        <w:adjustRightInd w:val="0"/>
        <w:snapToGrid w:val="0"/>
        <w:spacing w:line="288" w:lineRule="auto"/>
        <w:ind w:firstLine="1040"/>
        <w:rPr>
          <w:rFonts w:ascii="仿宋_GB2312" w:eastAsia="仿宋_GB2312"/>
          <w:color w:val="auto"/>
          <w:sz w:val="36"/>
          <w:szCs w:val="36"/>
        </w:rPr>
      </w:pPr>
    </w:p>
    <w:p w14:paraId="7E042DA5">
      <w:pPr>
        <w:adjustRightInd w:val="0"/>
        <w:snapToGrid w:val="0"/>
        <w:spacing w:line="288" w:lineRule="auto"/>
        <w:ind w:firstLine="1040"/>
        <w:rPr>
          <w:rFonts w:ascii="仿宋_GB2312" w:eastAsia="仿宋_GB2312"/>
          <w:color w:val="auto"/>
          <w:sz w:val="36"/>
          <w:szCs w:val="36"/>
        </w:rPr>
      </w:pPr>
    </w:p>
    <w:p w14:paraId="353A6DDF">
      <w:pPr>
        <w:adjustRightInd w:val="0"/>
        <w:snapToGrid w:val="0"/>
        <w:spacing w:line="288" w:lineRule="auto"/>
        <w:ind w:firstLine="1040"/>
        <w:rPr>
          <w:rFonts w:hint="eastAsia" w:ascii="仿宋_GB2312" w:eastAsia="仿宋_GB2312"/>
          <w:color w:val="auto"/>
          <w:sz w:val="36"/>
          <w:szCs w:val="36"/>
        </w:rPr>
      </w:pPr>
    </w:p>
    <w:p w14:paraId="7EC3EFD1">
      <w:pPr>
        <w:adjustRightInd w:val="0"/>
        <w:snapToGrid w:val="0"/>
        <w:spacing w:line="288" w:lineRule="auto"/>
        <w:ind w:firstLine="1040"/>
        <w:rPr>
          <w:rFonts w:hint="eastAsia" w:ascii="仿宋_GB2312" w:eastAsia="仿宋_GB2312"/>
          <w:color w:val="auto"/>
          <w:sz w:val="36"/>
          <w:szCs w:val="36"/>
        </w:rPr>
      </w:pPr>
    </w:p>
    <w:bookmarkEnd w:id="0"/>
    <w:p w14:paraId="70346ACC">
      <w:pPr>
        <w:adjustRightInd w:val="0"/>
        <w:snapToGrid w:val="0"/>
        <w:spacing w:line="288" w:lineRule="auto"/>
        <w:jc w:val="center"/>
        <w:rPr>
          <w:rFonts w:hint="eastAsia" w:ascii="楷体_GB2312" w:eastAsia="楷体_GB2312"/>
          <w:color w:val="auto"/>
          <w:sz w:val="36"/>
          <w:szCs w:val="36"/>
        </w:rPr>
      </w:pPr>
      <w:r>
        <w:rPr>
          <w:rFonts w:hint="eastAsia" w:ascii="楷体_GB2312" w:eastAsia="楷体_GB2312"/>
          <w:color w:val="auto"/>
          <w:sz w:val="36"/>
          <w:szCs w:val="36"/>
        </w:rPr>
        <w:t>中华人民共和国生态环境部制</w:t>
      </w:r>
    </w:p>
    <w:p w14:paraId="68A20780">
      <w:pPr>
        <w:adjustRightInd w:val="0"/>
        <w:snapToGrid w:val="0"/>
        <w:spacing w:line="288" w:lineRule="auto"/>
        <w:jc w:val="center"/>
        <w:rPr>
          <w:rFonts w:hint="eastAsia" w:ascii="楷体_GB2312" w:eastAsia="楷体_GB2312"/>
          <w:color w:val="auto"/>
          <w:sz w:val="36"/>
          <w:szCs w:val="36"/>
        </w:rPr>
      </w:pPr>
    </w:p>
    <w:p w14:paraId="58BBCAAC">
      <w:pPr>
        <w:adjustRightInd w:val="0"/>
        <w:snapToGrid w:val="0"/>
        <w:spacing w:line="288" w:lineRule="auto"/>
        <w:jc w:val="center"/>
        <w:rPr>
          <w:rFonts w:hint="eastAsia" w:ascii="楷体_GB2312" w:eastAsia="楷体_GB2312"/>
          <w:color w:val="auto"/>
          <w:sz w:val="36"/>
          <w:szCs w:val="36"/>
        </w:rPr>
      </w:pPr>
    </w:p>
    <w:p w14:paraId="03190306">
      <w:pPr>
        <w:adjustRightInd w:val="0"/>
        <w:snapToGrid w:val="0"/>
        <w:spacing w:line="288" w:lineRule="auto"/>
        <w:jc w:val="center"/>
        <w:rPr>
          <w:rFonts w:hint="eastAsia" w:ascii="楷体_GB2312" w:eastAsia="楷体_GB2312"/>
          <w:color w:val="auto"/>
          <w:sz w:val="36"/>
          <w:szCs w:val="36"/>
        </w:rPr>
      </w:pPr>
    </w:p>
    <w:p w14:paraId="6493E431">
      <w:pPr>
        <w:adjustRightInd w:val="0"/>
        <w:snapToGrid w:val="0"/>
        <w:spacing w:line="288" w:lineRule="auto"/>
        <w:ind w:firstLine="1040"/>
        <w:rPr>
          <w:rFonts w:ascii="仿宋_GB2312" w:eastAsia="仿宋_GB2312"/>
          <w:color w:val="auto"/>
          <w:sz w:val="36"/>
          <w:szCs w:val="36"/>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14:paraId="3F1D86AD">
      <w:pPr>
        <w:pStyle w:val="19"/>
        <w:jc w:val="center"/>
        <w:outlineLvl w:val="0"/>
        <w:rPr>
          <w:rFonts w:hint="eastAsia" w:ascii="黑体" w:hAnsi="黑体" w:eastAsia="黑体"/>
          <w:snapToGrid w:val="0"/>
          <w:color w:val="auto"/>
          <w:sz w:val="30"/>
          <w:szCs w:val="30"/>
        </w:rPr>
      </w:pPr>
      <w:r>
        <w:rPr>
          <w:rFonts w:hint="eastAsia" w:ascii="黑体" w:hAnsi="黑体" w:eastAsia="黑体"/>
          <w:snapToGrid w:val="0"/>
          <w:color w:val="auto"/>
          <w:sz w:val="30"/>
          <w:szCs w:val="30"/>
        </w:rPr>
        <w:t>一、建设项目基本情况</w:t>
      </w:r>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697"/>
        <w:gridCol w:w="2032"/>
        <w:gridCol w:w="2208"/>
        <w:gridCol w:w="2933"/>
      </w:tblGrid>
      <w:tr w14:paraId="6325A8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97" w:type="dxa"/>
            <w:noWrap w:val="0"/>
            <w:tcMar>
              <w:top w:w="16" w:type="dxa"/>
              <w:left w:w="16" w:type="dxa"/>
              <w:right w:w="16" w:type="dxa"/>
            </w:tcMar>
            <w:vAlign w:val="center"/>
          </w:tcPr>
          <w:p w14:paraId="4A65C437">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建设项目名称</w:t>
            </w:r>
          </w:p>
        </w:tc>
        <w:tc>
          <w:tcPr>
            <w:tcW w:w="7173" w:type="dxa"/>
            <w:gridSpan w:val="3"/>
            <w:noWrap w:val="0"/>
            <w:vAlign w:val="center"/>
          </w:tcPr>
          <w:p w14:paraId="61C9724F">
            <w:pPr>
              <w:adjustRightInd w:val="0"/>
              <w:snapToGrid w:val="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新增生物质热解气锅炉（备用）项目</w:t>
            </w:r>
          </w:p>
        </w:tc>
      </w:tr>
      <w:tr w14:paraId="1B8981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97" w:type="dxa"/>
            <w:noWrap w:val="0"/>
            <w:tcMar>
              <w:top w:w="16" w:type="dxa"/>
              <w:left w:w="16" w:type="dxa"/>
              <w:right w:w="16" w:type="dxa"/>
            </w:tcMar>
            <w:vAlign w:val="center"/>
          </w:tcPr>
          <w:p w14:paraId="2D3EB3A9">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项目代码</w:t>
            </w:r>
          </w:p>
        </w:tc>
        <w:tc>
          <w:tcPr>
            <w:tcW w:w="7173" w:type="dxa"/>
            <w:gridSpan w:val="3"/>
            <w:noWrap w:val="0"/>
            <w:vAlign w:val="center"/>
          </w:tcPr>
          <w:p w14:paraId="0F5A9264">
            <w:pPr>
              <w:adjustRightInd w:val="0"/>
              <w:snapToGrid w:val="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2501-320682-89-05-694791</w:t>
            </w:r>
          </w:p>
        </w:tc>
      </w:tr>
      <w:tr w14:paraId="3408F8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97" w:type="dxa"/>
            <w:noWrap w:val="0"/>
            <w:tcMar>
              <w:top w:w="16" w:type="dxa"/>
              <w:left w:w="16" w:type="dxa"/>
              <w:right w:w="16" w:type="dxa"/>
            </w:tcMar>
            <w:vAlign w:val="center"/>
          </w:tcPr>
          <w:p w14:paraId="39D29745">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建设单位联系人</w:t>
            </w:r>
          </w:p>
        </w:tc>
        <w:tc>
          <w:tcPr>
            <w:tcW w:w="2032" w:type="dxa"/>
            <w:noWrap w:val="0"/>
            <w:vAlign w:val="center"/>
          </w:tcPr>
          <w:p w14:paraId="22F099DB">
            <w:pPr>
              <w:adjustRightInd w:val="0"/>
              <w:snapToGrid w:val="0"/>
              <w:jc w:val="center"/>
              <w:rPr>
                <w:rFonts w:hint="default" w:ascii="Times New Roman" w:hAnsi="Times New Roman" w:eastAsia="宋体" w:cs="Times New Roman"/>
                <w:color w:val="auto"/>
                <w:szCs w:val="21"/>
                <w:lang w:val="en-US" w:eastAsia="zh-CN"/>
              </w:rPr>
            </w:pPr>
            <w:r>
              <w:rPr>
                <w:rFonts w:hint="eastAsia" w:cs="Times New Roman"/>
                <w:sz w:val="21"/>
                <w:szCs w:val="21"/>
                <w:lang w:val="en-US" w:eastAsia="zh-CN"/>
              </w:rPr>
              <w:t xml:space="preserve"> </w:t>
            </w:r>
          </w:p>
        </w:tc>
        <w:tc>
          <w:tcPr>
            <w:tcW w:w="2208" w:type="dxa"/>
            <w:noWrap w:val="0"/>
            <w:vAlign w:val="center"/>
          </w:tcPr>
          <w:p w14:paraId="2D160D22">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联系方式</w:t>
            </w:r>
          </w:p>
        </w:tc>
        <w:tc>
          <w:tcPr>
            <w:tcW w:w="2933" w:type="dxa"/>
            <w:noWrap w:val="0"/>
            <w:vAlign w:val="center"/>
          </w:tcPr>
          <w:p w14:paraId="4E9E153C">
            <w:pPr>
              <w:adjustRightInd w:val="0"/>
              <w:snapToGrid w:val="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 xml:space="preserve"> </w:t>
            </w:r>
            <w:bookmarkStart w:id="6" w:name="_GoBack"/>
            <w:bookmarkEnd w:id="6"/>
          </w:p>
        </w:tc>
      </w:tr>
      <w:tr w14:paraId="0096EC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97" w:type="dxa"/>
            <w:noWrap w:val="0"/>
            <w:tcMar>
              <w:top w:w="16" w:type="dxa"/>
              <w:left w:w="16" w:type="dxa"/>
              <w:right w:w="16" w:type="dxa"/>
            </w:tcMar>
            <w:vAlign w:val="center"/>
          </w:tcPr>
          <w:p w14:paraId="2C7E8F92">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建设地点</w:t>
            </w:r>
          </w:p>
        </w:tc>
        <w:tc>
          <w:tcPr>
            <w:tcW w:w="7173" w:type="dxa"/>
            <w:gridSpan w:val="3"/>
            <w:noWrap w:val="0"/>
            <w:vAlign w:val="center"/>
          </w:tcPr>
          <w:p w14:paraId="47AB4907">
            <w:pPr>
              <w:adjustRightInd w:val="0"/>
              <w:snapToGrid w:val="0"/>
              <w:jc w:val="center"/>
              <w:rPr>
                <w:rFonts w:hint="eastAsia" w:ascii="Times New Roman" w:hAnsi="Times New Roman" w:eastAsia="宋体" w:cs="Times New Roman"/>
                <w:color w:val="auto"/>
                <w:szCs w:val="21"/>
                <w:lang w:val="en-US" w:eastAsia="zh-CN"/>
              </w:rPr>
            </w:pPr>
            <w:r>
              <w:rPr>
                <w:rFonts w:hint="eastAsia"/>
                <w:color w:val="auto"/>
                <w:lang w:eastAsia="zh-CN"/>
              </w:rPr>
              <w:t>江苏省</w:t>
            </w:r>
            <w:r>
              <w:rPr>
                <w:rFonts w:hint="eastAsia"/>
                <w:color w:val="auto"/>
              </w:rPr>
              <w:t>如皋市</w:t>
            </w:r>
            <w:r>
              <w:rPr>
                <w:rFonts w:hint="eastAsia"/>
                <w:color w:val="auto"/>
                <w:lang w:eastAsia="zh-CN"/>
              </w:rPr>
              <w:t>如城镇中山东路58号</w:t>
            </w:r>
          </w:p>
        </w:tc>
      </w:tr>
      <w:tr w14:paraId="489393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97" w:type="dxa"/>
            <w:noWrap w:val="0"/>
            <w:tcMar>
              <w:top w:w="16" w:type="dxa"/>
              <w:left w:w="16" w:type="dxa"/>
              <w:right w:w="16" w:type="dxa"/>
            </w:tcMar>
            <w:vAlign w:val="center"/>
          </w:tcPr>
          <w:p w14:paraId="7DEB7018">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地理坐标</w:t>
            </w:r>
          </w:p>
        </w:tc>
        <w:tc>
          <w:tcPr>
            <w:tcW w:w="7173" w:type="dxa"/>
            <w:gridSpan w:val="3"/>
            <w:noWrap w:val="0"/>
            <w:vAlign w:val="center"/>
          </w:tcPr>
          <w:p w14:paraId="0F2D79AF">
            <w:pPr>
              <w:jc w:val="center"/>
              <w:rPr>
                <w:rFonts w:hint="default" w:ascii="Times New Roman" w:hAnsi="Times New Roman" w:cs="Times New Roman"/>
                <w:color w:val="auto"/>
                <w:szCs w:val="21"/>
              </w:rPr>
            </w:pPr>
            <w:r>
              <w:rPr>
                <w:rFonts w:hint="default" w:ascii="Times New Roman" w:hAnsi="Times New Roman" w:cs="Times New Roman"/>
                <w:color w:val="auto"/>
                <w:szCs w:val="21"/>
              </w:rPr>
              <w:t>（</w:t>
            </w:r>
            <w:r>
              <w:rPr>
                <w:rFonts w:hint="eastAsia" w:cs="Times New Roman"/>
                <w:color w:val="auto"/>
                <w:szCs w:val="21"/>
                <w:lang w:eastAsia="zh-CN"/>
              </w:rPr>
              <w:t>东经：</w:t>
            </w:r>
            <w:r>
              <w:rPr>
                <w:rFonts w:hint="default" w:ascii="Times New Roman" w:hAnsi="Times New Roman" w:cs="Times New Roman"/>
                <w:color w:val="auto"/>
                <w:szCs w:val="21"/>
                <w:u w:val="single"/>
                <w:lang w:val="en-US" w:eastAsia="zh-CN"/>
              </w:rPr>
              <w:t>120</w:t>
            </w:r>
            <w:r>
              <w:rPr>
                <w:rFonts w:hint="default" w:ascii="Times New Roman" w:hAnsi="Times New Roman" w:cs="Times New Roman"/>
                <w:color w:val="auto"/>
                <w:szCs w:val="21"/>
              </w:rPr>
              <w:t>度</w:t>
            </w:r>
            <w:r>
              <w:rPr>
                <w:rFonts w:hint="eastAsia" w:cs="Times New Roman"/>
                <w:color w:val="auto"/>
                <w:szCs w:val="21"/>
                <w:lang w:val="en-US" w:eastAsia="zh-CN"/>
              </w:rPr>
              <w:t>36</w:t>
            </w:r>
            <w:r>
              <w:rPr>
                <w:rFonts w:hint="default" w:ascii="Times New Roman" w:hAnsi="Times New Roman" w:cs="Times New Roman"/>
                <w:color w:val="auto"/>
                <w:szCs w:val="21"/>
              </w:rPr>
              <w:t>分</w:t>
            </w:r>
            <w:r>
              <w:rPr>
                <w:rFonts w:hint="eastAsia" w:cs="Times New Roman"/>
                <w:color w:val="auto"/>
                <w:szCs w:val="21"/>
                <w:u w:val="single"/>
                <w:lang w:val="en-US" w:eastAsia="zh-CN"/>
              </w:rPr>
              <w:t>0.088</w:t>
            </w:r>
            <w:r>
              <w:rPr>
                <w:rFonts w:hint="default" w:ascii="Times New Roman" w:hAnsi="Times New Roman" w:cs="Times New Roman"/>
                <w:color w:val="auto"/>
                <w:szCs w:val="21"/>
              </w:rPr>
              <w:t>秒，</w:t>
            </w:r>
            <w:r>
              <w:rPr>
                <w:rFonts w:hint="eastAsia" w:cs="Times New Roman"/>
                <w:color w:val="auto"/>
                <w:szCs w:val="21"/>
                <w:lang w:eastAsia="zh-CN"/>
              </w:rPr>
              <w:t>北纬：</w:t>
            </w:r>
            <w:r>
              <w:rPr>
                <w:rFonts w:hint="default" w:ascii="Times New Roman" w:hAnsi="Times New Roman" w:cs="Times New Roman"/>
                <w:color w:val="auto"/>
                <w:szCs w:val="21"/>
                <w:u w:val="single"/>
                <w:lang w:val="en-US" w:eastAsia="zh-CN"/>
              </w:rPr>
              <w:t>32</w:t>
            </w:r>
            <w:r>
              <w:rPr>
                <w:rFonts w:hint="default" w:ascii="Times New Roman" w:hAnsi="Times New Roman" w:cs="Times New Roman"/>
                <w:color w:val="auto"/>
                <w:szCs w:val="21"/>
              </w:rPr>
              <w:t>度</w:t>
            </w:r>
            <w:r>
              <w:rPr>
                <w:rFonts w:hint="eastAsia" w:cs="Times New Roman"/>
                <w:color w:val="auto"/>
                <w:szCs w:val="21"/>
                <w:u w:val="single"/>
                <w:lang w:val="en-US" w:eastAsia="zh-CN"/>
              </w:rPr>
              <w:t>24</w:t>
            </w:r>
            <w:r>
              <w:rPr>
                <w:rFonts w:hint="default" w:ascii="Times New Roman" w:hAnsi="Times New Roman" w:cs="Times New Roman"/>
                <w:color w:val="auto"/>
                <w:szCs w:val="21"/>
              </w:rPr>
              <w:t>分</w:t>
            </w:r>
            <w:r>
              <w:rPr>
                <w:rFonts w:hint="eastAsia" w:cs="Times New Roman"/>
                <w:color w:val="auto"/>
                <w:szCs w:val="21"/>
                <w:u w:val="single"/>
                <w:lang w:val="en-US" w:eastAsia="zh-CN"/>
              </w:rPr>
              <w:t>0.205</w:t>
            </w:r>
            <w:r>
              <w:rPr>
                <w:rFonts w:hint="default" w:ascii="Times New Roman" w:hAnsi="Times New Roman" w:cs="Times New Roman"/>
                <w:color w:val="auto"/>
                <w:szCs w:val="21"/>
              </w:rPr>
              <w:t>秒）</w:t>
            </w:r>
          </w:p>
        </w:tc>
      </w:tr>
      <w:tr w14:paraId="1E9520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697" w:type="dxa"/>
            <w:noWrap w:val="0"/>
            <w:tcMar>
              <w:top w:w="16" w:type="dxa"/>
              <w:left w:w="16" w:type="dxa"/>
              <w:right w:w="16" w:type="dxa"/>
            </w:tcMar>
            <w:vAlign w:val="center"/>
          </w:tcPr>
          <w:p w14:paraId="6209D94D">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国民经济</w:t>
            </w:r>
          </w:p>
          <w:p w14:paraId="6BE91F44">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行业类别</w:t>
            </w:r>
          </w:p>
        </w:tc>
        <w:tc>
          <w:tcPr>
            <w:tcW w:w="2032" w:type="dxa"/>
            <w:noWrap w:val="0"/>
            <w:vAlign w:val="center"/>
          </w:tcPr>
          <w:p w14:paraId="193F2CCC">
            <w:pPr>
              <w:adjustRightInd w:val="0"/>
              <w:snapToGrid w:val="0"/>
              <w:jc w:val="center"/>
              <w:rPr>
                <w:rFonts w:hint="default" w:ascii="Times New Roman" w:hAnsi="Times New Roman" w:eastAsia="宋体" w:cs="Times New Roman"/>
                <w:color w:val="auto"/>
                <w:szCs w:val="21"/>
                <w:lang w:val="en-US" w:eastAsia="zh-CN"/>
              </w:rPr>
            </w:pPr>
            <w:r>
              <w:rPr>
                <w:rFonts w:hint="eastAsia" w:cs="Times New Roman"/>
                <w:color w:val="auto"/>
                <w:szCs w:val="21"/>
                <w:lang w:eastAsia="zh-CN"/>
              </w:rPr>
              <w:t>（D4430）热力生产和供应</w:t>
            </w:r>
          </w:p>
        </w:tc>
        <w:tc>
          <w:tcPr>
            <w:tcW w:w="2208" w:type="dxa"/>
            <w:noWrap w:val="0"/>
            <w:vAlign w:val="center"/>
          </w:tcPr>
          <w:p w14:paraId="78FC4C04">
            <w:pPr>
              <w:adjustRightInd w:val="0"/>
              <w:snapToGrid w:val="0"/>
              <w:jc w:val="center"/>
              <w:rPr>
                <w:rFonts w:hint="default" w:ascii="Times New Roman" w:hAnsi="Times New Roman" w:cs="Times New Roman"/>
                <w:color w:val="auto"/>
                <w:szCs w:val="21"/>
              </w:rPr>
            </w:pPr>
            <w:bookmarkStart w:id="1" w:name="_Hlk49843745"/>
            <w:r>
              <w:rPr>
                <w:rFonts w:hint="default" w:ascii="Times New Roman" w:hAnsi="Times New Roman" w:cs="Times New Roman"/>
                <w:color w:val="auto"/>
                <w:szCs w:val="21"/>
              </w:rPr>
              <w:t>建设项目</w:t>
            </w:r>
          </w:p>
          <w:p w14:paraId="67ADF293">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行业类别</w:t>
            </w:r>
            <w:bookmarkEnd w:id="1"/>
          </w:p>
        </w:tc>
        <w:tc>
          <w:tcPr>
            <w:tcW w:w="2933" w:type="dxa"/>
            <w:noWrap w:val="0"/>
            <w:vAlign w:val="center"/>
          </w:tcPr>
          <w:p w14:paraId="046EAB7E">
            <w:pPr>
              <w:adjustRightInd w:val="0"/>
              <w:snapToGrid w:val="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四十一、电力、热力生产和供应业-91热力生产和供应工程（包括建设单位自建自用的供热工程）</w:t>
            </w:r>
          </w:p>
        </w:tc>
      </w:tr>
      <w:tr w14:paraId="4289DD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697" w:type="dxa"/>
            <w:noWrap w:val="0"/>
            <w:tcMar>
              <w:top w:w="16" w:type="dxa"/>
              <w:left w:w="16" w:type="dxa"/>
              <w:right w:w="16" w:type="dxa"/>
            </w:tcMar>
            <w:vAlign w:val="center"/>
          </w:tcPr>
          <w:p w14:paraId="7FB9BA49">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建设性质</w:t>
            </w:r>
          </w:p>
        </w:tc>
        <w:tc>
          <w:tcPr>
            <w:tcW w:w="2032" w:type="dxa"/>
            <w:noWrap w:val="0"/>
            <w:vAlign w:val="center"/>
          </w:tcPr>
          <w:p w14:paraId="75BEAF63">
            <w:pPr>
              <w:jc w:val="left"/>
              <w:rPr>
                <w:rFonts w:hint="default" w:ascii="Times New Roman" w:hAnsi="Times New Roman" w:cs="Times New Roman"/>
                <w:color w:val="auto"/>
                <w:szCs w:val="21"/>
              </w:rPr>
            </w:pPr>
            <w:r>
              <w:rPr>
                <w:rFonts w:hint="default" w:ascii="Times New Roman" w:hAnsi="Times New Roman" w:cs="Times New Roman"/>
                <w:color w:val="auto"/>
                <w:szCs w:val="21"/>
              </w:rPr>
              <w:sym w:font="Wingdings" w:char="00A8"/>
            </w:r>
            <w:r>
              <w:rPr>
                <w:rFonts w:hint="default" w:ascii="Times New Roman" w:hAnsi="Times New Roman" w:cs="Times New Roman"/>
                <w:color w:val="auto"/>
                <w:szCs w:val="21"/>
              </w:rPr>
              <w:t>新建（迁建）</w:t>
            </w:r>
          </w:p>
          <w:p w14:paraId="31805661">
            <w:pPr>
              <w:jc w:val="left"/>
              <w:rPr>
                <w:rFonts w:hint="default" w:ascii="Times New Roman" w:hAnsi="Times New Roman" w:cs="Times New Roman"/>
                <w:color w:val="auto"/>
                <w:szCs w:val="21"/>
              </w:rPr>
            </w:pPr>
            <w:r>
              <w:rPr>
                <w:rFonts w:hint="default" w:ascii="Times New Roman" w:hAnsi="Times New Roman" w:cs="Times New Roman"/>
                <w:color w:val="auto"/>
                <w:szCs w:val="21"/>
              </w:rPr>
              <w:sym w:font="Wingdings" w:char="00A8"/>
            </w:r>
            <w:r>
              <w:rPr>
                <w:rFonts w:hint="default" w:ascii="Times New Roman" w:hAnsi="Times New Roman" w:cs="Times New Roman"/>
                <w:color w:val="auto"/>
                <w:szCs w:val="21"/>
              </w:rPr>
              <w:t>改建</w:t>
            </w:r>
          </w:p>
          <w:p w14:paraId="2AABB9B4">
            <w:pPr>
              <w:jc w:val="left"/>
              <w:rPr>
                <w:rFonts w:hint="default" w:ascii="Times New Roman" w:hAnsi="Times New Roman" w:cs="Times New Roman"/>
                <w:color w:val="auto"/>
                <w:szCs w:val="21"/>
              </w:rPr>
            </w:pPr>
            <w:r>
              <w:rPr>
                <w:rFonts w:hint="default" w:ascii="Times New Roman" w:hAnsi="Times New Roman" w:cs="Times New Roman"/>
                <w:color w:val="auto"/>
                <w:szCs w:val="21"/>
              </w:rPr>
              <w:sym w:font="Wingdings" w:char="00A8"/>
            </w:r>
            <w:r>
              <w:rPr>
                <w:rFonts w:hint="default" w:ascii="Times New Roman" w:hAnsi="Times New Roman" w:cs="Times New Roman"/>
                <w:color w:val="auto"/>
                <w:szCs w:val="21"/>
              </w:rPr>
              <w:t>扩建</w:t>
            </w:r>
          </w:p>
          <w:p w14:paraId="6C4A1B39">
            <w:pPr>
              <w:jc w:val="left"/>
              <w:rPr>
                <w:rFonts w:hint="default" w:ascii="Times New Roman" w:hAnsi="Times New Roman" w:cs="Times New Roman"/>
                <w:color w:val="auto"/>
                <w:szCs w:val="21"/>
              </w:rPr>
            </w:pPr>
            <w:r>
              <w:rPr>
                <w:rFonts w:hint="default" w:ascii="Times New Roman" w:hAnsi="Times New Roman" w:cs="Times New Roman"/>
                <w:color w:val="auto"/>
                <w:szCs w:val="21"/>
              </w:rPr>
              <w:sym w:font="Wingdings" w:char="00FE"/>
            </w:r>
            <w:r>
              <w:rPr>
                <w:rFonts w:hint="default" w:ascii="Times New Roman" w:hAnsi="Times New Roman" w:cs="Times New Roman"/>
                <w:color w:val="auto"/>
                <w:szCs w:val="21"/>
              </w:rPr>
              <w:t>技术改造</w:t>
            </w:r>
          </w:p>
        </w:tc>
        <w:tc>
          <w:tcPr>
            <w:tcW w:w="2208" w:type="dxa"/>
            <w:noWrap w:val="0"/>
            <w:vAlign w:val="center"/>
          </w:tcPr>
          <w:p w14:paraId="0B38267D">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建设项目</w:t>
            </w:r>
          </w:p>
          <w:p w14:paraId="6C35903E">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申报情形</w:t>
            </w:r>
          </w:p>
        </w:tc>
        <w:tc>
          <w:tcPr>
            <w:tcW w:w="2933" w:type="dxa"/>
            <w:noWrap w:val="0"/>
            <w:vAlign w:val="center"/>
          </w:tcPr>
          <w:p w14:paraId="0DCFC1C4">
            <w:pPr>
              <w:jc w:val="left"/>
              <w:rPr>
                <w:rFonts w:hint="eastAsia" w:ascii="Times New Roman" w:hAnsi="Times New Roman" w:eastAsia="宋体" w:cs="Times New Roman"/>
                <w:color w:val="auto"/>
                <w:szCs w:val="21"/>
                <w:lang w:eastAsia="zh-CN"/>
              </w:rPr>
            </w:pPr>
            <w:r>
              <w:rPr>
                <w:rFonts w:hint="default" w:ascii="Times New Roman" w:hAnsi="Times New Roman" w:cs="Times New Roman"/>
                <w:color w:val="auto"/>
                <w:szCs w:val="21"/>
              </w:rPr>
              <w:sym w:font="Wingdings 2" w:char="0052"/>
            </w:r>
            <w:r>
              <w:rPr>
                <w:rFonts w:hint="default" w:ascii="Times New Roman" w:hAnsi="Times New Roman" w:cs="Times New Roman"/>
                <w:color w:val="auto"/>
                <w:szCs w:val="21"/>
              </w:rPr>
              <w:t>首次申报项目</w:t>
            </w:r>
          </w:p>
          <w:p w14:paraId="17ECE20A">
            <w:pPr>
              <w:jc w:val="left"/>
              <w:rPr>
                <w:rFonts w:hint="default" w:ascii="Times New Roman" w:hAnsi="Times New Roman" w:cs="Times New Roman"/>
                <w:color w:val="auto"/>
                <w:szCs w:val="21"/>
              </w:rPr>
            </w:pPr>
            <w:r>
              <w:rPr>
                <w:rFonts w:hint="default" w:ascii="Times New Roman" w:hAnsi="Times New Roman" w:cs="Times New Roman"/>
                <w:color w:val="auto"/>
                <w:szCs w:val="21"/>
              </w:rPr>
              <w:sym w:font="Wingdings" w:char="00A8"/>
            </w:r>
            <w:r>
              <w:rPr>
                <w:rFonts w:hint="default" w:ascii="Times New Roman" w:hAnsi="Times New Roman" w:cs="Times New Roman"/>
                <w:color w:val="auto"/>
                <w:szCs w:val="21"/>
              </w:rPr>
              <w:t>不予批准后再次申报项目</w:t>
            </w:r>
          </w:p>
          <w:p w14:paraId="411C4540">
            <w:pPr>
              <w:jc w:val="left"/>
              <w:rPr>
                <w:rFonts w:hint="eastAsia" w:ascii="Times New Roman" w:hAnsi="Times New Roman" w:eastAsia="宋体" w:cs="Times New Roman"/>
                <w:color w:val="auto"/>
                <w:szCs w:val="21"/>
                <w:lang w:eastAsia="zh-CN"/>
              </w:rPr>
            </w:pPr>
            <w:r>
              <w:rPr>
                <w:rFonts w:hint="default" w:ascii="Times New Roman" w:hAnsi="Times New Roman" w:cs="Times New Roman"/>
                <w:color w:val="auto"/>
                <w:szCs w:val="21"/>
              </w:rPr>
              <w:sym w:font="Wingdings" w:char="00A8"/>
            </w:r>
            <w:r>
              <w:rPr>
                <w:rFonts w:hint="default" w:ascii="Times New Roman" w:hAnsi="Times New Roman" w:cs="Times New Roman"/>
                <w:color w:val="auto"/>
                <w:szCs w:val="21"/>
              </w:rPr>
              <w:t>超五年重新审核项目</w:t>
            </w:r>
          </w:p>
          <w:p w14:paraId="53C0E2F4">
            <w:pPr>
              <w:jc w:val="left"/>
              <w:rPr>
                <w:rFonts w:hint="default" w:ascii="Times New Roman" w:hAnsi="Times New Roman" w:cs="Times New Roman"/>
                <w:color w:val="auto"/>
                <w:szCs w:val="21"/>
              </w:rPr>
            </w:pPr>
            <w:r>
              <w:rPr>
                <w:rFonts w:hint="default" w:ascii="Times New Roman" w:hAnsi="Times New Roman" w:cs="Times New Roman"/>
                <w:color w:val="auto"/>
                <w:szCs w:val="21"/>
              </w:rPr>
              <w:sym w:font="Wingdings" w:char="00A8"/>
            </w:r>
            <w:r>
              <w:rPr>
                <w:rFonts w:hint="default" w:ascii="Times New Roman" w:hAnsi="Times New Roman" w:cs="Times New Roman"/>
                <w:color w:val="auto"/>
                <w:szCs w:val="21"/>
              </w:rPr>
              <w:t>重大变动重新报批项目</w:t>
            </w:r>
          </w:p>
        </w:tc>
      </w:tr>
      <w:tr w14:paraId="6010D6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27" w:hRule="atLeast"/>
          <w:jc w:val="center"/>
        </w:trPr>
        <w:tc>
          <w:tcPr>
            <w:tcW w:w="1697" w:type="dxa"/>
            <w:noWrap w:val="0"/>
            <w:tcMar>
              <w:top w:w="16" w:type="dxa"/>
              <w:left w:w="16" w:type="dxa"/>
              <w:right w:w="16" w:type="dxa"/>
            </w:tcMar>
            <w:vAlign w:val="center"/>
          </w:tcPr>
          <w:p w14:paraId="0AF58013">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项目审批（核准/</w:t>
            </w:r>
          </w:p>
          <w:p w14:paraId="759E730B">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备案）部门（选填）</w:t>
            </w:r>
          </w:p>
        </w:tc>
        <w:tc>
          <w:tcPr>
            <w:tcW w:w="2032" w:type="dxa"/>
            <w:noWrap w:val="0"/>
            <w:vAlign w:val="center"/>
          </w:tcPr>
          <w:p w14:paraId="0862DDC8">
            <w:pPr>
              <w:adjustRightInd w:val="0"/>
              <w:snapToGrid w:val="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如皋市数据局</w:t>
            </w:r>
          </w:p>
        </w:tc>
        <w:tc>
          <w:tcPr>
            <w:tcW w:w="2208" w:type="dxa"/>
            <w:noWrap w:val="0"/>
            <w:vAlign w:val="center"/>
          </w:tcPr>
          <w:p w14:paraId="418D11DA">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项目审批（核准/</w:t>
            </w:r>
          </w:p>
          <w:p w14:paraId="28AB8531">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备案）文号（选填）</w:t>
            </w:r>
          </w:p>
        </w:tc>
        <w:tc>
          <w:tcPr>
            <w:tcW w:w="2933" w:type="dxa"/>
            <w:noWrap w:val="0"/>
            <w:vAlign w:val="center"/>
          </w:tcPr>
          <w:p w14:paraId="7D479153">
            <w:pPr>
              <w:adjustRightInd w:val="0"/>
              <w:snapToGrid w:val="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皋数据备[2025]23号</w:t>
            </w:r>
          </w:p>
        </w:tc>
      </w:tr>
      <w:tr w14:paraId="27A3B0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97" w:type="dxa"/>
            <w:noWrap w:val="0"/>
            <w:tcMar>
              <w:top w:w="16" w:type="dxa"/>
              <w:left w:w="16" w:type="dxa"/>
              <w:right w:w="16" w:type="dxa"/>
            </w:tcMar>
            <w:vAlign w:val="center"/>
          </w:tcPr>
          <w:p w14:paraId="7B930792">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总投资（万元）</w:t>
            </w:r>
          </w:p>
        </w:tc>
        <w:tc>
          <w:tcPr>
            <w:tcW w:w="2032" w:type="dxa"/>
            <w:noWrap w:val="0"/>
            <w:vAlign w:val="center"/>
          </w:tcPr>
          <w:p w14:paraId="473CA83B">
            <w:pPr>
              <w:adjustRightInd w:val="0"/>
              <w:snapToGrid w:val="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680</w:t>
            </w:r>
          </w:p>
        </w:tc>
        <w:tc>
          <w:tcPr>
            <w:tcW w:w="2208" w:type="dxa"/>
            <w:noWrap w:val="0"/>
            <w:tcMar>
              <w:top w:w="16" w:type="dxa"/>
              <w:left w:w="16" w:type="dxa"/>
              <w:right w:w="16" w:type="dxa"/>
            </w:tcMar>
            <w:vAlign w:val="center"/>
          </w:tcPr>
          <w:p w14:paraId="17483BAD">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环保投资（万元）</w:t>
            </w:r>
          </w:p>
        </w:tc>
        <w:tc>
          <w:tcPr>
            <w:tcW w:w="2933" w:type="dxa"/>
            <w:noWrap w:val="0"/>
            <w:vAlign w:val="center"/>
          </w:tcPr>
          <w:p w14:paraId="5C6B39AA">
            <w:pPr>
              <w:adjustRightInd w:val="0"/>
              <w:snapToGrid w:val="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40</w:t>
            </w:r>
          </w:p>
        </w:tc>
      </w:tr>
      <w:tr w14:paraId="650AB2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97" w:type="dxa"/>
            <w:noWrap w:val="0"/>
            <w:tcMar>
              <w:top w:w="16" w:type="dxa"/>
              <w:left w:w="16" w:type="dxa"/>
              <w:right w:w="16" w:type="dxa"/>
            </w:tcMar>
            <w:vAlign w:val="center"/>
          </w:tcPr>
          <w:p w14:paraId="5B15F7F6">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环保投资占比（%）</w:t>
            </w:r>
          </w:p>
        </w:tc>
        <w:tc>
          <w:tcPr>
            <w:tcW w:w="2032" w:type="dxa"/>
            <w:noWrap w:val="0"/>
            <w:vAlign w:val="center"/>
          </w:tcPr>
          <w:p w14:paraId="23F08361">
            <w:pPr>
              <w:adjustRightInd w:val="0"/>
              <w:snapToGrid w:val="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5.88</w:t>
            </w:r>
          </w:p>
        </w:tc>
        <w:tc>
          <w:tcPr>
            <w:tcW w:w="2208" w:type="dxa"/>
            <w:noWrap w:val="0"/>
            <w:tcMar>
              <w:top w:w="16" w:type="dxa"/>
              <w:left w:w="16" w:type="dxa"/>
              <w:right w:w="16" w:type="dxa"/>
            </w:tcMar>
            <w:vAlign w:val="center"/>
          </w:tcPr>
          <w:p w14:paraId="184056C2">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施工工期</w:t>
            </w:r>
          </w:p>
        </w:tc>
        <w:tc>
          <w:tcPr>
            <w:tcW w:w="2933" w:type="dxa"/>
            <w:noWrap w:val="0"/>
            <w:vAlign w:val="center"/>
          </w:tcPr>
          <w:p w14:paraId="670B11AA">
            <w:pPr>
              <w:adjustRightInd w:val="0"/>
              <w:snapToGrid w:val="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2</w:t>
            </w:r>
            <w:r>
              <w:rPr>
                <w:rFonts w:hint="eastAsia" w:ascii="Times New Roman" w:hAnsi="Times New Roman" w:cs="Times New Roman"/>
                <w:color w:val="auto"/>
                <w:szCs w:val="21"/>
                <w:lang w:val="en-US" w:eastAsia="zh-CN"/>
              </w:rPr>
              <w:t>个</w:t>
            </w:r>
            <w:r>
              <w:rPr>
                <w:rFonts w:hint="default" w:ascii="Times New Roman" w:hAnsi="Times New Roman" w:cs="Times New Roman"/>
                <w:color w:val="auto"/>
                <w:szCs w:val="21"/>
                <w:lang w:val="en-US" w:eastAsia="zh-CN"/>
              </w:rPr>
              <w:t>月</w:t>
            </w:r>
          </w:p>
        </w:tc>
      </w:tr>
      <w:tr w14:paraId="126C0D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97" w:type="dxa"/>
            <w:noWrap w:val="0"/>
            <w:tcMar>
              <w:top w:w="16" w:type="dxa"/>
              <w:left w:w="16" w:type="dxa"/>
              <w:right w:w="16" w:type="dxa"/>
            </w:tcMar>
            <w:vAlign w:val="center"/>
          </w:tcPr>
          <w:p w14:paraId="2F935E18">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是否开工建设</w:t>
            </w:r>
          </w:p>
        </w:tc>
        <w:tc>
          <w:tcPr>
            <w:tcW w:w="2032" w:type="dxa"/>
            <w:noWrap w:val="0"/>
            <w:vAlign w:val="center"/>
          </w:tcPr>
          <w:p w14:paraId="194DB656">
            <w:pPr>
              <w:adjustRightInd w:val="0"/>
              <w:snapToGrid w:val="0"/>
              <w:rPr>
                <w:rFonts w:hint="default" w:ascii="Times New Roman" w:hAnsi="Times New Roman" w:cs="Times New Roman"/>
                <w:color w:val="auto"/>
                <w:szCs w:val="21"/>
              </w:rPr>
            </w:pPr>
            <w:r>
              <w:rPr>
                <w:rFonts w:hint="default" w:ascii="Times New Roman" w:hAnsi="Times New Roman" w:cs="Times New Roman"/>
                <w:color w:val="auto"/>
                <w:szCs w:val="21"/>
              </w:rPr>
              <w:sym w:font="Wingdings 2" w:char="0052"/>
            </w:r>
            <w:r>
              <w:rPr>
                <w:rFonts w:hint="default" w:ascii="Times New Roman" w:hAnsi="Times New Roman" w:cs="Times New Roman"/>
                <w:color w:val="auto"/>
                <w:szCs w:val="21"/>
              </w:rPr>
              <w:t>否</w:t>
            </w:r>
          </w:p>
          <w:p w14:paraId="64522179">
            <w:pPr>
              <w:adjustRightInd w:val="0"/>
              <w:snapToGrid w:val="0"/>
              <w:rPr>
                <w:rFonts w:hint="eastAsia" w:ascii="Times New Roman" w:hAnsi="Times New Roman" w:eastAsia="宋体" w:cs="Times New Roman"/>
                <w:color w:val="auto"/>
                <w:szCs w:val="21"/>
                <w:lang w:eastAsia="zh-CN"/>
              </w:rPr>
            </w:pPr>
            <w:r>
              <w:rPr>
                <w:rFonts w:hint="default" w:ascii="Times New Roman" w:hAnsi="Times New Roman" w:cs="Times New Roman"/>
                <w:color w:val="auto"/>
                <w:szCs w:val="21"/>
              </w:rPr>
              <w:sym w:font="Wingdings" w:char="00A8"/>
            </w:r>
            <w:r>
              <w:rPr>
                <w:rFonts w:hint="default" w:ascii="Times New Roman" w:hAnsi="Times New Roman" w:cs="Times New Roman"/>
                <w:color w:val="auto"/>
                <w:szCs w:val="21"/>
              </w:rPr>
              <w:t>是：</w:t>
            </w:r>
          </w:p>
        </w:tc>
        <w:tc>
          <w:tcPr>
            <w:tcW w:w="2208" w:type="dxa"/>
            <w:noWrap w:val="0"/>
            <w:tcMar>
              <w:top w:w="16" w:type="dxa"/>
              <w:left w:w="16" w:type="dxa"/>
              <w:right w:w="16" w:type="dxa"/>
            </w:tcMar>
            <w:vAlign w:val="center"/>
          </w:tcPr>
          <w:p w14:paraId="67EEFBAF">
            <w:pPr>
              <w:adjustRightInd w:val="0"/>
              <w:snapToGrid w:val="0"/>
              <w:jc w:val="center"/>
              <w:rPr>
                <w:rFonts w:hint="default" w:ascii="Times New Roman" w:hAnsi="Times New Roman" w:cs="Times New Roman"/>
                <w:color w:val="auto"/>
                <w:spacing w:val="-6"/>
                <w:szCs w:val="21"/>
              </w:rPr>
            </w:pPr>
            <w:r>
              <w:rPr>
                <w:rFonts w:hint="default" w:ascii="Times New Roman" w:hAnsi="Times New Roman" w:cs="Times New Roman"/>
                <w:color w:val="auto"/>
                <w:spacing w:val="-6"/>
                <w:szCs w:val="21"/>
              </w:rPr>
              <w:t>用地（用海）</w:t>
            </w:r>
          </w:p>
          <w:p w14:paraId="39AFD19F">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pacing w:val="-6"/>
                <w:szCs w:val="21"/>
              </w:rPr>
              <w:t>面积（m</w:t>
            </w:r>
            <w:r>
              <w:rPr>
                <w:rFonts w:hint="default" w:ascii="Times New Roman" w:hAnsi="Times New Roman" w:cs="Times New Roman"/>
                <w:color w:val="auto"/>
                <w:spacing w:val="-6"/>
                <w:szCs w:val="21"/>
                <w:vertAlign w:val="superscript"/>
              </w:rPr>
              <w:t>2</w:t>
            </w:r>
            <w:r>
              <w:rPr>
                <w:rFonts w:hint="default" w:ascii="Times New Roman" w:hAnsi="Times New Roman" w:cs="Times New Roman"/>
                <w:color w:val="auto"/>
                <w:spacing w:val="-6"/>
                <w:szCs w:val="21"/>
              </w:rPr>
              <w:t>）</w:t>
            </w:r>
          </w:p>
        </w:tc>
        <w:tc>
          <w:tcPr>
            <w:tcW w:w="2933" w:type="dxa"/>
            <w:noWrap w:val="0"/>
            <w:vAlign w:val="center"/>
          </w:tcPr>
          <w:p w14:paraId="395B8AAE">
            <w:pPr>
              <w:adjustRightInd w:val="0"/>
              <w:snapToGrid w:val="0"/>
              <w:jc w:val="center"/>
              <w:rPr>
                <w:rFonts w:hint="eastAsia" w:cs="Times New Roman"/>
                <w:color w:val="auto"/>
                <w:szCs w:val="21"/>
                <w:lang w:val="en-US" w:eastAsia="zh-CN"/>
              </w:rPr>
            </w:pPr>
            <w:r>
              <w:rPr>
                <w:rFonts w:hint="eastAsia" w:cs="Times New Roman"/>
                <w:color w:val="auto"/>
                <w:szCs w:val="21"/>
                <w:lang w:val="en-US" w:eastAsia="zh-CN"/>
              </w:rPr>
              <w:t>0</w:t>
            </w:r>
          </w:p>
          <w:p w14:paraId="3E8AE899">
            <w:pPr>
              <w:adjustRightInd w:val="0"/>
              <w:snapToGrid w:val="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（现有项目占地43506）</w:t>
            </w:r>
          </w:p>
        </w:tc>
      </w:tr>
      <w:tr w14:paraId="19AD36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697" w:type="dxa"/>
            <w:noWrap w:val="0"/>
            <w:vAlign w:val="center"/>
          </w:tcPr>
          <w:p w14:paraId="34226F0E">
            <w:pPr>
              <w:autoSpaceDE w:val="0"/>
              <w:autoSpaceDN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专项评价设置情况</w:t>
            </w:r>
          </w:p>
        </w:tc>
        <w:tc>
          <w:tcPr>
            <w:tcW w:w="7173" w:type="dxa"/>
            <w:gridSpan w:val="3"/>
            <w:noWrap w:val="0"/>
            <w:vAlign w:val="center"/>
          </w:tcPr>
          <w:p w14:paraId="1211C9A0">
            <w:pPr>
              <w:autoSpaceDE w:val="0"/>
              <w:autoSpaceDN w:val="0"/>
              <w:adjustRightInd w:val="0"/>
              <w:snapToGrid w:val="0"/>
              <w:jc w:val="center"/>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无</w:t>
            </w:r>
          </w:p>
        </w:tc>
      </w:tr>
      <w:tr w14:paraId="797E01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697" w:type="dxa"/>
            <w:noWrap w:val="0"/>
            <w:vAlign w:val="center"/>
          </w:tcPr>
          <w:p w14:paraId="3A902745">
            <w:pPr>
              <w:autoSpaceDE w:val="0"/>
              <w:autoSpaceDN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szCs w:val="21"/>
              </w:rPr>
              <w:t>规划情况</w:t>
            </w:r>
          </w:p>
        </w:tc>
        <w:tc>
          <w:tcPr>
            <w:tcW w:w="7173" w:type="dxa"/>
            <w:gridSpan w:val="3"/>
            <w:noWrap w:val="0"/>
            <w:vAlign w:val="center"/>
          </w:tcPr>
          <w:p w14:paraId="60506AD8">
            <w:pPr>
              <w:spacing w:line="400" w:lineRule="exact"/>
              <w:rPr>
                <w:rFonts w:ascii="Times New Roman" w:hAnsi="Times New Roman" w:eastAsia="宋体" w:cs="Times New Roman"/>
                <w:color w:val="auto"/>
                <w:szCs w:val="21"/>
              </w:rPr>
            </w:pPr>
            <w:r>
              <w:rPr>
                <w:rFonts w:ascii="Times New Roman" w:hAnsi="Times New Roman" w:eastAsia="宋体" w:cs="Times New Roman"/>
                <w:color w:val="auto"/>
                <w:szCs w:val="21"/>
              </w:rPr>
              <w:t>规划名称：《如皋市城市总体规划》（2013~2030）</w:t>
            </w:r>
          </w:p>
          <w:p w14:paraId="3926D6A6">
            <w:pPr>
              <w:spacing w:line="400" w:lineRule="exact"/>
              <w:rPr>
                <w:rFonts w:ascii="Times New Roman" w:hAnsi="Times New Roman" w:eastAsia="宋体" w:cs="Times New Roman"/>
                <w:color w:val="auto"/>
                <w:szCs w:val="21"/>
              </w:rPr>
            </w:pPr>
            <w:r>
              <w:rPr>
                <w:rFonts w:ascii="Times New Roman" w:hAnsi="Times New Roman" w:eastAsia="宋体" w:cs="Times New Roman"/>
                <w:color w:val="auto"/>
                <w:szCs w:val="21"/>
              </w:rPr>
              <w:t>审批机关：江苏省人民政府；</w:t>
            </w:r>
          </w:p>
          <w:p w14:paraId="60BD2735">
            <w:pPr>
              <w:spacing w:line="400" w:lineRule="exact"/>
              <w:rPr>
                <w:rFonts w:hint="default"/>
                <w:color w:val="FF0000"/>
                <w:lang w:val="en-US" w:eastAsia="zh-CN"/>
              </w:rPr>
            </w:pPr>
            <w:r>
              <w:rPr>
                <w:rFonts w:ascii="Times New Roman" w:hAnsi="Times New Roman" w:eastAsia="宋体" w:cs="Times New Roman"/>
                <w:color w:val="auto"/>
                <w:szCs w:val="21"/>
              </w:rPr>
              <w:t>审批文件名称及文号：省政府关于《如皋市城市总体规划（2013-2030）》（2017年修改）的批复（苏政复[2017]42号）</w:t>
            </w:r>
          </w:p>
        </w:tc>
      </w:tr>
      <w:tr w14:paraId="3CE7EA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30" w:hRule="atLeast"/>
          <w:jc w:val="center"/>
        </w:trPr>
        <w:tc>
          <w:tcPr>
            <w:tcW w:w="1697" w:type="dxa"/>
            <w:noWrap w:val="0"/>
            <w:vAlign w:val="center"/>
          </w:tcPr>
          <w:p w14:paraId="5C703F05">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规划环境影响</w:t>
            </w:r>
          </w:p>
          <w:p w14:paraId="5BC349A0">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szCs w:val="21"/>
              </w:rPr>
              <w:t>评价情况</w:t>
            </w:r>
          </w:p>
        </w:tc>
        <w:tc>
          <w:tcPr>
            <w:tcW w:w="7173" w:type="dxa"/>
            <w:gridSpan w:val="3"/>
            <w:noWrap w:val="0"/>
            <w:vAlign w:val="center"/>
          </w:tcPr>
          <w:p w14:paraId="7B03D0B8">
            <w:pPr>
              <w:spacing w:line="400" w:lineRule="exact"/>
              <w:ind w:firstLine="422" w:firstLineChars="200"/>
              <w:rPr>
                <w:rFonts w:hint="default" w:ascii="Times New Roman" w:hAnsi="Times New Roman" w:eastAsia="宋体" w:cs="Times New Roman"/>
                <w:b/>
                <w:bCs/>
                <w:color w:val="auto"/>
                <w:kern w:val="2"/>
                <w:sz w:val="21"/>
                <w:szCs w:val="20"/>
                <w:highlight w:val="none"/>
                <w:lang w:val="en-US" w:eastAsia="zh-CN" w:bidi="ar-SA"/>
              </w:rPr>
            </w:pPr>
            <w:r>
              <w:rPr>
                <w:rFonts w:hint="default" w:ascii="Times New Roman" w:hAnsi="Times New Roman" w:eastAsia="宋体" w:cs="Times New Roman"/>
                <w:b/>
                <w:bCs/>
                <w:color w:val="auto"/>
                <w:kern w:val="2"/>
                <w:sz w:val="21"/>
                <w:szCs w:val="20"/>
                <w:highlight w:val="none"/>
                <w:lang w:val="en-US" w:eastAsia="zh-CN" w:bidi="ar-SA"/>
              </w:rPr>
              <w:t>（1）与《如皋市城市总体规划》（2013~2030）相符性分析</w:t>
            </w:r>
          </w:p>
          <w:p w14:paraId="5CB5197F">
            <w:pPr>
              <w:spacing w:line="400" w:lineRule="exact"/>
              <w:ind w:firstLine="420" w:firstLineChars="200"/>
              <w:rPr>
                <w:rFonts w:hint="default" w:ascii="Times New Roman" w:hAnsi="Times New Roman" w:eastAsia="宋体" w:cs="Times New Roman"/>
                <w:color w:val="auto"/>
                <w:kern w:val="2"/>
                <w:sz w:val="21"/>
                <w:szCs w:val="20"/>
                <w:highlight w:val="none"/>
                <w:lang w:val="en-US" w:eastAsia="zh-CN" w:bidi="ar-SA"/>
              </w:rPr>
            </w:pPr>
            <w:r>
              <w:rPr>
                <w:rFonts w:hint="default" w:ascii="Times New Roman" w:hAnsi="Times New Roman" w:eastAsia="宋体" w:cs="Times New Roman"/>
                <w:color w:val="auto"/>
                <w:kern w:val="2"/>
                <w:sz w:val="21"/>
                <w:szCs w:val="20"/>
                <w:highlight w:val="none"/>
                <w:lang w:val="en-US" w:eastAsia="zh-CN" w:bidi="ar-SA"/>
              </w:rPr>
              <w:t>根据《如皋市城市总体规划》（2013~2030），如皋市在市域范围内规划</w:t>
            </w:r>
            <w:r>
              <w:rPr>
                <w:rFonts w:hint="eastAsia" w:cs="Times New Roman"/>
                <w:color w:val="auto"/>
                <w:kern w:val="2"/>
                <w:sz w:val="21"/>
                <w:szCs w:val="20"/>
                <w:highlight w:val="none"/>
                <w:lang w:val="en-US" w:eastAsia="zh-CN" w:bidi="ar-SA"/>
              </w:rPr>
              <w:t>“</w:t>
            </w:r>
            <w:r>
              <w:rPr>
                <w:rFonts w:hint="default" w:ascii="Times New Roman" w:hAnsi="Times New Roman" w:eastAsia="宋体" w:cs="Times New Roman"/>
                <w:color w:val="auto"/>
                <w:kern w:val="2"/>
                <w:sz w:val="21"/>
                <w:szCs w:val="20"/>
                <w:highlight w:val="none"/>
                <w:lang w:val="en-US" w:eastAsia="zh-CN" w:bidi="ar-SA"/>
              </w:rPr>
              <w:t>一城一区四板块”的空间架构：一城即如皋城区，一区即如皋港经济开发区，四板块即将市域划分为东南西北四大经济板块。产业战略：农业——特色农业和规模农业的发展战略；工业——轻重并举，双轮驱动的战略；旅游业——特色旅游，资源整合和协同发展战略；物流业——需求与交通导向战略。</w:t>
            </w:r>
          </w:p>
          <w:p w14:paraId="791361A6">
            <w:pPr>
              <w:spacing w:line="400" w:lineRule="exact"/>
              <w:ind w:firstLine="420" w:firstLineChars="200"/>
              <w:rPr>
                <w:rFonts w:hint="default" w:ascii="Times New Roman" w:hAnsi="Times New Roman" w:eastAsia="宋体" w:cs="Times New Roman"/>
                <w:color w:val="auto"/>
                <w:kern w:val="2"/>
                <w:sz w:val="21"/>
                <w:szCs w:val="20"/>
                <w:highlight w:val="none"/>
                <w:lang w:val="en-US" w:eastAsia="zh-CN" w:bidi="ar-SA"/>
              </w:rPr>
            </w:pPr>
            <w:r>
              <w:rPr>
                <w:rFonts w:hint="default" w:ascii="Times New Roman" w:hAnsi="Times New Roman" w:eastAsia="宋体" w:cs="Times New Roman"/>
                <w:color w:val="auto"/>
                <w:kern w:val="2"/>
                <w:sz w:val="21"/>
                <w:szCs w:val="20"/>
                <w:highlight w:val="none"/>
                <w:lang w:val="en-US" w:eastAsia="zh-CN" w:bidi="ar-SA"/>
              </w:rPr>
              <w:t>本项目位于如皋市如城街道中山东路</w:t>
            </w:r>
            <w:r>
              <w:rPr>
                <w:rFonts w:hint="eastAsia" w:ascii="Times New Roman" w:hAnsi="Times New Roman" w:eastAsia="宋体" w:cs="Times New Roman"/>
                <w:color w:val="auto"/>
                <w:kern w:val="2"/>
                <w:sz w:val="21"/>
                <w:szCs w:val="20"/>
                <w:highlight w:val="none"/>
                <w:lang w:val="en-US" w:eastAsia="zh-CN" w:bidi="ar-SA"/>
              </w:rPr>
              <w:t>58</w:t>
            </w:r>
            <w:r>
              <w:rPr>
                <w:rFonts w:hint="default" w:ascii="Times New Roman" w:hAnsi="Times New Roman" w:eastAsia="宋体" w:cs="Times New Roman"/>
                <w:color w:val="auto"/>
                <w:kern w:val="2"/>
                <w:sz w:val="21"/>
                <w:szCs w:val="20"/>
                <w:highlight w:val="none"/>
                <w:lang w:val="en-US" w:eastAsia="zh-CN" w:bidi="ar-SA"/>
              </w:rPr>
              <w:t>号</w:t>
            </w:r>
            <w:r>
              <w:rPr>
                <w:rFonts w:hint="eastAsia" w:cs="Times New Roman"/>
                <w:color w:val="auto"/>
                <w:kern w:val="2"/>
                <w:sz w:val="21"/>
                <w:szCs w:val="20"/>
                <w:highlight w:val="none"/>
                <w:lang w:val="en-US" w:eastAsia="zh-CN" w:bidi="ar-SA"/>
              </w:rPr>
              <w:t>（原大殷村20/21/26组）</w:t>
            </w:r>
            <w:r>
              <w:rPr>
                <w:rFonts w:hint="default" w:ascii="Times New Roman" w:hAnsi="Times New Roman" w:eastAsia="宋体" w:cs="Times New Roman"/>
                <w:color w:val="auto"/>
                <w:kern w:val="2"/>
                <w:sz w:val="21"/>
                <w:szCs w:val="20"/>
                <w:highlight w:val="none"/>
                <w:lang w:val="en-US" w:eastAsia="zh-CN" w:bidi="ar-SA"/>
              </w:rPr>
              <w:t>，用地性质为工业用地，符合如城街道土地利用总体规划和城市总体规划。</w:t>
            </w:r>
          </w:p>
          <w:p w14:paraId="693503A0">
            <w:pPr>
              <w:numPr>
                <w:ilvl w:val="0"/>
                <w:numId w:val="0"/>
              </w:numPr>
              <w:spacing w:line="400" w:lineRule="exact"/>
              <w:ind w:firstLine="422" w:firstLineChars="200"/>
              <w:rPr>
                <w:rFonts w:hint="default" w:ascii="Times New Roman" w:hAnsi="Times New Roman" w:eastAsia="宋体" w:cs="Times New Roman"/>
                <w:b/>
                <w:bCs/>
                <w:color w:val="auto"/>
                <w:kern w:val="2"/>
                <w:sz w:val="21"/>
                <w:szCs w:val="20"/>
                <w:highlight w:val="none"/>
                <w:lang w:val="en-US" w:eastAsia="zh-CN" w:bidi="ar-SA"/>
              </w:rPr>
            </w:pPr>
            <w:r>
              <w:rPr>
                <w:rFonts w:hint="default" w:ascii="Times New Roman" w:hAnsi="Times New Roman" w:eastAsia="宋体" w:cs="Times New Roman"/>
                <w:b/>
                <w:bCs/>
                <w:color w:val="auto"/>
                <w:kern w:val="2"/>
                <w:sz w:val="21"/>
                <w:szCs w:val="20"/>
                <w:lang w:val="en-US" w:eastAsia="zh-CN" w:bidi="ar-SA"/>
              </w:rPr>
              <w:t>（2）</w:t>
            </w:r>
            <w:r>
              <w:rPr>
                <w:rFonts w:hint="default" w:ascii="Times New Roman" w:hAnsi="Times New Roman" w:eastAsia="宋体" w:cs="Times New Roman"/>
                <w:b/>
                <w:bCs/>
                <w:color w:val="auto"/>
                <w:kern w:val="2"/>
                <w:sz w:val="21"/>
                <w:szCs w:val="20"/>
                <w:highlight w:val="none"/>
                <w:lang w:val="en-US" w:eastAsia="zh-CN" w:bidi="ar-SA"/>
              </w:rPr>
              <w:t>与</w:t>
            </w:r>
            <w:r>
              <w:rPr>
                <w:rFonts w:hint="eastAsia" w:cs="Times New Roman"/>
                <w:b/>
                <w:bCs/>
                <w:color w:val="auto"/>
                <w:kern w:val="2"/>
                <w:sz w:val="21"/>
                <w:szCs w:val="20"/>
                <w:highlight w:val="none"/>
                <w:lang w:val="en-US" w:eastAsia="zh-CN" w:bidi="ar-SA"/>
              </w:rPr>
              <w:t>“</w:t>
            </w:r>
            <w:r>
              <w:rPr>
                <w:rFonts w:hint="default" w:ascii="Times New Roman" w:hAnsi="Times New Roman" w:eastAsia="宋体" w:cs="Times New Roman"/>
                <w:b/>
                <w:bCs/>
                <w:color w:val="auto"/>
                <w:kern w:val="2"/>
                <w:sz w:val="21"/>
                <w:szCs w:val="20"/>
                <w:highlight w:val="none"/>
                <w:lang w:val="en-US" w:eastAsia="zh-CN" w:bidi="ar-SA"/>
              </w:rPr>
              <w:t>三区三线”划定成果和《如皋市国土空间总体规划（2021-2035年）》符合性分析</w:t>
            </w:r>
          </w:p>
          <w:p w14:paraId="6EB20F95">
            <w:pPr>
              <w:numPr>
                <w:ilvl w:val="0"/>
                <w:numId w:val="0"/>
              </w:numPr>
              <w:spacing w:line="400" w:lineRule="exact"/>
              <w:ind w:left="0" w:leftChars="0" w:firstLine="420" w:firstLineChars="200"/>
              <w:rPr>
                <w:rFonts w:hint="default"/>
                <w:color w:val="FF0000"/>
                <w:lang w:val="en-US" w:eastAsia="zh-CN"/>
              </w:rPr>
            </w:pPr>
            <w:r>
              <w:rPr>
                <w:rFonts w:hint="default" w:ascii="Times New Roman" w:hAnsi="Times New Roman" w:eastAsia="宋体" w:cs="Times New Roman"/>
                <w:color w:val="auto"/>
                <w:kern w:val="2"/>
                <w:sz w:val="21"/>
                <w:szCs w:val="20"/>
                <w:highlight w:val="none"/>
                <w:lang w:val="en-US" w:eastAsia="zh-CN" w:bidi="ar-SA"/>
              </w:rPr>
              <w:t>对照如皋市</w:t>
            </w:r>
            <w:r>
              <w:rPr>
                <w:rFonts w:hint="eastAsia" w:cs="Times New Roman"/>
                <w:color w:val="auto"/>
                <w:kern w:val="2"/>
                <w:sz w:val="21"/>
                <w:szCs w:val="20"/>
                <w:highlight w:val="none"/>
                <w:lang w:val="en-US" w:eastAsia="zh-CN" w:bidi="ar-SA"/>
              </w:rPr>
              <w:t>“</w:t>
            </w:r>
            <w:r>
              <w:rPr>
                <w:rFonts w:hint="default" w:ascii="Times New Roman" w:hAnsi="Times New Roman" w:eastAsia="宋体" w:cs="Times New Roman"/>
                <w:color w:val="auto"/>
                <w:kern w:val="2"/>
                <w:sz w:val="21"/>
                <w:szCs w:val="20"/>
                <w:highlight w:val="none"/>
                <w:lang w:val="en-US" w:eastAsia="zh-CN" w:bidi="ar-SA"/>
              </w:rPr>
              <w:t>三区三线”划定成果，本项目位于如皋市</w:t>
            </w:r>
            <w:r>
              <w:rPr>
                <w:rFonts w:hint="eastAsia"/>
                <w:color w:val="auto"/>
                <w:szCs w:val="21"/>
                <w:lang w:eastAsia="zh-CN"/>
              </w:rPr>
              <w:t>如城街道中山东路</w:t>
            </w:r>
            <w:r>
              <w:rPr>
                <w:rFonts w:hint="eastAsia"/>
                <w:color w:val="auto"/>
                <w:szCs w:val="21"/>
                <w:lang w:val="en-US" w:eastAsia="zh-CN"/>
              </w:rPr>
              <w:t>58</w:t>
            </w:r>
            <w:r>
              <w:rPr>
                <w:rFonts w:hint="eastAsia"/>
                <w:color w:val="auto"/>
                <w:szCs w:val="21"/>
                <w:lang w:eastAsia="zh-CN"/>
              </w:rPr>
              <w:t>号</w:t>
            </w:r>
            <w:r>
              <w:rPr>
                <w:rFonts w:hint="default" w:ascii="Times New Roman" w:hAnsi="Times New Roman" w:eastAsia="宋体" w:cs="Times New Roman"/>
                <w:color w:val="auto"/>
                <w:kern w:val="2"/>
                <w:sz w:val="21"/>
                <w:szCs w:val="20"/>
                <w:highlight w:val="none"/>
                <w:lang w:val="en-US" w:eastAsia="zh-CN" w:bidi="ar-SA"/>
              </w:rPr>
              <w:t>，用地性质为工业用地，为城镇综合发展带，不在永久基本农田、生态保护红线范围内，符合如皋市</w:t>
            </w:r>
            <w:r>
              <w:rPr>
                <w:rFonts w:hint="eastAsia" w:cs="Times New Roman"/>
                <w:color w:val="auto"/>
                <w:kern w:val="2"/>
                <w:sz w:val="21"/>
                <w:szCs w:val="20"/>
                <w:highlight w:val="none"/>
                <w:lang w:val="en-US" w:eastAsia="zh-CN" w:bidi="ar-SA"/>
              </w:rPr>
              <w:t>“</w:t>
            </w:r>
            <w:r>
              <w:rPr>
                <w:rFonts w:hint="default" w:ascii="Times New Roman" w:hAnsi="Times New Roman" w:eastAsia="宋体" w:cs="Times New Roman"/>
                <w:color w:val="auto"/>
                <w:kern w:val="2"/>
                <w:sz w:val="21"/>
                <w:szCs w:val="20"/>
                <w:highlight w:val="none"/>
                <w:lang w:val="en-US" w:eastAsia="zh-CN" w:bidi="ar-SA"/>
              </w:rPr>
              <w:t>三区三线”划定成果，符合如皋市国土空间总体规划、用地规划及环保规划等相关规划要求。</w:t>
            </w:r>
          </w:p>
        </w:tc>
      </w:tr>
      <w:tr w14:paraId="079A80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1697" w:type="dxa"/>
            <w:noWrap w:val="0"/>
            <w:vAlign w:val="center"/>
          </w:tcPr>
          <w:p w14:paraId="053E9688">
            <w:pPr>
              <w:autoSpaceDE w:val="0"/>
              <w:autoSpaceDN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规划及规划环境</w:t>
            </w:r>
          </w:p>
          <w:p w14:paraId="03451D35">
            <w:pPr>
              <w:autoSpaceDE w:val="0"/>
              <w:autoSpaceDN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影响评价符合性分析</w:t>
            </w:r>
          </w:p>
        </w:tc>
        <w:tc>
          <w:tcPr>
            <w:tcW w:w="7173" w:type="dxa"/>
            <w:gridSpan w:val="3"/>
            <w:noWrap w:val="0"/>
            <w:vAlign w:val="center"/>
          </w:tcPr>
          <w:p w14:paraId="1D305C19">
            <w:pPr>
              <w:pStyle w:val="42"/>
              <w:ind w:left="0" w:leftChars="0" w:firstLine="480" w:firstLineChars="200"/>
              <w:jc w:val="center"/>
              <w:rPr>
                <w:rFonts w:hint="default" w:ascii="Times New Roman" w:hAnsi="Times New Roman" w:eastAsia="宋体" w:cs="Times New Roman"/>
                <w:color w:val="auto"/>
                <w:kern w:val="0"/>
                <w:sz w:val="21"/>
                <w:szCs w:val="21"/>
                <w:lang w:val="en-US" w:eastAsia="zh-CN" w:bidi="ar-SA"/>
              </w:rPr>
            </w:pPr>
            <w:r>
              <w:rPr>
                <w:rFonts w:hint="eastAsia"/>
                <w:b w:val="0"/>
                <w:bCs w:val="0"/>
                <w:color w:val="auto"/>
                <w:szCs w:val="21"/>
                <w:lang w:val="en-US" w:eastAsia="zh-CN"/>
              </w:rPr>
              <w:t>无</w:t>
            </w:r>
          </w:p>
        </w:tc>
      </w:tr>
      <w:tr w14:paraId="2B8B37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1697" w:type="dxa"/>
            <w:shd w:val="clear" w:color="auto" w:fill="auto"/>
            <w:noWrap w:val="0"/>
            <w:vAlign w:val="center"/>
          </w:tcPr>
          <w:p w14:paraId="0DD825E9">
            <w:pPr>
              <w:autoSpaceDE w:val="0"/>
              <w:autoSpaceDN w:val="0"/>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其他符合性分析</w:t>
            </w:r>
          </w:p>
        </w:tc>
        <w:tc>
          <w:tcPr>
            <w:tcW w:w="7173" w:type="dxa"/>
            <w:gridSpan w:val="3"/>
            <w:shd w:val="clear" w:color="auto" w:fill="auto"/>
            <w:noWrap w:val="0"/>
            <w:vAlign w:val="center"/>
          </w:tcPr>
          <w:p w14:paraId="24B9E932">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Times New Roman" w:hAnsi="Times New Roman" w:cs="Times New Roman"/>
                <w:b/>
                <w:bCs/>
                <w:color w:val="auto"/>
              </w:rPr>
            </w:pPr>
            <w:r>
              <w:rPr>
                <w:rFonts w:hint="default" w:ascii="Times New Roman" w:hAnsi="Times New Roman" w:cs="Times New Roman"/>
                <w:b/>
                <w:bCs/>
                <w:color w:val="auto"/>
                <w:lang w:val="en-US" w:eastAsia="zh-CN"/>
              </w:rPr>
              <w:t>1、</w:t>
            </w:r>
            <w:r>
              <w:rPr>
                <w:rFonts w:hint="default" w:ascii="Times New Roman" w:hAnsi="Times New Roman" w:cs="Times New Roman"/>
                <w:b/>
                <w:bCs/>
                <w:color w:val="auto"/>
              </w:rPr>
              <w:t>产业政策相符性分析</w:t>
            </w:r>
          </w:p>
          <w:p w14:paraId="2705C31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color w:val="auto"/>
              </w:rPr>
            </w:pPr>
            <w:r>
              <w:rPr>
                <w:rFonts w:hint="default" w:ascii="Times New Roman" w:hAnsi="Times New Roman" w:cs="Times New Roman"/>
                <w:color w:val="auto"/>
                <w:lang w:eastAsia="zh-CN"/>
              </w:rPr>
              <w:t>本</w:t>
            </w:r>
            <w:r>
              <w:rPr>
                <w:rFonts w:hint="default" w:ascii="Times New Roman" w:hAnsi="Times New Roman" w:cs="Times New Roman"/>
                <w:color w:val="auto"/>
              </w:rPr>
              <w:t>项目属于国民经济行业分类中的</w:t>
            </w:r>
            <w:r>
              <w:rPr>
                <w:rFonts w:hint="default" w:ascii="Times New Roman" w:hAnsi="Times New Roman" w:cs="Times New Roman"/>
                <w:color w:val="auto"/>
                <w:lang w:eastAsia="zh-CN"/>
              </w:rPr>
              <w:t>（</w:t>
            </w:r>
            <w:r>
              <w:rPr>
                <w:rFonts w:hint="eastAsia" w:cs="Times New Roman"/>
                <w:color w:val="auto"/>
                <w:lang w:eastAsia="zh-CN"/>
              </w:rPr>
              <w:t>D4430</w:t>
            </w:r>
            <w:r>
              <w:rPr>
                <w:rFonts w:hint="default" w:ascii="Times New Roman" w:hAnsi="Times New Roman" w:cs="Times New Roman"/>
                <w:color w:val="auto"/>
                <w:lang w:eastAsia="zh-CN"/>
              </w:rPr>
              <w:t>）</w:t>
            </w:r>
            <w:r>
              <w:rPr>
                <w:rFonts w:hint="eastAsia" w:cs="Times New Roman"/>
                <w:color w:val="auto"/>
                <w:lang w:eastAsia="zh-CN"/>
              </w:rPr>
              <w:t>热力生产和供应</w:t>
            </w:r>
            <w:r>
              <w:rPr>
                <w:rFonts w:hint="default" w:ascii="Times New Roman" w:hAnsi="Times New Roman" w:cs="Times New Roman"/>
                <w:color w:val="auto"/>
              </w:rPr>
              <w:t>。对照《产业结构调整指导目录（20</w:t>
            </w:r>
            <w:r>
              <w:rPr>
                <w:rFonts w:hint="default" w:ascii="Times New Roman" w:hAnsi="Times New Roman" w:cs="Times New Roman"/>
                <w:color w:val="auto"/>
                <w:lang w:val="en-US" w:eastAsia="zh-CN"/>
              </w:rPr>
              <w:t>24</w:t>
            </w:r>
            <w:r>
              <w:rPr>
                <w:rFonts w:hint="default" w:ascii="Times New Roman" w:hAnsi="Times New Roman" w:cs="Times New Roman"/>
                <w:color w:val="auto"/>
              </w:rPr>
              <w:t>年本）》，本项目不属于其中的</w:t>
            </w:r>
            <w:r>
              <w:rPr>
                <w:rFonts w:hint="default" w:ascii="Times New Roman" w:hAnsi="Times New Roman" w:cs="Times New Roman"/>
                <w:color w:val="auto"/>
                <w:lang w:eastAsia="zh-CN"/>
              </w:rPr>
              <w:t>鼓励类、</w:t>
            </w:r>
            <w:r>
              <w:rPr>
                <w:rFonts w:hint="default" w:ascii="Times New Roman" w:hAnsi="Times New Roman" w:cs="Times New Roman"/>
                <w:color w:val="auto"/>
              </w:rPr>
              <w:t>限制类</w:t>
            </w:r>
            <w:r>
              <w:rPr>
                <w:rFonts w:hint="default" w:ascii="Times New Roman" w:hAnsi="Times New Roman" w:cs="Times New Roman"/>
                <w:color w:val="auto"/>
                <w:lang w:eastAsia="zh-CN"/>
              </w:rPr>
              <w:t>和</w:t>
            </w:r>
            <w:r>
              <w:rPr>
                <w:rFonts w:hint="default" w:ascii="Times New Roman" w:hAnsi="Times New Roman" w:cs="Times New Roman"/>
                <w:color w:val="auto"/>
              </w:rPr>
              <w:t>淘汰类</w:t>
            </w:r>
            <w:r>
              <w:rPr>
                <w:rFonts w:hint="default" w:ascii="Times New Roman" w:hAnsi="Times New Roman" w:cs="Times New Roman"/>
                <w:color w:val="auto"/>
                <w:lang w:eastAsia="zh-CN"/>
              </w:rPr>
              <w:t>，为允许类项目；</w:t>
            </w:r>
            <w:r>
              <w:rPr>
                <w:rFonts w:hint="default" w:ascii="Times New Roman" w:hAnsi="Times New Roman" w:cs="Times New Roman"/>
                <w:color w:val="auto"/>
              </w:rPr>
              <w:t>对照</w:t>
            </w:r>
            <w:r>
              <w:rPr>
                <w:rFonts w:hint="default" w:ascii="Times New Roman" w:hAnsi="Times New Roman" w:cs="Times New Roman"/>
                <w:color w:val="auto"/>
                <w:lang w:val="en-US" w:eastAsia="zh-CN"/>
              </w:rPr>
              <w:t>《环境保护综合名录（2021年版）》</w:t>
            </w:r>
            <w:r>
              <w:rPr>
                <w:rFonts w:hint="default" w:ascii="Times New Roman" w:hAnsi="Times New Roman" w:cs="Times New Roman"/>
                <w:color w:val="auto"/>
              </w:rPr>
              <w:t>，本项目不在</w:t>
            </w:r>
            <w:r>
              <w:rPr>
                <w:rFonts w:hint="eastAsia" w:cs="Times New Roman"/>
                <w:color w:val="auto"/>
                <w:lang w:eastAsia="zh-CN"/>
              </w:rPr>
              <w:t>“</w:t>
            </w:r>
            <w:r>
              <w:rPr>
                <w:rFonts w:hint="default" w:ascii="Times New Roman" w:hAnsi="Times New Roman" w:cs="Times New Roman"/>
                <w:color w:val="auto"/>
              </w:rPr>
              <w:t>高污染、高环境风险</w:t>
            </w:r>
            <w:r>
              <w:rPr>
                <w:rFonts w:hint="eastAsia" w:cs="Times New Roman"/>
                <w:color w:val="auto"/>
                <w:lang w:eastAsia="zh-CN"/>
              </w:rPr>
              <w:t>”；</w:t>
            </w:r>
            <w:r>
              <w:rPr>
                <w:rFonts w:hint="eastAsia" w:cs="Times New Roman"/>
                <w:color w:val="auto"/>
                <w:lang w:val="en-US" w:eastAsia="zh-CN"/>
              </w:rPr>
              <w:t>对照</w:t>
            </w:r>
            <w:r>
              <w:rPr>
                <w:rFonts w:hint="default" w:ascii="Times New Roman" w:hAnsi="Times New Roman" w:cs="Times New Roman"/>
                <w:color w:val="auto"/>
                <w:lang w:val="en-US" w:eastAsia="zh-CN"/>
              </w:rPr>
              <w:t>《江苏省</w:t>
            </w:r>
            <w:r>
              <w:rPr>
                <w:rFonts w:hint="eastAsia" w:cs="Times New Roman"/>
                <w:color w:val="auto"/>
                <w:lang w:val="en-US" w:eastAsia="zh-CN"/>
              </w:rPr>
              <w:t>“</w:t>
            </w:r>
            <w:r>
              <w:rPr>
                <w:rFonts w:hint="default" w:ascii="Times New Roman" w:hAnsi="Times New Roman" w:cs="Times New Roman"/>
                <w:color w:val="auto"/>
                <w:lang w:val="en-US" w:eastAsia="zh-CN"/>
              </w:rPr>
              <w:t>两高”项目管理目录（2024年版）》</w:t>
            </w:r>
            <w:r>
              <w:rPr>
                <w:rFonts w:hint="eastAsia" w:cs="Times New Roman"/>
                <w:color w:val="auto"/>
                <w:lang w:val="en-US" w:eastAsia="zh-CN"/>
              </w:rPr>
              <w:t>，本项目不在</w:t>
            </w:r>
            <w:r>
              <w:rPr>
                <w:rFonts w:hint="eastAsia" w:cs="Times New Roman"/>
                <w:color w:val="auto"/>
                <w:lang w:eastAsia="zh-CN"/>
              </w:rPr>
              <w:t>“高耗能、高排放”</w:t>
            </w:r>
            <w:r>
              <w:rPr>
                <w:rFonts w:hint="default" w:ascii="Times New Roman" w:hAnsi="Times New Roman" w:cs="Times New Roman"/>
                <w:color w:val="auto"/>
              </w:rPr>
              <w:t>产品名录内。</w:t>
            </w:r>
          </w:p>
          <w:p w14:paraId="43A98F45">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cs="Times New Roman"/>
                <w:color w:val="auto"/>
              </w:rPr>
            </w:pPr>
            <w:r>
              <w:rPr>
                <w:rFonts w:hint="default" w:ascii="Times New Roman" w:hAnsi="Times New Roman" w:cs="Times New Roman"/>
                <w:color w:val="auto"/>
              </w:rPr>
              <w:t>因此本项目的建设符合国家和地方相关产业政策的要求。</w:t>
            </w:r>
          </w:p>
          <w:p w14:paraId="08AF3C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2" w:firstLineChars="200"/>
              <w:jc w:val="both"/>
              <w:textAlignment w:val="auto"/>
              <w:rPr>
                <w:rFonts w:hint="default" w:ascii="Times New Roman" w:hAnsi="Times New Roman" w:eastAsia="宋体" w:cs="Times New Roman"/>
                <w:b/>
                <w:bCs/>
                <w:color w:val="auto"/>
                <w:szCs w:val="24"/>
                <w:lang w:val="en-US" w:eastAsia="zh-CN"/>
              </w:rPr>
            </w:pPr>
            <w:r>
              <w:rPr>
                <w:rFonts w:hint="default" w:ascii="Times New Roman" w:hAnsi="Times New Roman" w:cs="Times New Roman"/>
                <w:b/>
                <w:bCs/>
                <w:color w:val="auto"/>
                <w:lang w:val="en-US" w:eastAsia="zh-CN"/>
              </w:rPr>
              <w:t>2、</w:t>
            </w:r>
            <w:r>
              <w:rPr>
                <w:rFonts w:hint="eastAsia" w:ascii="Times New Roman" w:hAnsi="Times New Roman" w:cs="Times New Roman"/>
                <w:b/>
                <w:bCs/>
                <w:color w:val="auto"/>
                <w:lang w:val="en-US" w:eastAsia="zh-CN"/>
              </w:rPr>
              <w:t>项目</w:t>
            </w:r>
            <w:r>
              <w:rPr>
                <w:rFonts w:hint="default" w:ascii="Times New Roman" w:hAnsi="Times New Roman" w:cs="Times New Roman"/>
                <w:b/>
                <w:color w:val="auto"/>
                <w:szCs w:val="22"/>
              </w:rPr>
              <w:t>选址</w:t>
            </w:r>
            <w:r>
              <w:rPr>
                <w:rFonts w:hint="eastAsia" w:ascii="Times New Roman" w:hAnsi="Times New Roman" w:cs="Times New Roman"/>
                <w:b/>
                <w:color w:val="auto"/>
                <w:szCs w:val="22"/>
                <w:lang w:eastAsia="zh-CN"/>
              </w:rPr>
              <w:t>合理合法性</w:t>
            </w:r>
            <w:r>
              <w:rPr>
                <w:rFonts w:hint="default" w:ascii="Times New Roman" w:hAnsi="Times New Roman" w:cs="Times New Roman"/>
                <w:b/>
                <w:color w:val="auto"/>
                <w:szCs w:val="22"/>
              </w:rPr>
              <w:t>分析</w:t>
            </w:r>
          </w:p>
          <w:p w14:paraId="41684C44">
            <w:pPr>
              <w:bidi w:val="0"/>
              <w:spacing w:line="360" w:lineRule="auto"/>
              <w:ind w:firstLine="420" w:firstLineChars="200"/>
              <w:rPr>
                <w:rFonts w:hint="default"/>
                <w:lang w:val="en-US" w:eastAsia="zh-CN"/>
              </w:rPr>
            </w:pPr>
            <w:r>
              <w:rPr>
                <w:rFonts w:hint="default"/>
                <w:lang w:val="en-US" w:eastAsia="zh-CN"/>
              </w:rPr>
              <w:t>对照《如皋市国土空间总体规划（2021-2035年）》，本项目位于如皋市如城街道</w:t>
            </w:r>
            <w:r>
              <w:rPr>
                <w:rFonts w:hint="eastAsia"/>
                <w:lang w:eastAsia="zh-CN"/>
              </w:rPr>
              <w:t>中山东路</w:t>
            </w:r>
            <w:r>
              <w:rPr>
                <w:rFonts w:hint="eastAsia"/>
                <w:lang w:val="en-US" w:eastAsia="zh-CN"/>
              </w:rPr>
              <w:t>58</w:t>
            </w:r>
            <w:r>
              <w:rPr>
                <w:rFonts w:hint="eastAsia"/>
                <w:lang w:eastAsia="zh-CN"/>
              </w:rPr>
              <w:t>号</w:t>
            </w:r>
            <w:r>
              <w:rPr>
                <w:rFonts w:hint="default"/>
                <w:lang w:val="en-US" w:eastAsia="zh-CN"/>
              </w:rPr>
              <w:t xml:space="preserve">，不在永久基本农田、生态保护红线范围内，符合《如皋市国土空间总体规划（2021-2035年）》要求。 </w:t>
            </w:r>
          </w:p>
          <w:p w14:paraId="63AB24D9">
            <w:pPr>
              <w:bidi w:val="0"/>
              <w:spacing w:line="360" w:lineRule="auto"/>
              <w:ind w:firstLine="420" w:firstLineChars="200"/>
              <w:rPr>
                <w:rFonts w:hint="default"/>
                <w:lang w:val="en-US" w:eastAsia="zh-CN"/>
              </w:rPr>
            </w:pPr>
            <w:r>
              <w:rPr>
                <w:rFonts w:hint="default"/>
                <w:lang w:val="en-US" w:eastAsia="zh-CN"/>
              </w:rPr>
              <w:t>对照《市政府办公室印发〈关于进一步促进全市乡镇工业集聚区高质量发展的实施意见〉的通知》（通政办发〔2022〕70号）</w:t>
            </w:r>
            <w:r>
              <w:rPr>
                <w:rFonts w:hint="eastAsia"/>
                <w:lang w:val="en-US" w:eastAsia="zh-CN"/>
              </w:rPr>
              <w:t>中的相关要求</w:t>
            </w:r>
            <w:r>
              <w:rPr>
                <w:rFonts w:hint="default"/>
                <w:lang w:val="en-US" w:eastAsia="zh-CN"/>
              </w:rPr>
              <w:t xml:space="preserve"> 本项目属于</w:t>
            </w:r>
            <w:r>
              <w:rPr>
                <w:rFonts w:hint="eastAsia"/>
                <w:lang w:val="en-US" w:eastAsia="zh-CN"/>
              </w:rPr>
              <w:t>技改</w:t>
            </w:r>
            <w:r>
              <w:rPr>
                <w:rFonts w:hint="default"/>
                <w:lang w:val="en-US" w:eastAsia="zh-CN"/>
              </w:rPr>
              <w:t>项目，在原厂区范围内，</w:t>
            </w:r>
            <w:r>
              <w:rPr>
                <w:rFonts w:hint="eastAsia"/>
                <w:lang w:val="en-US" w:eastAsia="zh-CN"/>
              </w:rPr>
              <w:t>根据附件9，本项目位于工业集中区内，</w:t>
            </w:r>
            <w:r>
              <w:rPr>
                <w:rFonts w:hint="default"/>
                <w:lang w:val="en-US" w:eastAsia="zh-CN"/>
              </w:rPr>
              <w:t>符合《关于</w:t>
            </w:r>
            <w:r>
              <w:rPr>
                <w:rFonts w:hint="eastAsia"/>
                <w:lang w:val="en-US" w:eastAsia="zh-CN"/>
              </w:rPr>
              <w:t>&lt;</w:t>
            </w:r>
            <w:r>
              <w:rPr>
                <w:rFonts w:hint="default"/>
                <w:lang w:val="en-US" w:eastAsia="zh-CN"/>
              </w:rPr>
              <w:t>进一步促进全市乡镇工业集聚区高质量发展的实施意见</w:t>
            </w:r>
            <w:r>
              <w:rPr>
                <w:rFonts w:hint="eastAsia"/>
                <w:lang w:val="en-US" w:eastAsia="zh-CN"/>
              </w:rPr>
              <w:t>&gt;</w:t>
            </w:r>
            <w:r>
              <w:rPr>
                <w:rFonts w:hint="default"/>
                <w:lang w:val="en-US" w:eastAsia="zh-CN"/>
              </w:rPr>
              <w:t>的通知》（通政办发〔2022〕70号）的要求</w:t>
            </w:r>
            <w:r>
              <w:rPr>
                <w:rFonts w:hint="default"/>
                <w:lang w:eastAsia="zh-CN"/>
              </w:rPr>
              <w:t>。</w:t>
            </w:r>
          </w:p>
          <w:p w14:paraId="6BD85B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default" w:ascii="Times New Roman" w:hAnsi="Times New Roman" w:eastAsia="宋体" w:cs="Times New Roman"/>
                <w:color w:val="auto"/>
                <w:szCs w:val="24"/>
                <w:lang w:val="en-US" w:eastAsia="zh-CN"/>
              </w:rPr>
            </w:pPr>
            <w:r>
              <w:rPr>
                <w:rFonts w:hint="default" w:ascii="Times New Roman" w:hAnsi="Times New Roman" w:eastAsia="宋体" w:cs="Times New Roman"/>
                <w:color w:val="auto"/>
                <w:szCs w:val="24"/>
                <w:lang w:val="en-US" w:eastAsia="zh-CN"/>
              </w:rPr>
              <w:t>因此本项目选址合理且符合用地规划。</w:t>
            </w:r>
          </w:p>
          <w:p w14:paraId="28778C5C">
            <w:pPr>
              <w:keepNext w:val="0"/>
              <w:keepLines w:val="0"/>
              <w:pageBreakBefore w:val="0"/>
              <w:widowControl w:val="0"/>
              <w:kinsoku/>
              <w:wordWrap/>
              <w:overflowPunct/>
              <w:topLinePunct w:val="0"/>
              <w:autoSpaceDE/>
              <w:autoSpaceDN/>
              <w:bidi w:val="0"/>
              <w:adjustRightInd/>
              <w:snapToGrid/>
              <w:spacing w:line="360" w:lineRule="auto"/>
              <w:ind w:right="0" w:firstLine="482"/>
              <w:textAlignment w:val="auto"/>
              <w:rPr>
                <w:rFonts w:hint="default" w:ascii="Times New Roman" w:hAnsi="Times New Roman" w:cs="Times New Roman"/>
                <w:b/>
                <w:color w:val="auto"/>
                <w:sz w:val="21"/>
                <w:szCs w:val="21"/>
              </w:rPr>
            </w:pPr>
            <w:r>
              <w:rPr>
                <w:rFonts w:hint="default" w:ascii="Times New Roman" w:hAnsi="Times New Roman" w:eastAsia="宋体" w:cs="Times New Roman"/>
                <w:b/>
                <w:bCs/>
                <w:color w:val="auto"/>
                <w:lang w:val="en-US" w:eastAsia="zh-CN"/>
              </w:rPr>
              <w:t>3、</w:t>
            </w:r>
            <w:r>
              <w:rPr>
                <w:rFonts w:hint="eastAsia" w:cs="Times New Roman"/>
                <w:b/>
                <w:color w:val="auto"/>
                <w:sz w:val="21"/>
                <w:szCs w:val="21"/>
                <w:lang w:eastAsia="zh-CN"/>
              </w:rPr>
              <w:t>“</w:t>
            </w:r>
            <w:r>
              <w:rPr>
                <w:rFonts w:hint="default" w:ascii="Times New Roman" w:hAnsi="Times New Roman" w:cs="Times New Roman"/>
                <w:b/>
                <w:color w:val="auto"/>
                <w:sz w:val="21"/>
                <w:szCs w:val="21"/>
              </w:rPr>
              <w:t>三线一单</w:t>
            </w:r>
            <w:r>
              <w:rPr>
                <w:rFonts w:hint="default" w:ascii="Times New Roman" w:hAnsi="Times New Roman" w:cs="Times New Roman"/>
                <w:b/>
                <w:color w:val="auto"/>
                <w:sz w:val="21"/>
                <w:szCs w:val="21"/>
                <w:lang w:eastAsia="zh-CN"/>
              </w:rPr>
              <w:t>”</w:t>
            </w:r>
            <w:r>
              <w:rPr>
                <w:rFonts w:hint="default" w:ascii="Times New Roman" w:hAnsi="Times New Roman" w:cs="Times New Roman"/>
                <w:b/>
                <w:color w:val="auto"/>
                <w:sz w:val="21"/>
                <w:szCs w:val="21"/>
              </w:rPr>
              <w:t>相符性分析</w:t>
            </w:r>
          </w:p>
          <w:p w14:paraId="6797893D">
            <w:pPr>
              <w:keepNext w:val="0"/>
              <w:keepLines w:val="0"/>
              <w:pageBreakBefore w:val="0"/>
              <w:widowControl w:val="0"/>
              <w:kinsoku/>
              <w:wordWrap/>
              <w:overflowPunct/>
              <w:topLinePunct w:val="0"/>
              <w:autoSpaceDE/>
              <w:autoSpaceDN/>
              <w:bidi w:val="0"/>
              <w:adjustRightInd/>
              <w:snapToGrid/>
              <w:spacing w:line="360" w:lineRule="auto"/>
              <w:ind w:right="0" w:firstLine="482"/>
              <w:textAlignment w:val="auto"/>
              <w:rPr>
                <w:rFonts w:hint="default" w:ascii="Times New Roman" w:hAnsi="Times New Roman" w:cs="Times New Roman"/>
                <w:b/>
                <w:color w:val="auto"/>
                <w:sz w:val="21"/>
                <w:szCs w:val="21"/>
              </w:rPr>
            </w:pPr>
            <w:r>
              <w:rPr>
                <w:rFonts w:hint="eastAsia" w:ascii="Times New Roman" w:hAnsi="Times New Roman" w:cs="Times New Roman"/>
                <w:b/>
                <w:color w:val="auto"/>
                <w:sz w:val="21"/>
                <w:szCs w:val="21"/>
                <w:lang w:eastAsia="zh-CN"/>
              </w:rPr>
              <w:t>（</w:t>
            </w:r>
            <w:r>
              <w:rPr>
                <w:rFonts w:hint="eastAsia" w:ascii="Times New Roman" w:hAnsi="Times New Roman" w:cs="Times New Roman"/>
                <w:b/>
                <w:color w:val="auto"/>
                <w:sz w:val="21"/>
                <w:szCs w:val="21"/>
                <w:lang w:val="en-US" w:eastAsia="zh-CN"/>
              </w:rPr>
              <w:t>1</w:t>
            </w:r>
            <w:r>
              <w:rPr>
                <w:rFonts w:hint="eastAsia" w:ascii="Times New Roman" w:hAnsi="Times New Roman" w:cs="Times New Roman"/>
                <w:b/>
                <w:color w:val="auto"/>
                <w:sz w:val="21"/>
                <w:szCs w:val="21"/>
                <w:lang w:eastAsia="zh-CN"/>
              </w:rPr>
              <w:t>）</w:t>
            </w:r>
            <w:r>
              <w:rPr>
                <w:rFonts w:hint="default" w:ascii="Times New Roman" w:hAnsi="Times New Roman" w:cs="Times New Roman"/>
                <w:b/>
                <w:color w:val="auto"/>
                <w:sz w:val="21"/>
                <w:szCs w:val="21"/>
              </w:rPr>
              <w:t>生态红线</w:t>
            </w:r>
          </w:p>
          <w:p w14:paraId="31568AA6">
            <w:pPr>
              <w:keepNext w:val="0"/>
              <w:keepLines w:val="0"/>
              <w:pageBreakBefore w:val="0"/>
              <w:widowControl w:val="0"/>
              <w:kinsoku/>
              <w:wordWrap/>
              <w:overflowPunct/>
              <w:topLinePunct w:val="0"/>
              <w:autoSpaceDE/>
              <w:autoSpaceDN/>
              <w:bidi w:val="0"/>
              <w:adjustRightInd/>
              <w:snapToGrid/>
              <w:spacing w:line="360" w:lineRule="auto"/>
              <w:ind w:right="0" w:firstLine="48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对照</w:t>
            </w:r>
            <w:r>
              <w:rPr>
                <w:rFonts w:hint="default" w:ascii="Times New Roman" w:hAnsi="Times New Roman" w:cs="Times New Roman"/>
                <w:color w:val="auto"/>
                <w:sz w:val="21"/>
                <w:szCs w:val="21"/>
              </w:rPr>
              <w:t>《关于加强生态保护红线管理的通知》（自然资发〔2022〕142号）</w:t>
            </w:r>
            <w:r>
              <w:rPr>
                <w:rFonts w:hint="eastAsia" w:cs="Times New Roman"/>
                <w:color w:val="auto"/>
                <w:sz w:val="21"/>
                <w:szCs w:val="21"/>
                <w:lang w:eastAsia="zh-CN"/>
              </w:rPr>
              <w:t>中要求“规范管控对生态功能不造成破坏的有限人为活动。生态保护红线是国土空间规划中的重要管控边界，生态保护红线内自然保护地核心保护区外，禁止开发性、生产性建设活动，在符合法律法规的前提下，仅允许以下对生态功能不造成破坏的有限人为活动。生态保护红线内自然保护区、风景名胜区、饮用水水源保护区等区域，依照法律法规执行”。对照</w:t>
            </w:r>
            <w:r>
              <w:rPr>
                <w:rFonts w:hint="default" w:ascii="Times New Roman" w:hAnsi="Times New Roman" w:cs="Times New Roman"/>
                <w:color w:val="auto"/>
                <w:sz w:val="21"/>
                <w:szCs w:val="21"/>
              </w:rPr>
              <w:t>《省政府关于印发江苏省国土空间规划（2021-2035年）的通知》（苏政发〔2023〕69 号）、《省政府关于南通市国土空间总体规划（2021－2035年）的批复》（苏政复〔2023〕24 号）、《如皋市生态空间管控区域调整方案的复函》（苏自然资函〔2021〕1588 号），如皋市境内生态保护红线为长江长青沙饮用水水源保护区、长青沙应急水源保护区、长江如皋段刀鲚国家级水产种质资源保护区</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本项目位于如皋市</w:t>
            </w:r>
            <w:r>
              <w:rPr>
                <w:rFonts w:hint="eastAsia" w:cs="Times New Roman"/>
                <w:color w:val="auto"/>
                <w:sz w:val="21"/>
                <w:szCs w:val="21"/>
                <w:lang w:val="en-US" w:eastAsia="zh-CN"/>
              </w:rPr>
              <w:t>如城镇中山东路58号</w:t>
            </w:r>
            <w:r>
              <w:rPr>
                <w:rFonts w:hint="default" w:ascii="Times New Roman" w:hAnsi="Times New Roman" w:eastAsia="宋体" w:cs="Times New Roman"/>
                <w:color w:val="auto"/>
                <w:sz w:val="21"/>
                <w:szCs w:val="21"/>
              </w:rPr>
              <w:t>，不在红线管控区范围内，符合《江苏省国家级生态保护红线规划》要求。</w:t>
            </w:r>
          </w:p>
          <w:p w14:paraId="3B87C962">
            <w:pPr>
              <w:keepNext w:val="0"/>
              <w:keepLines w:val="0"/>
              <w:pageBreakBefore w:val="0"/>
              <w:widowControl w:val="0"/>
              <w:kinsoku/>
              <w:wordWrap/>
              <w:overflowPunct/>
              <w:topLinePunct w:val="0"/>
              <w:autoSpaceDE/>
              <w:autoSpaceDN/>
              <w:bidi w:val="0"/>
              <w:adjustRightInd/>
              <w:snapToGrid/>
              <w:spacing w:line="360" w:lineRule="auto"/>
              <w:ind w:right="0" w:firstLine="48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对照《省政府关于印发江苏省生态空间管控区域规划的通知》苏政发</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2020</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1号</w:t>
            </w:r>
            <w:r>
              <w:rPr>
                <w:rFonts w:hint="default" w:ascii="Times New Roman" w:hAnsi="Times New Roman" w:eastAsia="宋体" w:cs="Times New Roman"/>
                <w:color w:val="auto"/>
                <w:sz w:val="21"/>
                <w:szCs w:val="21"/>
                <w:lang w:eastAsia="zh-CN"/>
              </w:rPr>
              <w:t>以及</w:t>
            </w:r>
            <w:r>
              <w:rPr>
                <w:rFonts w:hint="default" w:ascii="Times New Roman" w:hAnsi="Times New Roman" w:eastAsia="宋体" w:cs="Times New Roman"/>
                <w:color w:val="auto"/>
                <w:sz w:val="21"/>
                <w:szCs w:val="21"/>
                <w:lang w:val="en-US" w:eastAsia="zh-CN"/>
              </w:rPr>
              <w:t>《如皋市生态空间管控区域调整方案》，</w:t>
            </w:r>
            <w:r>
              <w:rPr>
                <w:rFonts w:hint="default" w:ascii="Times New Roman" w:hAnsi="Times New Roman" w:eastAsia="宋体" w:cs="Times New Roman"/>
                <w:color w:val="auto"/>
                <w:sz w:val="21"/>
                <w:szCs w:val="21"/>
                <w:lang w:eastAsia="zh-CN"/>
              </w:rPr>
              <w:t>本项目</w:t>
            </w:r>
            <w:r>
              <w:rPr>
                <w:rFonts w:hint="eastAsia" w:cs="Times New Roman"/>
                <w:color w:val="auto"/>
                <w:sz w:val="21"/>
                <w:szCs w:val="21"/>
                <w:lang w:eastAsia="zh-CN"/>
              </w:rPr>
              <w:t>邻近</w:t>
            </w:r>
            <w:r>
              <w:rPr>
                <w:rFonts w:hint="default" w:ascii="Times New Roman" w:hAnsi="Times New Roman" w:cs="Times New Roman"/>
                <w:color w:val="auto"/>
                <w:sz w:val="21"/>
                <w:szCs w:val="21"/>
                <w:lang w:eastAsia="zh-CN"/>
              </w:rPr>
              <w:t>通扬运河</w:t>
            </w:r>
            <w:r>
              <w:rPr>
                <w:rFonts w:hint="default" w:ascii="Times New Roman" w:hAnsi="Times New Roman" w:eastAsia="宋体" w:cs="Times New Roman"/>
                <w:color w:val="auto"/>
                <w:sz w:val="21"/>
                <w:szCs w:val="21"/>
              </w:rPr>
              <w:t>（如皋市）清水通道维护区，</w:t>
            </w:r>
            <w:r>
              <w:rPr>
                <w:rFonts w:hint="default"/>
                <w:color w:val="auto"/>
                <w:szCs w:val="21"/>
              </w:rPr>
              <w:t>该生态空间管控区保护范围为通扬运河河道，本项目不占用河道，距离河道最</w:t>
            </w:r>
            <w:r>
              <w:rPr>
                <w:rFonts w:hint="eastAsia"/>
                <w:color w:val="auto"/>
                <w:szCs w:val="21"/>
                <w:lang w:eastAsia="zh-CN"/>
              </w:rPr>
              <w:t>近的</w:t>
            </w:r>
            <w:r>
              <w:rPr>
                <w:rFonts w:hint="default" w:ascii="Times New Roman" w:hAnsi="Times New Roman" w:eastAsia="宋体" w:cs="Times New Roman"/>
                <w:color w:val="auto"/>
                <w:sz w:val="21"/>
                <w:szCs w:val="21"/>
              </w:rPr>
              <w:t>距离为</w:t>
            </w:r>
            <w:r>
              <w:rPr>
                <w:rFonts w:hint="eastAsia" w:cs="Times New Roman"/>
                <w:color w:val="auto"/>
                <w:sz w:val="21"/>
                <w:szCs w:val="21"/>
                <w:lang w:val="en-US" w:eastAsia="zh-CN"/>
              </w:rPr>
              <w:t>5</w:t>
            </w:r>
            <w:r>
              <w:rPr>
                <w:rFonts w:hint="default" w:ascii="Times New Roman" w:hAnsi="Times New Roman" w:eastAsia="宋体" w:cs="Times New Roman"/>
                <w:color w:val="auto"/>
                <w:sz w:val="21"/>
                <w:szCs w:val="21"/>
              </w:rPr>
              <w:t>m，不在</w:t>
            </w:r>
            <w:r>
              <w:rPr>
                <w:rFonts w:hint="default" w:ascii="Times New Roman" w:hAnsi="Times New Roman" w:cs="Times New Roman"/>
                <w:color w:val="auto"/>
                <w:sz w:val="21"/>
                <w:szCs w:val="21"/>
                <w:lang w:eastAsia="zh-CN"/>
              </w:rPr>
              <w:t>通扬</w:t>
            </w:r>
            <w:r>
              <w:rPr>
                <w:rFonts w:hint="default" w:ascii="Times New Roman" w:hAnsi="Times New Roman" w:eastAsia="宋体" w:cs="Times New Roman"/>
                <w:color w:val="auto"/>
                <w:sz w:val="21"/>
                <w:szCs w:val="21"/>
                <w:lang w:eastAsia="zh-CN"/>
              </w:rPr>
              <w:t>运河</w:t>
            </w:r>
            <w:r>
              <w:rPr>
                <w:rFonts w:hint="default" w:ascii="Times New Roman" w:hAnsi="Times New Roman" w:eastAsia="宋体" w:cs="Times New Roman"/>
                <w:color w:val="auto"/>
                <w:sz w:val="21"/>
                <w:szCs w:val="21"/>
              </w:rPr>
              <w:t>（如皋市）清水通道维护区内，在项目评价范围内不涉及如皋市范围内的重要生态空间保护区域，不会导致如皋市辖区内生态空间保护区域重要生态服务功能下降。</w:t>
            </w:r>
          </w:p>
          <w:p w14:paraId="5D0282D4">
            <w:pPr>
              <w:pStyle w:val="53"/>
              <w:snapToGrid w:val="0"/>
              <w:spacing w:line="240" w:lineRule="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表1</w:t>
            </w:r>
            <w:r>
              <w:rPr>
                <w:rFonts w:hint="eastAsia" w:ascii="Times New Roman" w:hAnsi="Times New Roman" w:eastAsia="宋体" w:cs="Times New Roman"/>
                <w:b/>
                <w:bCs/>
                <w:color w:val="auto"/>
                <w:sz w:val="21"/>
                <w:szCs w:val="21"/>
                <w:lang w:val="en-US" w:eastAsia="zh-CN"/>
              </w:rPr>
              <w:t>-</w:t>
            </w:r>
            <w:r>
              <w:rPr>
                <w:rFonts w:hint="eastAsia" w:cs="Times New Roman"/>
                <w:b/>
                <w:bCs/>
                <w:color w:val="auto"/>
                <w:sz w:val="21"/>
                <w:szCs w:val="21"/>
                <w:lang w:val="en-US" w:eastAsia="zh-CN"/>
              </w:rPr>
              <w:t xml:space="preserve">1  </w:t>
            </w:r>
            <w:r>
              <w:rPr>
                <w:rFonts w:hint="default" w:ascii="Times New Roman" w:hAnsi="Times New Roman" w:eastAsia="宋体" w:cs="Times New Roman"/>
                <w:b/>
                <w:bCs/>
                <w:color w:val="auto"/>
                <w:sz w:val="21"/>
                <w:szCs w:val="21"/>
              </w:rPr>
              <w:t>项目所在区域最近生态红线保护区</w:t>
            </w:r>
          </w:p>
          <w:tbl>
            <w:tblPr>
              <w:tblStyle w:val="23"/>
              <w:tblW w:w="4998" w:type="pct"/>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438"/>
              <w:gridCol w:w="653"/>
              <w:gridCol w:w="982"/>
              <w:gridCol w:w="636"/>
              <w:gridCol w:w="846"/>
              <w:gridCol w:w="1010"/>
              <w:gridCol w:w="934"/>
              <w:gridCol w:w="750"/>
            </w:tblGrid>
            <w:tr w14:paraId="78D82D75">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PrEx>
              <w:trPr>
                <w:trHeight w:val="397" w:hRule="atLeast"/>
                <w:jc w:val="center"/>
              </w:trPr>
              <w:tc>
                <w:tcPr>
                  <w:tcW w:w="500" w:type="pct"/>
                  <w:vMerge w:val="restart"/>
                  <w:tcBorders>
                    <w:left w:val="nil"/>
                  </w:tcBorders>
                  <w:noWrap w:val="0"/>
                  <w:vAlign w:val="center"/>
                </w:tcPr>
                <w:p w14:paraId="4DA60C02">
                  <w:pPr>
                    <w:pStyle w:val="49"/>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生态空间保护区域名称</w:t>
                  </w:r>
                </w:p>
              </w:tc>
              <w:tc>
                <w:tcPr>
                  <w:tcW w:w="315" w:type="pct"/>
                  <w:vMerge w:val="restart"/>
                  <w:noWrap w:val="0"/>
                  <w:vAlign w:val="center"/>
                </w:tcPr>
                <w:p w14:paraId="644BD3DF">
                  <w:pPr>
                    <w:pStyle w:val="49"/>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主导生态功能</w:t>
                  </w:r>
                </w:p>
              </w:tc>
              <w:tc>
                <w:tcPr>
                  <w:tcW w:w="1177" w:type="pct"/>
                  <w:gridSpan w:val="2"/>
                  <w:noWrap w:val="0"/>
                  <w:vAlign w:val="center"/>
                </w:tcPr>
                <w:p w14:paraId="46221A7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0"/>
                      <w:sz w:val="21"/>
                      <w:szCs w:val="21"/>
                    </w:rPr>
                    <w:t>范围</w:t>
                  </w:r>
                </w:p>
              </w:tc>
              <w:tc>
                <w:tcPr>
                  <w:tcW w:w="1794" w:type="pct"/>
                  <w:gridSpan w:val="3"/>
                  <w:noWrap w:val="0"/>
                  <w:tcMar>
                    <w:left w:w="28" w:type="dxa"/>
                    <w:right w:w="28" w:type="dxa"/>
                  </w:tcMar>
                  <w:vAlign w:val="center"/>
                </w:tcPr>
                <w:p w14:paraId="26C8DB00">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0"/>
                      <w:sz w:val="21"/>
                      <w:szCs w:val="21"/>
                    </w:rPr>
                    <w:t>面积（</w:t>
                  </w:r>
                  <w:r>
                    <w:rPr>
                      <w:rFonts w:hint="default" w:ascii="Times New Roman" w:hAnsi="Times New Roman" w:eastAsia="宋体" w:cs="Times New Roman"/>
                      <w:b/>
                      <w:bCs/>
                      <w:color w:val="auto"/>
                      <w:kern w:val="0"/>
                      <w:sz w:val="21"/>
                      <w:szCs w:val="21"/>
                      <w:lang w:eastAsia="zh-CN"/>
                    </w:rPr>
                    <w:t>公顷</w:t>
                  </w:r>
                  <w:r>
                    <w:rPr>
                      <w:rFonts w:hint="default" w:ascii="Times New Roman" w:hAnsi="Times New Roman" w:eastAsia="宋体" w:cs="Times New Roman"/>
                      <w:b/>
                      <w:bCs/>
                      <w:color w:val="auto"/>
                      <w:kern w:val="0"/>
                      <w:sz w:val="21"/>
                      <w:szCs w:val="21"/>
                    </w:rPr>
                    <w:t>）</w:t>
                  </w:r>
                </w:p>
              </w:tc>
              <w:tc>
                <w:tcPr>
                  <w:tcW w:w="672" w:type="pct"/>
                  <w:vMerge w:val="restart"/>
                  <w:tcBorders>
                    <w:right w:val="nil"/>
                  </w:tcBorders>
                  <w:noWrap w:val="0"/>
                  <w:vAlign w:val="center"/>
                </w:tcPr>
                <w:p w14:paraId="4393E78D">
                  <w:pPr>
                    <w:pStyle w:val="49"/>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距本项目最近距离</w:t>
                  </w:r>
                  <w:r>
                    <w:rPr>
                      <w:rFonts w:hint="default" w:ascii="Times New Roman" w:hAnsi="Times New Roman" w:cs="Times New Roman"/>
                      <w:b/>
                      <w:bCs/>
                      <w:color w:val="auto"/>
                      <w:sz w:val="21"/>
                      <w:szCs w:val="21"/>
                      <w:lang w:eastAsia="zh-CN"/>
                    </w:rPr>
                    <w:t>（</w:t>
                  </w:r>
                  <w:r>
                    <w:rPr>
                      <w:rFonts w:hint="default" w:ascii="Times New Roman" w:hAnsi="Times New Roman" w:eastAsia="宋体" w:cs="Times New Roman"/>
                      <w:b/>
                      <w:bCs/>
                      <w:color w:val="auto"/>
                      <w:sz w:val="21"/>
                      <w:szCs w:val="21"/>
                    </w:rPr>
                    <w:t>m</w:t>
                  </w:r>
                  <w:r>
                    <w:rPr>
                      <w:rFonts w:hint="default" w:ascii="Times New Roman" w:hAnsi="Times New Roman" w:cs="Times New Roman"/>
                      <w:b/>
                      <w:bCs/>
                      <w:color w:val="auto"/>
                      <w:sz w:val="21"/>
                      <w:szCs w:val="21"/>
                      <w:lang w:eastAsia="zh-CN"/>
                    </w:rPr>
                    <w:t>）</w:t>
                  </w:r>
                </w:p>
              </w:tc>
              <w:tc>
                <w:tcPr>
                  <w:tcW w:w="540" w:type="pct"/>
                  <w:vMerge w:val="restart"/>
                  <w:tcBorders>
                    <w:right w:val="nil"/>
                  </w:tcBorders>
                  <w:noWrap w:val="0"/>
                  <w:vAlign w:val="center"/>
                </w:tcPr>
                <w:p w14:paraId="7BB74950">
                  <w:pPr>
                    <w:pStyle w:val="49"/>
                    <w:keepNext w:val="0"/>
                    <w:keepLines w:val="0"/>
                    <w:suppressLineNumbers w:val="0"/>
                    <w:adjustRightInd w:val="0"/>
                    <w:snapToGrid w:val="0"/>
                    <w:spacing w:before="0" w:beforeAutospacing="0" w:after="0" w:afterAutospacing="0"/>
                    <w:ind w:left="0" w:right="0"/>
                    <w:rPr>
                      <w:rFonts w:hint="eastAsia" w:ascii="Times New Roman" w:hAnsi="Times New Roman" w:eastAsia="宋体" w:cs="Times New Roman"/>
                      <w:b/>
                      <w:bCs/>
                      <w:color w:val="auto"/>
                      <w:sz w:val="21"/>
                      <w:szCs w:val="21"/>
                      <w:lang w:eastAsia="zh-CN"/>
                    </w:rPr>
                  </w:pPr>
                  <w:r>
                    <w:rPr>
                      <w:rFonts w:hint="eastAsia" w:ascii="Times New Roman" w:hAnsi="Times New Roman" w:eastAsia="宋体" w:cs="Times New Roman"/>
                      <w:b/>
                      <w:bCs/>
                      <w:color w:val="auto"/>
                      <w:sz w:val="21"/>
                      <w:szCs w:val="21"/>
                      <w:lang w:eastAsia="zh-CN"/>
                    </w:rPr>
                    <w:t>相对厂址方向</w:t>
                  </w:r>
                </w:p>
              </w:tc>
            </w:tr>
            <w:tr w14:paraId="3EA64C36">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 w:type="pct"/>
                  <w:vMerge w:val="continue"/>
                  <w:tcBorders>
                    <w:left w:val="nil"/>
                  </w:tcBorders>
                  <w:noWrap w:val="0"/>
                  <w:vAlign w:val="center"/>
                </w:tcPr>
                <w:p w14:paraId="0B550732">
                  <w:pPr>
                    <w:pStyle w:val="49"/>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bCs/>
                      <w:color w:val="auto"/>
                      <w:sz w:val="21"/>
                      <w:szCs w:val="21"/>
                    </w:rPr>
                  </w:pPr>
                </w:p>
              </w:tc>
              <w:tc>
                <w:tcPr>
                  <w:tcW w:w="315" w:type="pct"/>
                  <w:vMerge w:val="continue"/>
                  <w:noWrap w:val="0"/>
                  <w:vAlign w:val="center"/>
                </w:tcPr>
                <w:p w14:paraId="3FC93850">
                  <w:pPr>
                    <w:pStyle w:val="49"/>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bCs/>
                      <w:color w:val="auto"/>
                      <w:sz w:val="21"/>
                      <w:szCs w:val="21"/>
                    </w:rPr>
                  </w:pPr>
                </w:p>
              </w:tc>
              <w:tc>
                <w:tcPr>
                  <w:tcW w:w="470" w:type="pct"/>
                  <w:noWrap w:val="0"/>
                  <w:vAlign w:val="center"/>
                </w:tcPr>
                <w:p w14:paraId="49A35E4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0"/>
                      <w:sz w:val="21"/>
                      <w:szCs w:val="21"/>
                    </w:rPr>
                    <w:t>国家级生态保护红线范围</w:t>
                  </w:r>
                </w:p>
              </w:tc>
              <w:tc>
                <w:tcPr>
                  <w:tcW w:w="706" w:type="pct"/>
                  <w:noWrap w:val="0"/>
                  <w:vAlign w:val="center"/>
                </w:tcPr>
                <w:p w14:paraId="770F7AD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0"/>
                      <w:sz w:val="21"/>
                      <w:szCs w:val="21"/>
                    </w:rPr>
                    <w:t>生态空间管控区域范围</w:t>
                  </w:r>
                </w:p>
              </w:tc>
              <w:tc>
                <w:tcPr>
                  <w:tcW w:w="458" w:type="pct"/>
                  <w:noWrap w:val="0"/>
                  <w:tcMar>
                    <w:left w:w="28" w:type="dxa"/>
                    <w:right w:w="28" w:type="dxa"/>
                  </w:tcMar>
                  <w:vAlign w:val="center"/>
                </w:tcPr>
                <w:p w14:paraId="2331743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0"/>
                      <w:sz w:val="21"/>
                      <w:szCs w:val="21"/>
                    </w:rPr>
                    <w:t>国家级保护红线面积</w:t>
                  </w:r>
                </w:p>
              </w:tc>
              <w:tc>
                <w:tcPr>
                  <w:tcW w:w="609" w:type="pct"/>
                  <w:noWrap w:val="0"/>
                  <w:tcMar>
                    <w:left w:w="28" w:type="dxa"/>
                    <w:right w:w="28" w:type="dxa"/>
                  </w:tcMar>
                  <w:vAlign w:val="center"/>
                </w:tcPr>
                <w:p w14:paraId="424E5AD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0"/>
                      <w:sz w:val="21"/>
                      <w:szCs w:val="21"/>
                    </w:rPr>
                    <w:t>生态空间管控区域面积</w:t>
                  </w:r>
                </w:p>
              </w:tc>
              <w:tc>
                <w:tcPr>
                  <w:tcW w:w="726" w:type="pct"/>
                  <w:noWrap w:val="0"/>
                  <w:vAlign w:val="center"/>
                </w:tcPr>
                <w:p w14:paraId="04AE27C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0"/>
                      <w:sz w:val="21"/>
                      <w:szCs w:val="21"/>
                    </w:rPr>
                    <w:t>总面积</w:t>
                  </w:r>
                </w:p>
              </w:tc>
              <w:tc>
                <w:tcPr>
                  <w:tcW w:w="672" w:type="pct"/>
                  <w:vMerge w:val="continue"/>
                  <w:tcBorders>
                    <w:right w:val="nil"/>
                  </w:tcBorders>
                  <w:noWrap w:val="0"/>
                  <w:tcMar>
                    <w:left w:w="28" w:type="dxa"/>
                    <w:right w:w="28" w:type="dxa"/>
                  </w:tcMar>
                  <w:vAlign w:val="center"/>
                </w:tcPr>
                <w:p w14:paraId="3FC1B9C7">
                  <w:pPr>
                    <w:pStyle w:val="49"/>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bCs/>
                      <w:color w:val="auto"/>
                      <w:sz w:val="21"/>
                      <w:szCs w:val="21"/>
                    </w:rPr>
                  </w:pPr>
                </w:p>
              </w:tc>
              <w:tc>
                <w:tcPr>
                  <w:tcW w:w="540" w:type="pct"/>
                  <w:vMerge w:val="continue"/>
                  <w:tcBorders>
                    <w:right w:val="nil"/>
                  </w:tcBorders>
                  <w:noWrap w:val="0"/>
                  <w:tcMar>
                    <w:left w:w="28" w:type="dxa"/>
                    <w:right w:w="28" w:type="dxa"/>
                  </w:tcMar>
                  <w:vAlign w:val="center"/>
                </w:tcPr>
                <w:p w14:paraId="30CCD430">
                  <w:pPr>
                    <w:pStyle w:val="49"/>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bCs/>
                      <w:color w:val="auto"/>
                      <w:sz w:val="21"/>
                      <w:szCs w:val="21"/>
                    </w:rPr>
                  </w:pPr>
                </w:p>
              </w:tc>
            </w:tr>
            <w:tr w14:paraId="5E2DD23B">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 w:type="pct"/>
                  <w:tcBorders>
                    <w:left w:val="nil"/>
                  </w:tcBorders>
                  <w:noWrap w:val="0"/>
                  <w:vAlign w:val="center"/>
                </w:tcPr>
                <w:p w14:paraId="56C5AD4F">
                  <w:pPr>
                    <w:pStyle w:val="49"/>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通扬运河（如皋市）清水通道维护区</w:t>
                  </w:r>
                </w:p>
              </w:tc>
              <w:tc>
                <w:tcPr>
                  <w:tcW w:w="315" w:type="pct"/>
                  <w:noWrap w:val="0"/>
                  <w:vAlign w:val="center"/>
                </w:tcPr>
                <w:p w14:paraId="21EA154F">
                  <w:pPr>
                    <w:pStyle w:val="49"/>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水源水质保护区</w:t>
                  </w:r>
                </w:p>
              </w:tc>
              <w:tc>
                <w:tcPr>
                  <w:tcW w:w="470" w:type="pct"/>
                  <w:noWrap w:val="0"/>
                  <w:vAlign w:val="center"/>
                </w:tcPr>
                <w:p w14:paraId="564812DC">
                  <w:pPr>
                    <w:pStyle w:val="49"/>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706" w:type="pct"/>
                  <w:noWrap w:val="0"/>
                  <w:vAlign w:val="center"/>
                </w:tcPr>
                <w:p w14:paraId="252D2D0A">
                  <w:pPr>
                    <w:pStyle w:val="49"/>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如皋市境内</w:t>
                  </w:r>
                  <w:r>
                    <w:rPr>
                      <w:rFonts w:hint="default" w:ascii="Times New Roman" w:hAnsi="Times New Roman" w:eastAsia="宋体" w:cs="Times New Roman"/>
                      <w:color w:val="auto"/>
                      <w:sz w:val="21"/>
                      <w:szCs w:val="21"/>
                      <w:lang w:eastAsia="zh-CN"/>
                    </w:rPr>
                    <w:t>通扬运河</w:t>
                  </w:r>
                </w:p>
              </w:tc>
              <w:tc>
                <w:tcPr>
                  <w:tcW w:w="458" w:type="pct"/>
                  <w:noWrap w:val="0"/>
                  <w:tcMar>
                    <w:left w:w="28" w:type="dxa"/>
                    <w:right w:w="28" w:type="dxa"/>
                  </w:tcMar>
                  <w:vAlign w:val="center"/>
                </w:tcPr>
                <w:p w14:paraId="40AD40D5">
                  <w:pPr>
                    <w:pStyle w:val="49"/>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609" w:type="pct"/>
                  <w:noWrap w:val="0"/>
                  <w:tcMar>
                    <w:left w:w="28" w:type="dxa"/>
                    <w:right w:w="28" w:type="dxa"/>
                  </w:tcMar>
                  <w:vAlign w:val="center"/>
                </w:tcPr>
                <w:p w14:paraId="107C8E44">
                  <w:pPr>
                    <w:pStyle w:val="49"/>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241.0347</w:t>
                  </w:r>
                </w:p>
              </w:tc>
              <w:tc>
                <w:tcPr>
                  <w:tcW w:w="726" w:type="pct"/>
                  <w:noWrap w:val="0"/>
                  <w:vAlign w:val="center"/>
                </w:tcPr>
                <w:p w14:paraId="31F724AE">
                  <w:pPr>
                    <w:pStyle w:val="49"/>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8510.765</w:t>
                  </w:r>
                </w:p>
              </w:tc>
              <w:tc>
                <w:tcPr>
                  <w:tcW w:w="672" w:type="pct"/>
                  <w:tcBorders>
                    <w:right w:val="nil"/>
                  </w:tcBorders>
                  <w:noWrap w:val="0"/>
                  <w:tcMar>
                    <w:left w:w="28" w:type="dxa"/>
                    <w:right w:w="28" w:type="dxa"/>
                  </w:tcMar>
                  <w:vAlign w:val="center"/>
                </w:tcPr>
                <w:p w14:paraId="2EA02838">
                  <w:pPr>
                    <w:pStyle w:val="49"/>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w:t>
                  </w:r>
                </w:p>
              </w:tc>
              <w:tc>
                <w:tcPr>
                  <w:tcW w:w="540" w:type="pct"/>
                  <w:tcBorders>
                    <w:right w:val="nil"/>
                  </w:tcBorders>
                  <w:noWrap w:val="0"/>
                  <w:tcMar>
                    <w:left w:w="28" w:type="dxa"/>
                    <w:right w:w="28" w:type="dxa"/>
                  </w:tcMar>
                  <w:vAlign w:val="center"/>
                </w:tcPr>
                <w:p w14:paraId="4E97E264">
                  <w:pPr>
                    <w:pStyle w:val="49"/>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N</w:t>
                  </w:r>
                </w:p>
              </w:tc>
            </w:tr>
          </w:tbl>
          <w:p w14:paraId="3BA16739">
            <w:pPr>
              <w:keepNext w:val="0"/>
              <w:keepLines w:val="0"/>
              <w:pageBreakBefore w:val="0"/>
              <w:widowControl w:val="0"/>
              <w:kinsoku/>
              <w:wordWrap/>
              <w:overflowPunct/>
              <w:topLinePunct w:val="0"/>
              <w:autoSpaceDE/>
              <w:autoSpaceDN/>
              <w:bidi w:val="0"/>
              <w:adjustRightInd/>
              <w:snapToGrid/>
              <w:spacing w:line="360" w:lineRule="auto"/>
              <w:ind w:right="0" w:firstLine="48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因此，本项目与《省政府关于印发江苏省生态空间管控区域规划的通知》苏政发</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2020</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1号</w:t>
            </w:r>
            <w:r>
              <w:rPr>
                <w:rFonts w:hint="default" w:ascii="Times New Roman" w:hAnsi="Times New Roman" w:eastAsia="宋体" w:cs="Times New Roman"/>
                <w:color w:val="auto"/>
                <w:sz w:val="21"/>
                <w:szCs w:val="21"/>
                <w:lang w:eastAsia="zh-CN"/>
              </w:rPr>
              <w:t>以及</w:t>
            </w:r>
            <w:r>
              <w:rPr>
                <w:rFonts w:hint="default" w:ascii="Times New Roman" w:hAnsi="Times New Roman" w:eastAsia="宋体" w:cs="Times New Roman"/>
                <w:color w:val="auto"/>
                <w:sz w:val="21"/>
                <w:szCs w:val="21"/>
                <w:lang w:val="en-US" w:eastAsia="zh-CN"/>
              </w:rPr>
              <w:t>《如皋市生态空间管控区域调整方案》</w:t>
            </w:r>
            <w:r>
              <w:rPr>
                <w:rFonts w:hint="default" w:ascii="Times New Roman" w:hAnsi="Times New Roman" w:eastAsia="宋体" w:cs="Times New Roman"/>
                <w:color w:val="auto"/>
                <w:sz w:val="21"/>
                <w:szCs w:val="21"/>
              </w:rPr>
              <w:t>是相符的。</w:t>
            </w:r>
            <w:r>
              <w:rPr>
                <w:rFonts w:hint="default" w:ascii="Times New Roman" w:hAnsi="Times New Roman" w:eastAsia="宋体" w:cs="Times New Roman"/>
                <w:color w:val="auto"/>
                <w:sz w:val="21"/>
                <w:szCs w:val="21"/>
                <w:lang w:eastAsia="zh-CN"/>
              </w:rPr>
              <w:t>如皋市生态管控区域调整示意图</w:t>
            </w:r>
            <w:r>
              <w:rPr>
                <w:rFonts w:hint="default" w:ascii="Times New Roman" w:hAnsi="Times New Roman" w:eastAsia="宋体" w:cs="Times New Roman"/>
                <w:color w:val="auto"/>
                <w:sz w:val="21"/>
                <w:szCs w:val="21"/>
              </w:rPr>
              <w:t>见附图</w:t>
            </w:r>
            <w:r>
              <w:rPr>
                <w:rFonts w:hint="default"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rPr>
              <w:t>。</w:t>
            </w:r>
          </w:p>
          <w:p w14:paraId="13B8D3B9">
            <w:pPr>
              <w:keepNext w:val="0"/>
              <w:keepLines w:val="0"/>
              <w:pageBreakBefore w:val="0"/>
              <w:widowControl w:val="0"/>
              <w:kinsoku/>
              <w:wordWrap/>
              <w:overflowPunct/>
              <w:topLinePunct w:val="0"/>
              <w:autoSpaceDE/>
              <w:autoSpaceDN/>
              <w:bidi w:val="0"/>
              <w:adjustRightInd/>
              <w:snapToGrid/>
              <w:spacing w:line="360" w:lineRule="auto"/>
              <w:ind w:right="0" w:firstLine="482"/>
              <w:textAlignment w:val="auto"/>
              <w:rPr>
                <w:rFonts w:hint="default" w:ascii="Times New Roman" w:hAnsi="Times New Roman" w:cs="Times New Roman"/>
                <w:b/>
                <w:color w:val="auto"/>
                <w:sz w:val="21"/>
                <w:szCs w:val="21"/>
              </w:rPr>
            </w:pPr>
            <w:r>
              <w:rPr>
                <w:rFonts w:hint="eastAsia" w:ascii="Times New Roman" w:hAnsi="Times New Roman" w:cs="Times New Roman"/>
                <w:b/>
                <w:color w:val="auto"/>
                <w:sz w:val="21"/>
                <w:szCs w:val="21"/>
                <w:lang w:eastAsia="zh-CN"/>
              </w:rPr>
              <w:t>（</w:t>
            </w:r>
            <w:r>
              <w:rPr>
                <w:rFonts w:hint="eastAsia" w:ascii="Times New Roman" w:hAnsi="Times New Roman" w:cs="Times New Roman"/>
                <w:b/>
                <w:color w:val="auto"/>
                <w:sz w:val="21"/>
                <w:szCs w:val="21"/>
                <w:lang w:val="en-US" w:eastAsia="zh-CN"/>
              </w:rPr>
              <w:t>2</w:t>
            </w:r>
            <w:r>
              <w:rPr>
                <w:rFonts w:hint="eastAsia" w:ascii="Times New Roman" w:hAnsi="Times New Roman" w:cs="Times New Roman"/>
                <w:b/>
                <w:color w:val="auto"/>
                <w:sz w:val="21"/>
                <w:szCs w:val="21"/>
                <w:lang w:eastAsia="zh-CN"/>
              </w:rPr>
              <w:t>）</w:t>
            </w:r>
            <w:r>
              <w:rPr>
                <w:rFonts w:hint="default" w:ascii="Times New Roman" w:hAnsi="Times New Roman" w:cs="Times New Roman"/>
                <w:b/>
                <w:color w:val="auto"/>
                <w:sz w:val="21"/>
                <w:szCs w:val="21"/>
              </w:rPr>
              <w:t>质量底线</w:t>
            </w:r>
          </w:p>
          <w:p w14:paraId="1DF02145">
            <w:pPr>
              <w:bidi w:val="0"/>
              <w:spacing w:line="360" w:lineRule="auto"/>
              <w:ind w:firstLine="420" w:firstLineChars="200"/>
              <w:rPr>
                <w:rFonts w:hint="default"/>
              </w:rPr>
            </w:pPr>
            <w:r>
              <w:rPr>
                <w:rFonts w:hint="default"/>
              </w:rPr>
              <w:t>根据2023年南通市生态环境状况公报，如皋市除O3外基本污染物均能满足《环境空气质量标准》（GB3095-2012）二级标准，O38h平均第90分位质量浓度劣于二级标准，判定为不达标区。</w:t>
            </w:r>
          </w:p>
          <w:p w14:paraId="5618806B">
            <w:pPr>
              <w:bidi w:val="0"/>
              <w:spacing w:line="360" w:lineRule="auto"/>
              <w:ind w:firstLine="420" w:firstLineChars="200"/>
              <w:rPr>
                <w:rFonts w:hint="default"/>
              </w:rPr>
            </w:pPr>
            <w:r>
              <w:rPr>
                <w:rFonts w:hint="default"/>
              </w:rPr>
              <w:t>根据《市政府关于印发南通市空气质量持续改善行动计划实施方案的通知》（通政发2024年24号）中</w:t>
            </w:r>
            <w:r>
              <w:rPr>
                <w:rFonts w:hint="eastAsia"/>
                <w:lang w:eastAsia="zh-CN"/>
              </w:rPr>
              <w:t>“</w:t>
            </w:r>
            <w:r>
              <w:rPr>
                <w:rFonts w:hint="default"/>
              </w:rPr>
              <w:t>二、优化产业结构，促进产业产品绿色升级；六、强化多污染物减排，切实降低排放强度。（十二）强化 VOCs 全流程、全环节综合治理。（十三）推进重点行业超低排放与提标改造。”等实施方案要求，持续推进环境空气质量持续改善。</w:t>
            </w:r>
          </w:p>
          <w:p w14:paraId="64CFF76E">
            <w:pPr>
              <w:bidi w:val="0"/>
              <w:spacing w:line="360" w:lineRule="auto"/>
              <w:ind w:firstLine="420" w:firstLineChars="200"/>
              <w:rPr>
                <w:rFonts w:hint="default"/>
              </w:rPr>
            </w:pPr>
            <w:r>
              <w:rPr>
                <w:rFonts w:hint="default"/>
              </w:rPr>
              <w:t>2023年南通市共有16个国家考核断面，均达到或优于《地表水环境质量标准》（GB3838-2002）Ⅲ类标准。55个省考以上断面中，碾砣港闸、聚南大桥、营船港闸、通吕二号桥等19个断面水质符合Ⅱ类标准，孙窑大桥、嫩江路桥、新江海河桥、团结新大桥等36个断面水质符合Ⅲ类标准，优Ⅲ类比例100%，高于省定98.2%的考核标准；无Ⅴ类和劣Ⅴ类断面。</w:t>
            </w:r>
          </w:p>
          <w:p w14:paraId="7B647B40">
            <w:pPr>
              <w:bidi w:val="0"/>
              <w:spacing w:line="360" w:lineRule="auto"/>
              <w:ind w:firstLine="420" w:firstLineChars="200"/>
              <w:rPr>
                <w:rFonts w:hint="default"/>
              </w:rPr>
            </w:pPr>
            <w:r>
              <w:rPr>
                <w:rFonts w:hint="default"/>
              </w:rPr>
              <w:t>2023年，南通市区区域声环境昼、夜间平均等效声级别值分别为56.5dB(A)、45.2dB(A)。</w:t>
            </w:r>
          </w:p>
          <w:p w14:paraId="23C9A0F2">
            <w:pPr>
              <w:bidi w:val="0"/>
              <w:spacing w:line="360" w:lineRule="auto"/>
              <w:ind w:firstLine="420" w:firstLineChars="200"/>
              <w:rPr>
                <w:rFonts w:hint="default"/>
              </w:rPr>
            </w:pPr>
            <w:r>
              <w:rPr>
                <w:rFonts w:hint="default"/>
              </w:rPr>
              <w:t>本项目运营期采取相应的污染防治措施后，各类污染物能够达标排放，不会改变区域环境功能区质量要求，能维持环境功能区质量现状</w:t>
            </w:r>
            <w:r>
              <w:rPr>
                <w:rFonts w:hint="default"/>
                <w:lang w:val="en-US" w:eastAsia="zh-CN"/>
              </w:rPr>
              <w:t>。</w:t>
            </w:r>
          </w:p>
          <w:p w14:paraId="14C58E65">
            <w:pPr>
              <w:keepNext w:val="0"/>
              <w:keepLines w:val="0"/>
              <w:pageBreakBefore w:val="0"/>
              <w:widowControl w:val="0"/>
              <w:kinsoku/>
              <w:wordWrap/>
              <w:overflowPunct/>
              <w:topLinePunct w:val="0"/>
              <w:autoSpaceDE/>
              <w:autoSpaceDN/>
              <w:bidi w:val="0"/>
              <w:adjustRightInd/>
              <w:snapToGrid/>
              <w:spacing w:line="360" w:lineRule="auto"/>
              <w:ind w:right="0" w:firstLine="480"/>
              <w:textAlignment w:val="auto"/>
              <w:rPr>
                <w:rFonts w:hint="default"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lang w:eastAsia="zh-CN"/>
              </w:rPr>
              <w:t>（</w:t>
            </w:r>
            <w:r>
              <w:rPr>
                <w:rFonts w:hint="eastAsia" w:ascii="Times New Roman" w:hAnsi="Times New Roman" w:eastAsia="宋体" w:cs="Times New Roman"/>
                <w:b/>
                <w:bCs/>
                <w:color w:val="auto"/>
                <w:sz w:val="21"/>
                <w:szCs w:val="21"/>
                <w:lang w:val="en-US" w:eastAsia="zh-CN"/>
              </w:rPr>
              <w:t>3</w:t>
            </w:r>
            <w:r>
              <w:rPr>
                <w:rFonts w:hint="eastAsia" w:ascii="Times New Roman" w:hAnsi="Times New Roman" w:eastAsia="宋体" w:cs="Times New Roman"/>
                <w:b/>
                <w:bCs/>
                <w:color w:val="auto"/>
                <w:sz w:val="21"/>
                <w:szCs w:val="21"/>
                <w:lang w:eastAsia="zh-CN"/>
              </w:rPr>
              <w:t>）</w:t>
            </w:r>
            <w:r>
              <w:rPr>
                <w:rFonts w:hint="default" w:ascii="Times New Roman" w:hAnsi="Times New Roman" w:eastAsia="宋体" w:cs="Times New Roman"/>
                <w:b/>
                <w:bCs/>
                <w:color w:val="auto"/>
                <w:sz w:val="21"/>
                <w:szCs w:val="21"/>
              </w:rPr>
              <w:t>资源利用上线</w:t>
            </w:r>
          </w:p>
          <w:p w14:paraId="7D869FB4">
            <w:pPr>
              <w:pStyle w:val="56"/>
              <w:spacing w:line="360" w:lineRule="auto"/>
              <w:rPr>
                <w:rFonts w:hint="default" w:ascii="Times New Roman" w:hAnsi="Times New Roman" w:cs="Times New Roman"/>
                <w:color w:val="auto"/>
              </w:rPr>
            </w:pPr>
            <w:r>
              <w:rPr>
                <w:rFonts w:hint="default" w:ascii="Times New Roman" w:hAnsi="Times New Roman" w:cs="Times New Roman"/>
                <w:color w:val="auto"/>
                <w:lang w:eastAsia="zh-CN"/>
              </w:rPr>
              <w:t>本项目生产所用资源主要为</w:t>
            </w:r>
            <w:r>
              <w:rPr>
                <w:rFonts w:hint="eastAsia" w:cs="Times New Roman"/>
                <w:color w:val="auto"/>
                <w:lang w:eastAsia="zh-CN"/>
              </w:rPr>
              <w:t>生物质和电能</w:t>
            </w:r>
            <w:r>
              <w:rPr>
                <w:rFonts w:hint="default" w:ascii="Times New Roman" w:hAnsi="Times New Roman" w:cs="Times New Roman"/>
                <w:color w:val="auto"/>
                <w:lang w:eastAsia="zh-CN"/>
              </w:rPr>
              <w:t>，不属于</w:t>
            </w:r>
            <w:r>
              <w:rPr>
                <w:rFonts w:hint="eastAsia" w:cs="Times New Roman"/>
                <w:color w:val="auto"/>
                <w:lang w:eastAsia="zh-CN"/>
              </w:rPr>
              <w:t>“</w:t>
            </w:r>
            <w:r>
              <w:rPr>
                <w:rFonts w:hint="default" w:ascii="Times New Roman" w:hAnsi="Times New Roman" w:cs="Times New Roman"/>
                <w:color w:val="auto"/>
                <w:lang w:eastAsia="zh-CN"/>
              </w:rPr>
              <w:t>两高”行业建设项目，用电由市政供应，不会突破当地的资源利用上线，</w:t>
            </w:r>
            <w:r>
              <w:rPr>
                <w:rFonts w:hint="default" w:ascii="Times New Roman" w:hAnsi="Times New Roman" w:cs="Times New Roman"/>
                <w:color w:val="auto"/>
              </w:rPr>
              <w:t>符合资源利用上线的要求。</w:t>
            </w:r>
          </w:p>
          <w:p w14:paraId="067F0C77">
            <w:pPr>
              <w:keepNext w:val="0"/>
              <w:keepLines w:val="0"/>
              <w:pageBreakBefore w:val="0"/>
              <w:widowControl w:val="0"/>
              <w:kinsoku/>
              <w:wordWrap/>
              <w:overflowPunct/>
              <w:topLinePunct w:val="0"/>
              <w:autoSpaceDE/>
              <w:autoSpaceDN/>
              <w:bidi w:val="0"/>
              <w:adjustRightInd/>
              <w:snapToGrid/>
              <w:spacing w:line="360" w:lineRule="auto"/>
              <w:ind w:right="0" w:firstLine="482"/>
              <w:textAlignment w:val="auto"/>
              <w:rPr>
                <w:rFonts w:hint="default" w:ascii="Times New Roman" w:hAnsi="Times New Roman" w:cs="Times New Roman"/>
                <w:b/>
                <w:color w:val="auto"/>
                <w:sz w:val="21"/>
                <w:szCs w:val="21"/>
              </w:rPr>
            </w:pPr>
            <w:r>
              <w:rPr>
                <w:rFonts w:hint="eastAsia" w:ascii="Times New Roman" w:hAnsi="Times New Roman" w:cs="Times New Roman"/>
                <w:b/>
                <w:color w:val="auto"/>
                <w:sz w:val="21"/>
                <w:szCs w:val="21"/>
                <w:lang w:eastAsia="zh-CN"/>
              </w:rPr>
              <w:t>（</w:t>
            </w:r>
            <w:r>
              <w:rPr>
                <w:rFonts w:hint="eastAsia" w:ascii="Times New Roman" w:hAnsi="Times New Roman" w:cs="Times New Roman"/>
                <w:b/>
                <w:color w:val="auto"/>
                <w:sz w:val="21"/>
                <w:szCs w:val="21"/>
                <w:lang w:val="en-US" w:eastAsia="zh-CN"/>
              </w:rPr>
              <w:t>4</w:t>
            </w:r>
            <w:r>
              <w:rPr>
                <w:rFonts w:hint="eastAsia" w:ascii="Times New Roman" w:hAnsi="Times New Roman" w:cs="Times New Roman"/>
                <w:b/>
                <w:color w:val="auto"/>
                <w:sz w:val="21"/>
                <w:szCs w:val="21"/>
                <w:lang w:eastAsia="zh-CN"/>
              </w:rPr>
              <w:t>）</w:t>
            </w:r>
            <w:r>
              <w:rPr>
                <w:rFonts w:hint="default" w:ascii="Times New Roman" w:hAnsi="Times New Roman" w:cs="Times New Roman"/>
                <w:b/>
                <w:color w:val="auto"/>
                <w:sz w:val="21"/>
                <w:szCs w:val="21"/>
              </w:rPr>
              <w:t>环境准入负面清单</w:t>
            </w:r>
          </w:p>
          <w:p w14:paraId="7A751B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本项目属于</w:t>
            </w:r>
            <w:r>
              <w:rPr>
                <w:rFonts w:hint="default" w:ascii="Times New Roman" w:hAnsi="Times New Roman" w:cs="Times New Roman"/>
                <w:color w:val="auto"/>
                <w:szCs w:val="21"/>
                <w:lang w:eastAsia="zh-CN"/>
              </w:rPr>
              <w:t>（</w:t>
            </w:r>
            <w:r>
              <w:rPr>
                <w:rFonts w:hint="eastAsia" w:cs="Times New Roman"/>
                <w:color w:val="auto"/>
                <w:szCs w:val="21"/>
                <w:lang w:eastAsia="zh-CN"/>
              </w:rPr>
              <w:t>D4430</w:t>
            </w:r>
            <w:r>
              <w:rPr>
                <w:rFonts w:hint="default" w:ascii="Times New Roman" w:hAnsi="Times New Roman" w:cs="Times New Roman"/>
                <w:color w:val="auto"/>
                <w:szCs w:val="21"/>
                <w:lang w:eastAsia="zh-CN"/>
              </w:rPr>
              <w:t>）</w:t>
            </w:r>
            <w:r>
              <w:rPr>
                <w:rFonts w:hint="eastAsia" w:cs="Times New Roman"/>
                <w:color w:val="auto"/>
                <w:szCs w:val="21"/>
                <w:lang w:eastAsia="zh-CN"/>
              </w:rPr>
              <w:t>热力生产和供应</w:t>
            </w:r>
            <w:r>
              <w:rPr>
                <w:rFonts w:hint="default" w:ascii="Times New Roman" w:hAnsi="Times New Roman" w:cs="Times New Roman"/>
                <w:color w:val="auto"/>
                <w:sz w:val="21"/>
                <w:szCs w:val="21"/>
              </w:rPr>
              <w:t>，对</w:t>
            </w:r>
            <w:r>
              <w:rPr>
                <w:rFonts w:hint="default" w:ascii="Times New Roman" w:hAnsi="Times New Roman" w:eastAsia="宋体" w:cs="Times New Roman"/>
                <w:color w:val="auto"/>
                <w:sz w:val="21"/>
                <w:szCs w:val="21"/>
              </w:rPr>
              <w:t>照《市场准入负面清单（2022年版）》（发改体改规〔2022〕397号）</w:t>
            </w:r>
            <w:r>
              <w:rPr>
                <w:rFonts w:hint="default" w:ascii="Times New Roman" w:hAnsi="Times New Roman" w:eastAsia="宋体" w:cs="Times New Roman"/>
                <w:color w:val="auto"/>
                <w:sz w:val="21"/>
                <w:szCs w:val="21"/>
                <w:lang w:eastAsia="zh-CN"/>
              </w:rPr>
              <w:t>、</w:t>
            </w:r>
            <w:r>
              <w:rPr>
                <w:rFonts w:hint="default" w:ascii="Times New Roman" w:hAnsi="Times New Roman" w:cs="Times New Roman"/>
                <w:color w:val="auto"/>
                <w:lang w:eastAsia="zh-CN"/>
              </w:rPr>
              <w:t>《</w:t>
            </w:r>
            <w:r>
              <w:rPr>
                <w:rFonts w:hint="default" w:ascii="Times New Roman" w:hAnsi="Times New Roman" w:cs="Times New Roman"/>
                <w:color w:val="auto"/>
              </w:rPr>
              <w:t>长江经济带发展负面清单指南（试行，2022年版）</w:t>
            </w:r>
            <w:r>
              <w:rPr>
                <w:rFonts w:hint="default" w:ascii="Times New Roman" w:hAnsi="Times New Roman" w:cs="Times New Roman"/>
                <w:color w:val="auto"/>
                <w:lang w:eastAsia="zh-CN"/>
              </w:rPr>
              <w:t>》《（江苏省</w:t>
            </w:r>
            <w:r>
              <w:rPr>
                <w:rFonts w:hint="eastAsia" w:cs="Times New Roman"/>
                <w:color w:val="auto"/>
                <w:lang w:eastAsia="zh-CN"/>
              </w:rPr>
              <w:t>“</w:t>
            </w:r>
            <w:r>
              <w:rPr>
                <w:rFonts w:hint="default" w:ascii="Times New Roman" w:hAnsi="Times New Roman" w:cs="Times New Roman"/>
                <w:color w:val="auto"/>
                <w:lang w:eastAsia="zh-CN"/>
              </w:rPr>
              <w:t>十四五”长江经济带发展负面清单指南（试行，2022年版））江苏省实施细则》（苏长江办发[2022]55号）</w:t>
            </w:r>
            <w:r>
              <w:rPr>
                <w:rFonts w:hint="eastAsia" w:ascii="Times New Roman" w:hAnsi="Times New Roman" w:cs="Times New Roman"/>
                <w:color w:val="auto"/>
                <w:lang w:eastAsia="zh-CN"/>
              </w:rPr>
              <w:t>、</w:t>
            </w:r>
            <w:r>
              <w:rPr>
                <w:rFonts w:hint="default" w:ascii="Times New Roman" w:hAnsi="Times New Roman" w:eastAsia="宋体" w:cs="Times New Roman"/>
                <w:color w:val="auto"/>
                <w:szCs w:val="21"/>
              </w:rPr>
              <w:t>《市场准入负面清单》</w:t>
            </w:r>
            <w:r>
              <w:rPr>
                <w:rFonts w:hint="default" w:ascii="Times New Roman" w:hAnsi="Times New Roman" w:cs="Times New Roman"/>
                <w:color w:val="auto"/>
                <w:sz w:val="21"/>
                <w:szCs w:val="21"/>
              </w:rPr>
              <w:t>，本项目的原材料主要为</w:t>
            </w:r>
            <w:r>
              <w:rPr>
                <w:rFonts w:hint="eastAsia" w:cs="Times New Roman"/>
                <w:color w:val="auto"/>
                <w:sz w:val="21"/>
                <w:szCs w:val="21"/>
                <w:lang w:val="en-US" w:eastAsia="zh-CN"/>
              </w:rPr>
              <w:t>生物质</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本</w:t>
            </w:r>
            <w:r>
              <w:rPr>
                <w:rFonts w:hint="default" w:ascii="Times New Roman" w:hAnsi="Times New Roman" w:cs="Times New Roman"/>
                <w:color w:val="auto"/>
                <w:sz w:val="21"/>
                <w:szCs w:val="21"/>
              </w:rPr>
              <w:t>项目合理安全储存原料</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生产过程中三废均得到有效处置，不会对周围环境造成负面影响。</w:t>
            </w:r>
          </w:p>
          <w:p w14:paraId="063102C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 w:val="21"/>
                <w:szCs w:val="21"/>
              </w:rPr>
              <w:t>综上所述，本项目与</w:t>
            </w:r>
            <w:r>
              <w:rPr>
                <w:rFonts w:hint="eastAsia" w:cs="Times New Roman"/>
                <w:color w:val="auto"/>
                <w:sz w:val="21"/>
                <w:szCs w:val="21"/>
                <w:lang w:eastAsia="zh-CN"/>
              </w:rPr>
              <w:t>“</w:t>
            </w:r>
            <w:r>
              <w:rPr>
                <w:rFonts w:hint="default" w:ascii="Times New Roman" w:hAnsi="Times New Roman" w:cs="Times New Roman"/>
                <w:color w:val="auto"/>
                <w:sz w:val="21"/>
                <w:szCs w:val="21"/>
              </w:rPr>
              <w:t>三线一单”中的要求相符</w:t>
            </w:r>
            <w:r>
              <w:rPr>
                <w:rFonts w:hint="default" w:ascii="Times New Roman" w:hAnsi="Times New Roman" w:eastAsia="宋体" w:cs="Times New Roman"/>
                <w:color w:val="auto"/>
                <w:sz w:val="21"/>
                <w:szCs w:val="21"/>
              </w:rPr>
              <w:t>。</w:t>
            </w:r>
          </w:p>
          <w:p w14:paraId="311D12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lang w:val="en-US" w:eastAsia="zh-CN"/>
              </w:rPr>
              <w:t>4、</w:t>
            </w:r>
            <w:r>
              <w:rPr>
                <w:rFonts w:hint="default" w:ascii="Times New Roman" w:hAnsi="Times New Roman" w:cs="Times New Roman"/>
                <w:b/>
                <w:color w:val="auto"/>
                <w:sz w:val="21"/>
                <w:szCs w:val="21"/>
              </w:rPr>
              <w:t>与《江苏省通榆河水污染防治条例》相符性分析</w:t>
            </w:r>
          </w:p>
          <w:p w14:paraId="14AC76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rPr>
              <w:t>通榆河实行分级保护，划分为三级保护区。通榆河及其两侧各一公里、主要供水河道及其两侧各一公里区域为通榆河一级保护区；新沂河南偏泓、盐河和斗龙港、新洋港、黄沙港、射阳河、车路河、沂南小河、沭新河等与通榆河平交的主要河道上溯五公里以及沿岸两侧各一公里区域为通榆河二级保护区；其他与通榆河平交的河道上溯五公里以及沿岸两侧各一公里区域为通榆河三级保护区。通榆河，南起南通长江北岸，北至连云港市赣榆县，包括焦港河，以及新沂河南偏泓、盐河、八一河、引水河、沭南航道、沭北航道、蔷薇河、青龙大沟、龙北干渠相关河段</w:t>
            </w:r>
            <w:r>
              <w:rPr>
                <w:rFonts w:hint="default" w:ascii="Times New Roman" w:hAnsi="Times New Roman" w:cs="Times New Roman"/>
                <w:color w:val="auto"/>
                <w:sz w:val="21"/>
                <w:szCs w:val="21"/>
                <w:lang w:eastAsia="zh-CN"/>
              </w:rPr>
              <w:t>；主要供水河道，包括蔷薇河、三阳河、卤汀河、泰东河、新通扬运河、引江河、如泰运河、如海运河。</w:t>
            </w:r>
          </w:p>
          <w:p w14:paraId="4A5489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如皋市为通榆河沿线地区，</w:t>
            </w:r>
            <w:r>
              <w:rPr>
                <w:rFonts w:hint="default" w:ascii="Times New Roman" w:hAnsi="Times New Roman" w:cs="Times New Roman"/>
                <w:color w:val="auto"/>
                <w:sz w:val="21"/>
                <w:szCs w:val="21"/>
              </w:rPr>
              <w:t>通榆河包括焦港河，主要供水河道如皋市境内有：如泰运河（介于焦港河和如海运河之间段）、如海运河。本项目距离焦港河、如泰运河（介于焦港河和如海运河中间段）、如海运河均在1km之外，不在一级保护区、二级保护区、三级保护区范围内。</w:t>
            </w:r>
          </w:p>
          <w:p w14:paraId="7880B464">
            <w:pPr>
              <w:pStyle w:val="9"/>
              <w:keepNext w:val="0"/>
              <w:keepLines w:val="0"/>
              <w:pageBreakBefore w:val="0"/>
              <w:widowControl w:val="0"/>
              <w:kinsoku/>
              <w:wordWrap/>
              <w:overflowPunct/>
              <w:topLinePunct w:val="0"/>
              <w:autoSpaceDE/>
              <w:autoSpaceDN/>
              <w:bidi w:val="0"/>
              <w:adjustRightInd/>
              <w:snapToGrid/>
              <w:spacing w:before="0" w:after="0" w:line="360" w:lineRule="auto"/>
              <w:ind w:right="0" w:firstLine="482"/>
              <w:textAlignment w:val="auto"/>
              <w:rPr>
                <w:rFonts w:hint="default" w:ascii="Times New Roman" w:hAnsi="Times New Roman" w:cs="Times New Roman"/>
                <w:b/>
                <w:color w:val="auto"/>
                <w:sz w:val="21"/>
                <w:szCs w:val="21"/>
                <w:lang w:val="en-US" w:eastAsia="zh-CN"/>
              </w:rPr>
            </w:pPr>
            <w:r>
              <w:rPr>
                <w:rFonts w:hint="default" w:ascii="Times New Roman" w:hAnsi="Times New Roman" w:cs="Times New Roman"/>
                <w:b/>
                <w:color w:val="auto"/>
                <w:sz w:val="21"/>
                <w:szCs w:val="21"/>
                <w:lang w:val="en-US" w:eastAsia="zh-CN"/>
              </w:rPr>
              <w:t>5、</w:t>
            </w:r>
            <w:r>
              <w:rPr>
                <w:rFonts w:hint="default" w:ascii="Times New Roman" w:hAnsi="Times New Roman" w:eastAsia="宋体" w:cs="Times New Roman"/>
                <w:b/>
                <w:bCs/>
                <w:color w:val="auto"/>
                <w:sz w:val="21"/>
                <w:szCs w:val="21"/>
                <w:lang w:val="en-US" w:eastAsia="zh-CN"/>
              </w:rPr>
              <w:t>与</w:t>
            </w:r>
            <w:r>
              <w:rPr>
                <w:rFonts w:hint="eastAsia" w:cs="Times New Roman"/>
                <w:b/>
                <w:bCs/>
                <w:color w:val="auto"/>
                <w:sz w:val="21"/>
                <w:szCs w:val="21"/>
                <w:lang w:val="en-US" w:eastAsia="zh-CN"/>
              </w:rPr>
              <w:t>“</w:t>
            </w:r>
            <w:r>
              <w:rPr>
                <w:rFonts w:hint="default" w:ascii="Times New Roman" w:hAnsi="Times New Roman" w:eastAsia="宋体" w:cs="Times New Roman"/>
                <w:b/>
                <w:bCs/>
                <w:color w:val="auto"/>
                <w:sz w:val="21"/>
                <w:szCs w:val="21"/>
                <w:lang w:val="en-US" w:eastAsia="zh-CN"/>
              </w:rPr>
              <w:t>三线一单”生态环境分区管控方案相符性</w:t>
            </w:r>
          </w:p>
          <w:p w14:paraId="60C4B186">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default" w:ascii="Times New Roman" w:hAnsi="Times New Roman" w:eastAsia="宋体" w:cs="Times New Roman"/>
                <w:b w:val="0"/>
                <w:bCs w:val="0"/>
                <w:color w:val="auto"/>
                <w:lang w:val="en-US" w:eastAsia="zh-CN"/>
              </w:rPr>
            </w:pPr>
            <w:r>
              <w:rPr>
                <w:rFonts w:hint="eastAsia" w:ascii="Times New Roman" w:hAnsi="Times New Roman" w:cs="Times New Roman"/>
                <w:b/>
                <w:bCs/>
                <w:color w:val="auto"/>
                <w:sz w:val="21"/>
                <w:szCs w:val="21"/>
                <w:lang w:eastAsia="zh-CN"/>
              </w:rPr>
              <w:t>（</w:t>
            </w:r>
            <w:r>
              <w:rPr>
                <w:rFonts w:hint="eastAsia" w:ascii="Times New Roman" w:hAnsi="Times New Roman" w:cs="Times New Roman"/>
                <w:b/>
                <w:bCs/>
                <w:color w:val="auto"/>
                <w:sz w:val="21"/>
                <w:szCs w:val="21"/>
                <w:lang w:val="en-US" w:eastAsia="zh-CN"/>
              </w:rPr>
              <w:t>1</w:t>
            </w:r>
            <w:r>
              <w:rPr>
                <w:rFonts w:hint="eastAsia" w:ascii="Times New Roman" w:hAnsi="Times New Roman" w:cs="Times New Roman"/>
                <w:b/>
                <w:bCs/>
                <w:color w:val="auto"/>
                <w:sz w:val="21"/>
                <w:szCs w:val="21"/>
                <w:lang w:eastAsia="zh-CN"/>
              </w:rPr>
              <w:t>）</w:t>
            </w:r>
            <w:r>
              <w:rPr>
                <w:rFonts w:hint="default" w:ascii="Times New Roman" w:hAnsi="Times New Roman" w:eastAsia="宋体" w:cs="Times New Roman"/>
                <w:b/>
                <w:bCs/>
                <w:color w:val="auto"/>
                <w:lang w:val="en-US" w:eastAsia="zh-CN"/>
              </w:rPr>
              <w:t>与《江苏省2023年度生态环境分区管控动态更新成果公告》相符性分析</w:t>
            </w:r>
          </w:p>
          <w:p w14:paraId="008F30C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对照江苏省生态环境管控</w:t>
            </w:r>
            <w:r>
              <w:rPr>
                <w:rFonts w:hint="eastAsia" w:cs="Times New Roman"/>
                <w:b w:val="0"/>
                <w:bCs w:val="0"/>
                <w:color w:val="auto"/>
                <w:sz w:val="21"/>
                <w:szCs w:val="21"/>
                <w:lang w:val="en-US" w:eastAsia="zh-CN"/>
              </w:rPr>
              <w:t>分析报告（附件9）</w:t>
            </w:r>
            <w:r>
              <w:rPr>
                <w:rFonts w:hint="default" w:ascii="Times New Roman" w:hAnsi="Times New Roman" w:eastAsia="宋体" w:cs="Times New Roman"/>
                <w:b w:val="0"/>
                <w:bCs w:val="0"/>
                <w:color w:val="auto"/>
                <w:sz w:val="21"/>
                <w:szCs w:val="21"/>
                <w:lang w:val="en-US" w:eastAsia="zh-CN"/>
              </w:rPr>
              <w:t>，</w:t>
            </w:r>
            <w:r>
              <w:rPr>
                <w:rFonts w:hint="default" w:ascii="Times New Roman" w:hAnsi="Times New Roman" w:eastAsia="宋体" w:cs="Times New Roman"/>
                <w:color w:val="auto"/>
                <w:sz w:val="21"/>
                <w:szCs w:val="21"/>
                <w:lang w:val="en-US" w:eastAsia="zh-CN"/>
              </w:rPr>
              <w:t>本项目位于</w:t>
            </w:r>
            <w:r>
              <w:rPr>
                <w:rFonts w:hint="default" w:ascii="Times New Roman" w:hAnsi="Times New Roman" w:cs="Times New Roman"/>
                <w:color w:val="auto"/>
                <w:lang w:eastAsia="zh-CN"/>
              </w:rPr>
              <w:t>江苏省</w:t>
            </w:r>
            <w:r>
              <w:rPr>
                <w:rFonts w:hint="default" w:ascii="Times New Roman" w:hAnsi="Times New Roman" w:cs="Times New Roman"/>
                <w:color w:val="auto"/>
              </w:rPr>
              <w:t>如皋市</w:t>
            </w:r>
            <w:r>
              <w:rPr>
                <w:rFonts w:hint="eastAsia" w:cs="Times New Roman"/>
                <w:color w:val="auto"/>
                <w:lang w:eastAsia="zh-CN"/>
              </w:rPr>
              <w:t>如城镇中山东路58号</w:t>
            </w:r>
            <w:r>
              <w:rPr>
                <w:rFonts w:hint="default" w:ascii="Times New Roman" w:hAnsi="Times New Roman" w:eastAsia="宋体" w:cs="Times New Roman"/>
                <w:b w:val="0"/>
                <w:bCs w:val="0"/>
                <w:color w:val="auto"/>
                <w:sz w:val="21"/>
                <w:szCs w:val="21"/>
                <w:lang w:val="en-US" w:eastAsia="zh-CN"/>
              </w:rPr>
              <w:t>，是其中的重点管控单元，与江苏省生态环境分区管控总体要求的相符性见表1</w:t>
            </w:r>
            <w:r>
              <w:rPr>
                <w:rFonts w:hint="eastAsia" w:cs="Times New Roman"/>
                <w:b w:val="0"/>
                <w:bCs w:val="0"/>
                <w:color w:val="auto"/>
                <w:sz w:val="21"/>
                <w:szCs w:val="21"/>
                <w:lang w:val="en-US" w:eastAsia="zh-CN"/>
              </w:rPr>
              <w:t>-2</w:t>
            </w:r>
            <w:r>
              <w:rPr>
                <w:rFonts w:hint="default" w:ascii="Times New Roman" w:hAnsi="Times New Roman" w:eastAsia="宋体" w:cs="Times New Roman"/>
                <w:b w:val="0"/>
                <w:bCs w:val="0"/>
                <w:color w:val="auto"/>
                <w:sz w:val="21"/>
                <w:szCs w:val="21"/>
                <w:lang w:val="en-US" w:eastAsia="zh-CN"/>
              </w:rPr>
              <w:t>。</w:t>
            </w:r>
          </w:p>
          <w:p w14:paraId="4CAF93A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val="0"/>
                <w:color w:val="auto"/>
                <w:sz w:val="21"/>
                <w:szCs w:val="21"/>
                <w:lang w:eastAsia="zh-CN"/>
              </w:rPr>
            </w:pPr>
            <w:r>
              <w:rPr>
                <w:rFonts w:hint="default" w:ascii="Times New Roman" w:hAnsi="Times New Roman" w:cs="Times New Roman"/>
                <w:b/>
                <w:bCs w:val="0"/>
                <w:color w:val="auto"/>
                <w:sz w:val="21"/>
                <w:szCs w:val="21"/>
              </w:rPr>
              <w:t>表1</w:t>
            </w:r>
            <w:r>
              <w:rPr>
                <w:rFonts w:hint="default" w:ascii="Times New Roman" w:hAnsi="Times New Roman" w:cs="Times New Roman"/>
                <w:b/>
                <w:bCs w:val="0"/>
                <w:color w:val="auto"/>
                <w:sz w:val="21"/>
                <w:szCs w:val="21"/>
                <w:lang w:val="en-US" w:eastAsia="zh-CN"/>
              </w:rPr>
              <w:t>-</w:t>
            </w:r>
            <w:r>
              <w:rPr>
                <w:rFonts w:hint="eastAsia" w:cs="Times New Roman"/>
                <w:b/>
                <w:bCs w:val="0"/>
                <w:color w:val="auto"/>
                <w:sz w:val="21"/>
                <w:szCs w:val="21"/>
                <w:lang w:val="en-US" w:eastAsia="zh-CN"/>
              </w:rPr>
              <w:t xml:space="preserve">2 </w:t>
            </w:r>
            <w:r>
              <w:rPr>
                <w:rFonts w:hint="default" w:ascii="Times New Roman" w:hAnsi="Times New Roman" w:cs="Times New Roman"/>
                <w:b/>
                <w:bCs w:val="0"/>
                <w:color w:val="auto"/>
                <w:sz w:val="21"/>
                <w:szCs w:val="21"/>
              </w:rPr>
              <w:t xml:space="preserve"> 与</w:t>
            </w:r>
            <w:r>
              <w:rPr>
                <w:rFonts w:hint="default" w:ascii="Times New Roman" w:hAnsi="Times New Roman" w:cs="Times New Roman"/>
                <w:b/>
                <w:bCs w:val="0"/>
                <w:color w:val="auto"/>
                <w:sz w:val="21"/>
                <w:szCs w:val="21"/>
                <w:lang w:eastAsia="zh-CN"/>
              </w:rPr>
              <w:t>江苏省省域生态环境</w:t>
            </w:r>
            <w:r>
              <w:rPr>
                <w:rFonts w:hint="default" w:ascii="Times New Roman" w:hAnsi="Times New Roman" w:cs="Times New Roman"/>
                <w:b/>
                <w:bCs w:val="0"/>
                <w:color w:val="auto"/>
                <w:sz w:val="21"/>
                <w:szCs w:val="21"/>
              </w:rPr>
              <w:t>管控要求相符性</w:t>
            </w:r>
          </w:p>
          <w:tbl>
            <w:tblPr>
              <w:tblStyle w:val="24"/>
              <w:tblW w:w="6951" w:type="dxa"/>
              <w:tblInd w:w="-74"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4581"/>
              <w:gridCol w:w="1433"/>
              <w:gridCol w:w="427"/>
            </w:tblGrid>
            <w:tr w14:paraId="12327F4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71" w:type="pct"/>
                  <w:tcBorders>
                    <w:tl2br w:val="nil"/>
                    <w:tr2bl w:val="nil"/>
                  </w:tcBorders>
                  <w:noWrap w:val="0"/>
                  <w:vAlign w:val="center"/>
                </w:tcPr>
                <w:p w14:paraId="4C9E55D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管控类别</w:t>
                  </w:r>
                </w:p>
              </w:tc>
              <w:tc>
                <w:tcPr>
                  <w:tcW w:w="3298" w:type="pct"/>
                  <w:tcBorders>
                    <w:tl2br w:val="nil"/>
                    <w:tr2bl w:val="nil"/>
                  </w:tcBorders>
                  <w:noWrap w:val="0"/>
                  <w:vAlign w:val="center"/>
                </w:tcPr>
                <w:p w14:paraId="11C6121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重点管控要求</w:t>
                  </w:r>
                </w:p>
              </w:tc>
              <w:tc>
                <w:tcPr>
                  <w:tcW w:w="1035" w:type="pct"/>
                  <w:tcBorders>
                    <w:tl2br w:val="nil"/>
                    <w:tr2bl w:val="nil"/>
                  </w:tcBorders>
                  <w:noWrap w:val="0"/>
                  <w:vAlign w:val="center"/>
                </w:tcPr>
                <w:p w14:paraId="0260BE4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vertAlign w:val="baseline"/>
                      <w:lang w:eastAsia="zh-CN"/>
                    </w:rPr>
                  </w:pPr>
                  <w:r>
                    <w:rPr>
                      <w:rFonts w:hint="default" w:ascii="Times New Roman" w:hAnsi="Times New Roman" w:cs="Times New Roman"/>
                      <w:b/>
                      <w:bCs/>
                      <w:color w:val="auto"/>
                      <w:sz w:val="21"/>
                      <w:szCs w:val="21"/>
                    </w:rPr>
                    <w:t>本项目建设情况</w:t>
                  </w:r>
                </w:p>
              </w:tc>
              <w:tc>
                <w:tcPr>
                  <w:tcW w:w="294" w:type="pct"/>
                  <w:tcBorders>
                    <w:tl2br w:val="nil"/>
                    <w:tr2bl w:val="nil"/>
                  </w:tcBorders>
                  <w:noWrap w:val="0"/>
                  <w:vAlign w:val="center"/>
                </w:tcPr>
                <w:p w14:paraId="07A630B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vertAlign w:val="baseline"/>
                      <w:lang w:eastAsia="zh-CN"/>
                    </w:rPr>
                  </w:pPr>
                  <w:r>
                    <w:rPr>
                      <w:rFonts w:hint="default" w:ascii="Times New Roman" w:hAnsi="Times New Roman" w:cs="Times New Roman"/>
                      <w:b/>
                      <w:bCs/>
                      <w:color w:val="auto"/>
                      <w:sz w:val="21"/>
                      <w:szCs w:val="21"/>
                    </w:rPr>
                    <w:t>相符性分析</w:t>
                  </w:r>
                </w:p>
              </w:tc>
            </w:tr>
            <w:tr w14:paraId="1E4AB12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10" w:type="dxa"/>
                  <w:tcBorders>
                    <w:tl2br w:val="nil"/>
                    <w:tr2bl w:val="nil"/>
                  </w:tcBorders>
                  <w:noWrap w:val="0"/>
                  <w:vAlign w:val="center"/>
                </w:tcPr>
                <w:p w14:paraId="3896C4C4">
                  <w:pPr>
                    <w:adjustRightInd w:val="0"/>
                    <w:snapToGrid w:val="0"/>
                    <w:spacing w:line="240" w:lineRule="auto"/>
                    <w:jc w:val="both"/>
                    <w:rPr>
                      <w:rFonts w:hint="default" w:ascii="Times New Roman" w:hAnsi="Times New Roman" w:cs="Times New Roman"/>
                      <w:color w:val="auto"/>
                      <w:sz w:val="21"/>
                      <w:szCs w:val="21"/>
                      <w:vertAlign w:val="baseline"/>
                      <w:lang w:eastAsia="zh-CN"/>
                    </w:rPr>
                  </w:pPr>
                  <w:r>
                    <w:rPr>
                      <w:rFonts w:hint="default" w:ascii="Times New Roman" w:hAnsi="Times New Roman" w:eastAsia="宋体" w:cs="Times New Roman"/>
                      <w:b w:val="0"/>
                      <w:bCs w:val="0"/>
                      <w:color w:val="auto"/>
                      <w:sz w:val="21"/>
                      <w:szCs w:val="21"/>
                    </w:rPr>
                    <w:t>空间布局约束</w:t>
                  </w:r>
                </w:p>
              </w:tc>
              <w:tc>
                <w:tcPr>
                  <w:tcW w:w="4581" w:type="dxa"/>
                  <w:tcBorders>
                    <w:tl2br w:val="nil"/>
                    <w:tr2bl w:val="nil"/>
                  </w:tcBorders>
                  <w:noWrap w:val="0"/>
                  <w:vAlign w:val="center"/>
                </w:tcPr>
                <w:p w14:paraId="1B6C7185">
                  <w:pPr>
                    <w:widowControl w:val="0"/>
                    <w:autoSpaceDE/>
                    <w:autoSpaceDN/>
                    <w:adjustRightInd w:val="0"/>
                    <w:snapToGrid w:val="0"/>
                    <w:spacing w:line="240" w:lineRule="auto"/>
                    <w:ind w:firstLine="482"/>
                    <w:rPr>
                      <w:rFonts w:hint="default" w:ascii="Times New Roman" w:hAnsi="Times New Roman" w:eastAsia="宋体" w:cs="Times New Roman"/>
                      <w:b w:val="0"/>
                      <w:bCs w:val="0"/>
                      <w:i w:val="0"/>
                      <w:iCs w:val="0"/>
                      <w:caps w:val="0"/>
                      <w:color w:val="auto"/>
                      <w:spacing w:val="0"/>
                      <w:sz w:val="21"/>
                      <w:szCs w:val="21"/>
                    </w:rPr>
                  </w:pPr>
                  <w:r>
                    <w:rPr>
                      <w:rFonts w:hint="default" w:ascii="Times New Roman" w:hAnsi="Times New Roman" w:eastAsia="宋体" w:cs="Times New Roman"/>
                      <w:b w:val="0"/>
                      <w:bCs w:val="0"/>
                      <w:i w:val="0"/>
                      <w:iCs w:val="0"/>
                      <w:caps w:val="0"/>
                      <w:color w:val="auto"/>
                      <w:spacing w:val="0"/>
                      <w:sz w:val="21"/>
                      <w:szCs w:val="21"/>
                    </w:rPr>
                    <w:t>按照《省政府关于印发江苏省生态空间管控区域规划的通知》（苏政发〔2020〕1号）、《省政府关于印发江苏省国家级生态保护红线规划的通知》（苏政发〔2018〕74号）、《江苏省国土空间规划（2021—2035年）》（国函〔2023〕69号），坚持节约优先、保护优先、自然恢复为主的方针，以改善生态环境质量为核心，以保障和维护生态功能为主线，统筹山水林田湖草一体化保护和修复，严守生态保护红线，实行最严格的生态空间管控制度，确保全省生态功能不降低、面积不减少、性质不改变，切实维护生态安全。生态保护红线不低于1.82万平方千米，其中海洋生态保护红线不低于0.95万平方千米。</w:t>
                  </w:r>
                </w:p>
                <w:p w14:paraId="2D4155E5">
                  <w:pPr>
                    <w:widowControl w:val="0"/>
                    <w:autoSpaceDE/>
                    <w:autoSpaceDN/>
                    <w:adjustRightInd w:val="0"/>
                    <w:snapToGrid w:val="0"/>
                    <w:spacing w:line="240" w:lineRule="auto"/>
                    <w:ind w:firstLine="482"/>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i w:val="0"/>
                      <w:iCs w:val="0"/>
                      <w:caps w:val="0"/>
                      <w:color w:val="auto"/>
                      <w:spacing w:val="0"/>
                      <w:sz w:val="21"/>
                      <w:szCs w:val="21"/>
                    </w:rPr>
                    <w:t>牢牢把握推动长江经济带发展</w:t>
                  </w:r>
                  <w:r>
                    <w:rPr>
                      <w:rFonts w:hint="eastAsia" w:cs="Times New Roman"/>
                      <w:b w:val="0"/>
                      <w:bCs w:val="0"/>
                      <w:i w:val="0"/>
                      <w:iCs w:val="0"/>
                      <w:caps w:val="0"/>
                      <w:color w:val="auto"/>
                      <w:spacing w:val="0"/>
                      <w:sz w:val="21"/>
                      <w:szCs w:val="21"/>
                      <w:lang w:eastAsia="zh-CN"/>
                    </w:rPr>
                    <w:t>“</w:t>
                  </w:r>
                  <w:r>
                    <w:rPr>
                      <w:rFonts w:hint="default" w:ascii="Times New Roman" w:hAnsi="Times New Roman" w:eastAsia="宋体" w:cs="Times New Roman"/>
                      <w:b w:val="0"/>
                      <w:bCs w:val="0"/>
                      <w:i w:val="0"/>
                      <w:iCs w:val="0"/>
                      <w:caps w:val="0"/>
                      <w:color w:val="auto"/>
                      <w:spacing w:val="0"/>
                      <w:sz w:val="21"/>
                      <w:szCs w:val="21"/>
                    </w:rPr>
                    <w:t xml:space="preserve">共抓大保护，不搞大开发”战略导向，对省域范围内需要重点保护的岸线、河段和区域实行严格管控，管住控好排放量大、耗能高、产能过剩的产业，推动长江经济带高质量发展。 </w:t>
                  </w:r>
                </w:p>
                <w:p w14:paraId="31EDB1F9">
                  <w:pPr>
                    <w:widowControl w:val="0"/>
                    <w:autoSpaceDE/>
                    <w:autoSpaceDN/>
                    <w:adjustRightInd w:val="0"/>
                    <w:snapToGrid w:val="0"/>
                    <w:spacing w:line="240" w:lineRule="auto"/>
                    <w:ind w:firstLine="482"/>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i w:val="0"/>
                      <w:iCs w:val="0"/>
                      <w:caps w:val="0"/>
                      <w:color w:val="auto"/>
                      <w:spacing w:val="0"/>
                      <w:sz w:val="21"/>
                      <w:szCs w:val="21"/>
                    </w:rPr>
                    <w:t>大幅压减沿长江干支流两侧1公里范围内、环境敏感区域、城镇人口密集区、化工园区外和规模以下化工生产企业，着力破解</w:t>
                  </w:r>
                  <w:r>
                    <w:rPr>
                      <w:rFonts w:hint="eastAsia" w:cs="Times New Roman"/>
                      <w:b w:val="0"/>
                      <w:bCs w:val="0"/>
                      <w:i w:val="0"/>
                      <w:iCs w:val="0"/>
                      <w:caps w:val="0"/>
                      <w:color w:val="auto"/>
                      <w:spacing w:val="0"/>
                      <w:sz w:val="21"/>
                      <w:szCs w:val="21"/>
                      <w:lang w:eastAsia="zh-CN"/>
                    </w:rPr>
                    <w:t>“</w:t>
                  </w:r>
                  <w:r>
                    <w:rPr>
                      <w:rFonts w:hint="default" w:ascii="Times New Roman" w:hAnsi="Times New Roman" w:eastAsia="宋体" w:cs="Times New Roman"/>
                      <w:b w:val="0"/>
                      <w:bCs w:val="0"/>
                      <w:i w:val="0"/>
                      <w:iCs w:val="0"/>
                      <w:caps w:val="0"/>
                      <w:color w:val="auto"/>
                      <w:spacing w:val="0"/>
                      <w:sz w:val="21"/>
                      <w:szCs w:val="21"/>
                    </w:rPr>
                    <w:t xml:space="preserve">重化围江”突出问题，高起点同步推进沿江地区战略性转型和沿海地区战略性布局。 </w:t>
                  </w:r>
                </w:p>
                <w:p w14:paraId="2BEBDB75">
                  <w:pPr>
                    <w:widowControl w:val="0"/>
                    <w:autoSpaceDE/>
                    <w:autoSpaceDN/>
                    <w:adjustRightInd w:val="0"/>
                    <w:snapToGrid w:val="0"/>
                    <w:spacing w:line="240" w:lineRule="auto"/>
                    <w:ind w:firstLine="482"/>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i w:val="0"/>
                      <w:iCs w:val="0"/>
                      <w:caps w:val="0"/>
                      <w:color w:val="auto"/>
                      <w:spacing w:val="0"/>
                      <w:sz w:val="21"/>
                      <w:szCs w:val="21"/>
                    </w:rPr>
                    <w:t xml:space="preserve">全省钢铁行业坚持布局调整和产能整合相结合，坚持企业搬迁与转型升级相结合，鼓励有条件的企业实施跨地区、跨所有制的兼并重组，高起点、高标准规划建设沿海精品钢基地，做精做优沿江特钢产业基地，加快推动全省钢铁行业转型升级优化布局。 </w:t>
                  </w:r>
                </w:p>
                <w:p w14:paraId="6C1B8EBA">
                  <w:pPr>
                    <w:widowControl w:val="0"/>
                    <w:autoSpaceDE/>
                    <w:autoSpaceDN/>
                    <w:adjustRightInd w:val="0"/>
                    <w:snapToGrid w:val="0"/>
                    <w:spacing w:line="240" w:lineRule="auto"/>
                    <w:ind w:firstLine="482" w:firstLineChars="0"/>
                    <w:rPr>
                      <w:rFonts w:hint="default" w:cs="Times New Roman"/>
                      <w:color w:val="auto"/>
                      <w:sz w:val="21"/>
                      <w:szCs w:val="21"/>
                      <w:vertAlign w:val="baseline"/>
                      <w:lang w:val="en-US" w:eastAsia="zh-CN"/>
                    </w:rPr>
                  </w:pPr>
                  <w:r>
                    <w:rPr>
                      <w:rFonts w:hint="default" w:ascii="Times New Roman" w:hAnsi="Times New Roman" w:eastAsia="宋体" w:cs="Times New Roman"/>
                      <w:b w:val="0"/>
                      <w:bCs w:val="0"/>
                      <w:i w:val="0"/>
                      <w:iCs w:val="0"/>
                      <w:caps w:val="0"/>
                      <w:color w:val="auto"/>
                      <w:spacing w:val="0"/>
                      <w:sz w:val="21"/>
                      <w:szCs w:val="21"/>
                    </w:rPr>
                    <w:t>对列入国家和省规划，涉及生态保护红线和相关法定保护区的重大民生项目、重大基础设施项目（交通基础设施项目等），应优化空间布局（选线）、主动避让；确实无法避让的，应采取无害化方式（如无害化穿、跨越方式等），依法依规履行行政审批手续，强化减缓生态环境影响和生态补偿措施。</w:t>
                  </w:r>
                </w:p>
              </w:tc>
              <w:tc>
                <w:tcPr>
                  <w:tcW w:w="1433" w:type="dxa"/>
                  <w:tcBorders>
                    <w:tl2br w:val="nil"/>
                    <w:tr2bl w:val="nil"/>
                  </w:tcBorders>
                  <w:noWrap w:val="0"/>
                  <w:vAlign w:val="center"/>
                </w:tcPr>
                <w:p w14:paraId="648AE66D">
                  <w:pPr>
                    <w:numPr>
                      <w:ilvl w:val="-1"/>
                      <w:numId w:val="0"/>
                    </w:numPr>
                    <w:adjustRightInd w:val="0"/>
                    <w:snapToGrid w:val="0"/>
                    <w:spacing w:line="240" w:lineRule="auto"/>
                    <w:ind w:left="0" w:leftChars="0" w:firstLine="420" w:firstLineChars="200"/>
                    <w:jc w:val="both"/>
                    <w:rPr>
                      <w:rFonts w:hint="default" w:ascii="Times New Roman" w:hAnsi="Times New Roman" w:cs="Times New Roman"/>
                      <w:color w:val="auto"/>
                      <w:sz w:val="21"/>
                      <w:szCs w:val="21"/>
                      <w:vertAlign w:val="baseline"/>
                      <w:lang w:eastAsia="zh-CN"/>
                    </w:rPr>
                  </w:pPr>
                  <w:r>
                    <w:rPr>
                      <w:rFonts w:hint="default" w:ascii="Times New Roman" w:hAnsi="Times New Roman" w:eastAsia="宋体" w:cs="Times New Roman"/>
                      <w:b w:val="0"/>
                      <w:bCs w:val="0"/>
                      <w:color w:val="auto"/>
                      <w:sz w:val="21"/>
                      <w:szCs w:val="21"/>
                      <w:lang w:val="en-US" w:eastAsia="zh-CN"/>
                    </w:rPr>
                    <w:t>本项目所在地不在生态管控区域范围内，项目建设符合生态红线相关管控要求，不会导致如皋市生态红线区域生产服务功能下降；本项目不属于耗能高、产能过剩产业；本项目所在地不在长江干支流两侧1公里范围内，且不涉及环境敏感区域及城镇人口密集区，不属于化工项目；本项目不属于钢铁行业项目；本项目不属于重大民生及重大基础设施项目。</w:t>
                  </w:r>
                </w:p>
              </w:tc>
              <w:tc>
                <w:tcPr>
                  <w:tcW w:w="294" w:type="pct"/>
                  <w:tcBorders>
                    <w:tl2br w:val="nil"/>
                    <w:tr2bl w:val="nil"/>
                  </w:tcBorders>
                  <w:noWrap w:val="0"/>
                  <w:vAlign w:val="center"/>
                </w:tcPr>
                <w:p w14:paraId="58E6EC4D">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sz w:val="21"/>
                      <w:szCs w:val="21"/>
                      <w:vertAlign w:val="baseline"/>
                      <w:lang w:eastAsia="zh-CN"/>
                    </w:rPr>
                  </w:pPr>
                  <w:r>
                    <w:rPr>
                      <w:rFonts w:hint="default" w:ascii="Times New Roman" w:hAnsi="Times New Roman" w:cs="Times New Roman"/>
                      <w:color w:val="auto"/>
                      <w:sz w:val="21"/>
                      <w:szCs w:val="21"/>
                    </w:rPr>
                    <w:t>符合</w:t>
                  </w:r>
                </w:p>
              </w:tc>
            </w:tr>
            <w:tr w14:paraId="7356DB0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10" w:type="dxa"/>
                  <w:tcBorders>
                    <w:tl2br w:val="nil"/>
                    <w:tr2bl w:val="nil"/>
                  </w:tcBorders>
                  <w:noWrap w:val="0"/>
                  <w:vAlign w:val="center"/>
                </w:tcPr>
                <w:p w14:paraId="2B4AD4A2">
                  <w:pPr>
                    <w:adjustRightInd w:val="0"/>
                    <w:snapToGrid w:val="0"/>
                    <w:spacing w:line="240" w:lineRule="auto"/>
                    <w:jc w:val="both"/>
                    <w:rPr>
                      <w:rFonts w:hint="default" w:ascii="Times New Roman" w:hAnsi="Times New Roman" w:cs="Times New Roman"/>
                      <w:color w:val="auto"/>
                      <w:sz w:val="21"/>
                      <w:szCs w:val="21"/>
                      <w:vertAlign w:val="baseline"/>
                      <w:lang w:eastAsia="zh-CN"/>
                    </w:rPr>
                  </w:pPr>
                  <w:r>
                    <w:rPr>
                      <w:rFonts w:hint="default" w:ascii="Times New Roman" w:hAnsi="Times New Roman" w:eastAsia="宋体" w:cs="Times New Roman"/>
                      <w:b w:val="0"/>
                      <w:bCs w:val="0"/>
                      <w:color w:val="auto"/>
                      <w:sz w:val="21"/>
                      <w:szCs w:val="21"/>
                    </w:rPr>
                    <w:t>污染物排放管控</w:t>
                  </w:r>
                </w:p>
              </w:tc>
              <w:tc>
                <w:tcPr>
                  <w:tcW w:w="4581" w:type="dxa"/>
                  <w:tcBorders>
                    <w:tl2br w:val="nil"/>
                    <w:tr2bl w:val="nil"/>
                  </w:tcBorders>
                  <w:noWrap w:val="0"/>
                  <w:vAlign w:val="center"/>
                </w:tcPr>
                <w:p w14:paraId="46CF7F6A">
                  <w:pPr>
                    <w:keepNext w:val="0"/>
                    <w:keepLines w:val="0"/>
                    <w:pageBreakBefore w:val="0"/>
                    <w:numPr>
                      <w:ilvl w:val="-1"/>
                      <w:numId w:val="0"/>
                    </w:numPr>
                    <w:kinsoku/>
                    <w:wordWrap/>
                    <w:overflowPunct/>
                    <w:topLinePunct w:val="0"/>
                    <w:autoSpaceDE/>
                    <w:autoSpaceDN/>
                    <w:bidi w:val="0"/>
                    <w:adjustRightInd w:val="0"/>
                    <w:snapToGrid w:val="0"/>
                    <w:spacing w:line="240" w:lineRule="auto"/>
                    <w:ind w:firstLine="482" w:firstLineChars="0"/>
                    <w:textAlignment w:val="auto"/>
                    <w:rPr>
                      <w:rFonts w:hint="default" w:ascii="Times New Roman" w:hAnsi="Times New Roman" w:eastAsia="宋体" w:cs="Times New Roman"/>
                      <w:b w:val="0"/>
                      <w:bCs w:val="0"/>
                      <w:i w:val="0"/>
                      <w:iCs w:val="0"/>
                      <w:caps w:val="0"/>
                      <w:color w:val="auto"/>
                      <w:spacing w:val="0"/>
                      <w:sz w:val="21"/>
                      <w:szCs w:val="21"/>
                    </w:rPr>
                  </w:pPr>
                  <w:r>
                    <w:rPr>
                      <w:rFonts w:hint="default" w:ascii="Times New Roman" w:hAnsi="Times New Roman" w:eastAsia="宋体" w:cs="Times New Roman"/>
                      <w:b w:val="0"/>
                      <w:bCs w:val="0"/>
                      <w:i w:val="0"/>
                      <w:iCs w:val="0"/>
                      <w:caps w:val="0"/>
                      <w:color w:val="auto"/>
                      <w:spacing w:val="0"/>
                      <w:sz w:val="21"/>
                      <w:szCs w:val="21"/>
                    </w:rPr>
                    <w:t xml:space="preserve">坚持生态环境质量只能更好、不能变坏，实施污染物总量控制，以环境容量定产业、定项目、定规模，确保开发建设行为不突破生态环境承载力。 </w:t>
                  </w:r>
                </w:p>
                <w:p w14:paraId="3D8A5742">
                  <w:pPr>
                    <w:keepNext w:val="0"/>
                    <w:keepLines w:val="0"/>
                    <w:pageBreakBefore w:val="0"/>
                    <w:numPr>
                      <w:ilvl w:val="-1"/>
                      <w:numId w:val="0"/>
                    </w:numPr>
                    <w:kinsoku/>
                    <w:wordWrap/>
                    <w:overflowPunct/>
                    <w:topLinePunct w:val="0"/>
                    <w:autoSpaceDE/>
                    <w:autoSpaceDN/>
                    <w:bidi w:val="0"/>
                    <w:adjustRightInd w:val="0"/>
                    <w:snapToGrid w:val="0"/>
                    <w:spacing w:line="240" w:lineRule="auto"/>
                    <w:ind w:left="0" w:leftChars="0" w:firstLine="482"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b w:val="0"/>
                      <w:bCs w:val="0"/>
                      <w:i w:val="0"/>
                      <w:iCs w:val="0"/>
                      <w:caps w:val="0"/>
                      <w:color w:val="auto"/>
                      <w:spacing w:val="0"/>
                      <w:sz w:val="21"/>
                      <w:szCs w:val="21"/>
                    </w:rPr>
                    <w:t>2025年，主要污染物排放减排完成国家下达任务，单位工业增加值二氧化碳排放量下降20%，主要高耗能行业单位产品二氧化碳排放达到世界先进水平。实施氮氧化物（NOx）和VOCs协同减排，推进多污染物和关联区域</w:t>
                  </w:r>
                  <w:r>
                    <w:rPr>
                      <w:rFonts w:hint="eastAsia" w:ascii="Times New Roman" w:hAnsi="Times New Roman" w:eastAsia="宋体" w:cs="Times New Roman"/>
                      <w:b w:val="0"/>
                      <w:bCs w:val="0"/>
                      <w:i w:val="0"/>
                      <w:iCs w:val="0"/>
                      <w:caps w:val="0"/>
                      <w:color w:val="auto"/>
                      <w:spacing w:val="0"/>
                      <w:sz w:val="21"/>
                      <w:szCs w:val="21"/>
                      <w:lang w:eastAsia="zh-CN"/>
                    </w:rPr>
                    <w:t>联</w:t>
                  </w:r>
                  <w:r>
                    <w:rPr>
                      <w:rFonts w:hint="default" w:ascii="Times New Roman" w:hAnsi="Times New Roman" w:eastAsia="宋体" w:cs="Times New Roman"/>
                      <w:b w:val="0"/>
                      <w:bCs w:val="0"/>
                      <w:i w:val="0"/>
                      <w:iCs w:val="0"/>
                      <w:caps w:val="0"/>
                      <w:color w:val="auto"/>
                      <w:spacing w:val="0"/>
                      <w:sz w:val="21"/>
                      <w:szCs w:val="21"/>
                    </w:rPr>
                    <w:t>防联控。</w:t>
                  </w:r>
                </w:p>
              </w:tc>
              <w:tc>
                <w:tcPr>
                  <w:tcW w:w="1433" w:type="dxa"/>
                  <w:tcBorders>
                    <w:tl2br w:val="nil"/>
                    <w:tr2bl w:val="nil"/>
                  </w:tcBorders>
                  <w:noWrap w:val="0"/>
                  <w:vAlign w:val="center"/>
                </w:tcPr>
                <w:p w14:paraId="1657031C">
                  <w:pPr>
                    <w:adjustRightInd w:val="0"/>
                    <w:snapToGrid w:val="0"/>
                    <w:spacing w:line="240" w:lineRule="auto"/>
                    <w:ind w:firstLine="482" w:firstLineChars="0"/>
                    <w:jc w:val="both"/>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b w:val="0"/>
                      <w:bCs w:val="0"/>
                      <w:color w:val="auto"/>
                      <w:sz w:val="21"/>
                      <w:szCs w:val="21"/>
                      <w:lang w:eastAsia="zh-CN"/>
                    </w:rPr>
                    <w:t>本项目严格按照污染物总量控制的要求，项目建设不会突破区域生态环境承载力。</w:t>
                  </w:r>
                </w:p>
              </w:tc>
              <w:tc>
                <w:tcPr>
                  <w:tcW w:w="294" w:type="pct"/>
                  <w:tcBorders>
                    <w:tl2br w:val="nil"/>
                    <w:tr2bl w:val="nil"/>
                  </w:tcBorders>
                  <w:noWrap w:val="0"/>
                  <w:vAlign w:val="center"/>
                </w:tcPr>
                <w:p w14:paraId="283E5F63">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sz w:val="21"/>
                      <w:szCs w:val="21"/>
                      <w:vertAlign w:val="baseline"/>
                      <w:lang w:eastAsia="zh-CN"/>
                    </w:rPr>
                  </w:pPr>
                  <w:r>
                    <w:rPr>
                      <w:rFonts w:hint="default" w:ascii="Times New Roman" w:hAnsi="Times New Roman" w:cs="Times New Roman"/>
                      <w:color w:val="auto"/>
                      <w:sz w:val="21"/>
                      <w:szCs w:val="21"/>
                    </w:rPr>
                    <w:t>符合</w:t>
                  </w:r>
                </w:p>
              </w:tc>
            </w:tr>
            <w:tr w14:paraId="356B4A3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10" w:type="dxa"/>
                  <w:tcBorders>
                    <w:tl2br w:val="nil"/>
                    <w:tr2bl w:val="nil"/>
                  </w:tcBorders>
                  <w:noWrap w:val="0"/>
                  <w:vAlign w:val="center"/>
                </w:tcPr>
                <w:p w14:paraId="27895DEE">
                  <w:pPr>
                    <w:adjustRightInd w:val="0"/>
                    <w:snapToGrid w:val="0"/>
                    <w:spacing w:line="240" w:lineRule="auto"/>
                    <w:jc w:val="both"/>
                    <w:rPr>
                      <w:rFonts w:hint="default" w:ascii="Times New Roman" w:hAnsi="Times New Roman" w:cs="Times New Roman"/>
                      <w:color w:val="auto"/>
                      <w:sz w:val="21"/>
                      <w:szCs w:val="21"/>
                      <w:vertAlign w:val="baseline"/>
                      <w:lang w:eastAsia="zh-CN"/>
                    </w:rPr>
                  </w:pPr>
                  <w:r>
                    <w:rPr>
                      <w:rFonts w:hint="default" w:ascii="Times New Roman" w:hAnsi="Times New Roman" w:eastAsia="宋体" w:cs="Times New Roman"/>
                      <w:b w:val="0"/>
                      <w:bCs w:val="0"/>
                      <w:color w:val="auto"/>
                      <w:sz w:val="21"/>
                      <w:szCs w:val="21"/>
                    </w:rPr>
                    <w:t>环境风险防控</w:t>
                  </w:r>
                </w:p>
              </w:tc>
              <w:tc>
                <w:tcPr>
                  <w:tcW w:w="4581" w:type="dxa"/>
                  <w:tcBorders>
                    <w:tl2br w:val="nil"/>
                    <w:tr2bl w:val="nil"/>
                  </w:tcBorders>
                  <w:noWrap w:val="0"/>
                  <w:vAlign w:val="center"/>
                </w:tcPr>
                <w:p w14:paraId="67A3C292">
                  <w:pPr>
                    <w:keepNext w:val="0"/>
                    <w:keepLines w:val="0"/>
                    <w:pageBreakBefore w:val="0"/>
                    <w:numPr>
                      <w:ilvl w:val="-1"/>
                      <w:numId w:val="0"/>
                    </w:numPr>
                    <w:kinsoku/>
                    <w:wordWrap/>
                    <w:overflowPunct/>
                    <w:topLinePunct w:val="0"/>
                    <w:autoSpaceDE/>
                    <w:autoSpaceDN/>
                    <w:bidi w:val="0"/>
                    <w:adjustRightInd w:val="0"/>
                    <w:snapToGrid w:val="0"/>
                    <w:spacing w:line="240" w:lineRule="auto"/>
                    <w:ind w:firstLine="482" w:firstLineChars="0"/>
                    <w:textAlignment w:val="auto"/>
                    <w:rPr>
                      <w:rFonts w:hint="default" w:ascii="Times New Roman" w:hAnsi="Times New Roman" w:eastAsia="宋体" w:cs="Times New Roman"/>
                      <w:b w:val="0"/>
                      <w:bCs w:val="0"/>
                      <w:i w:val="0"/>
                      <w:iCs w:val="0"/>
                      <w:caps w:val="0"/>
                      <w:color w:val="auto"/>
                      <w:spacing w:val="0"/>
                      <w:sz w:val="21"/>
                      <w:szCs w:val="21"/>
                    </w:rPr>
                  </w:pPr>
                  <w:r>
                    <w:rPr>
                      <w:rFonts w:hint="default" w:ascii="Times New Roman" w:hAnsi="Times New Roman" w:eastAsia="宋体" w:cs="Times New Roman"/>
                      <w:b w:val="0"/>
                      <w:bCs w:val="0"/>
                      <w:i w:val="0"/>
                      <w:iCs w:val="0"/>
                      <w:caps w:val="0"/>
                      <w:color w:val="auto"/>
                      <w:spacing w:val="0"/>
                      <w:sz w:val="21"/>
                      <w:szCs w:val="21"/>
                    </w:rPr>
                    <w:t xml:space="preserve">强化饮用水水源环境风险管控。县级以上城市全部建成应急水源或双源供水。 </w:t>
                  </w:r>
                </w:p>
                <w:p w14:paraId="651E0EC1">
                  <w:pPr>
                    <w:keepNext w:val="0"/>
                    <w:keepLines w:val="0"/>
                    <w:pageBreakBefore w:val="0"/>
                    <w:numPr>
                      <w:ilvl w:val="-1"/>
                      <w:numId w:val="0"/>
                    </w:numPr>
                    <w:kinsoku/>
                    <w:wordWrap/>
                    <w:overflowPunct/>
                    <w:topLinePunct w:val="0"/>
                    <w:autoSpaceDE/>
                    <w:autoSpaceDN/>
                    <w:bidi w:val="0"/>
                    <w:adjustRightInd w:val="0"/>
                    <w:snapToGrid w:val="0"/>
                    <w:spacing w:line="240" w:lineRule="auto"/>
                    <w:ind w:firstLine="482" w:firstLineChars="0"/>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i w:val="0"/>
                      <w:iCs w:val="0"/>
                      <w:caps w:val="0"/>
                      <w:color w:val="auto"/>
                      <w:spacing w:val="0"/>
                      <w:sz w:val="21"/>
                      <w:szCs w:val="21"/>
                    </w:rPr>
                    <w:t>强化化工行业环境风险管控。重点加强化学工业园区、涉及大宗危化品使用企业、贮存和运输危化品的港口码头、尾矿库、集中式污水处理厂、危废处理企业的环境风险防控；严厉打击危险废物非法转移、处置和倾倒行为；加强关闭搬迁化工企业及遗留地块的调查评估、风险管控、治理修复。</w:t>
                  </w:r>
                </w:p>
                <w:p w14:paraId="060C7E14">
                  <w:pPr>
                    <w:keepNext w:val="0"/>
                    <w:keepLines w:val="0"/>
                    <w:pageBreakBefore w:val="0"/>
                    <w:numPr>
                      <w:ilvl w:val="-1"/>
                      <w:numId w:val="0"/>
                    </w:numPr>
                    <w:kinsoku/>
                    <w:wordWrap/>
                    <w:overflowPunct/>
                    <w:topLinePunct w:val="0"/>
                    <w:autoSpaceDE/>
                    <w:autoSpaceDN/>
                    <w:bidi w:val="0"/>
                    <w:adjustRightInd w:val="0"/>
                    <w:snapToGrid w:val="0"/>
                    <w:spacing w:line="240" w:lineRule="auto"/>
                    <w:ind w:firstLine="482" w:firstLineChars="0"/>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i w:val="0"/>
                      <w:iCs w:val="0"/>
                      <w:caps w:val="0"/>
                      <w:color w:val="auto"/>
                      <w:spacing w:val="0"/>
                      <w:sz w:val="21"/>
                      <w:szCs w:val="21"/>
                    </w:rPr>
                    <w:t>强化环境事故应急管理。深化跨部门、跨区域环境应急协调联动，分区域建立环境应急物资储备库。各级工业园区（集聚区）和企业的环境应急装备和储备物资应纳入储备体系。</w:t>
                  </w:r>
                </w:p>
                <w:p w14:paraId="3B7B348C">
                  <w:pPr>
                    <w:keepNext w:val="0"/>
                    <w:keepLines w:val="0"/>
                    <w:pageBreakBefore w:val="0"/>
                    <w:numPr>
                      <w:ilvl w:val="-1"/>
                      <w:numId w:val="0"/>
                    </w:numPr>
                    <w:kinsoku/>
                    <w:wordWrap/>
                    <w:overflowPunct/>
                    <w:topLinePunct w:val="0"/>
                    <w:autoSpaceDE/>
                    <w:autoSpaceDN/>
                    <w:bidi w:val="0"/>
                    <w:adjustRightInd w:val="0"/>
                    <w:snapToGrid w:val="0"/>
                    <w:spacing w:line="240" w:lineRule="auto"/>
                    <w:ind w:left="0" w:leftChars="0" w:firstLine="482" w:firstLineChars="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b w:val="0"/>
                      <w:bCs w:val="0"/>
                      <w:i w:val="0"/>
                      <w:iCs w:val="0"/>
                      <w:caps w:val="0"/>
                      <w:color w:val="auto"/>
                      <w:spacing w:val="0"/>
                      <w:sz w:val="21"/>
                      <w:szCs w:val="21"/>
                    </w:rPr>
                    <w:t>强化环境风险防控能力建设。按照统一信息平台、统一监管力度、统一应急等级、协同应急救援的思路，在沿江发展带、沿海发展带、环太湖等地区构建区域性环境风险预警应急响应机制，实施区域突发环境风险预警联防联控。</w:t>
                  </w:r>
                </w:p>
              </w:tc>
              <w:tc>
                <w:tcPr>
                  <w:tcW w:w="1433" w:type="dxa"/>
                  <w:tcBorders>
                    <w:tl2br w:val="nil"/>
                    <w:tr2bl w:val="nil"/>
                  </w:tcBorders>
                  <w:noWrap w:val="0"/>
                  <w:vAlign w:val="center"/>
                </w:tcPr>
                <w:p w14:paraId="569112DD">
                  <w:pPr>
                    <w:adjustRightInd w:val="0"/>
                    <w:snapToGrid w:val="0"/>
                    <w:spacing w:line="240" w:lineRule="auto"/>
                    <w:ind w:firstLine="482" w:firstLineChars="0"/>
                    <w:rPr>
                      <w:rFonts w:hint="default" w:ascii="Times New Roman" w:hAnsi="Times New Roman" w:cs="Times New Roman"/>
                      <w:color w:val="auto"/>
                      <w:sz w:val="21"/>
                      <w:szCs w:val="21"/>
                      <w:vertAlign w:val="baseline"/>
                      <w:lang w:eastAsia="zh-CN"/>
                    </w:rPr>
                  </w:pPr>
                  <w:r>
                    <w:rPr>
                      <w:rFonts w:hint="default" w:ascii="Times New Roman" w:hAnsi="Times New Roman" w:eastAsia="宋体" w:cs="Times New Roman"/>
                      <w:b w:val="0"/>
                      <w:bCs w:val="0"/>
                      <w:color w:val="auto"/>
                      <w:sz w:val="21"/>
                      <w:szCs w:val="21"/>
                      <w:lang w:eastAsia="zh-CN"/>
                    </w:rPr>
                    <w:t>本项目</w:t>
                  </w:r>
                  <w:r>
                    <w:rPr>
                      <w:rFonts w:hint="eastAsia" w:cs="Times New Roman"/>
                      <w:b w:val="0"/>
                      <w:bCs w:val="0"/>
                      <w:color w:val="auto"/>
                      <w:sz w:val="21"/>
                      <w:szCs w:val="21"/>
                      <w:lang w:eastAsia="zh-CN"/>
                    </w:rPr>
                    <w:t>位于</w:t>
                  </w:r>
                  <w:r>
                    <w:rPr>
                      <w:rFonts w:hint="eastAsia" w:cs="Times New Roman"/>
                      <w:color w:val="000000" w:themeColor="text1"/>
                      <w:sz w:val="21"/>
                      <w:szCs w:val="21"/>
                      <w:vertAlign w:val="baseline"/>
                      <w:lang w:val="en-US" w:eastAsia="zh-CN"/>
                      <w14:textFill>
                        <w14:solidFill>
                          <w14:schemeClr w14:val="tx1"/>
                        </w14:solidFill>
                      </w14:textFill>
                    </w:rPr>
                    <w:t>如皋工业园区东部工业区（大殷、双群）</w:t>
                  </w:r>
                  <w:r>
                    <w:rPr>
                      <w:rFonts w:hint="default" w:ascii="Times New Roman" w:hAnsi="Times New Roman" w:eastAsia="宋体" w:cs="Times New Roman"/>
                      <w:b w:val="0"/>
                      <w:bCs w:val="0"/>
                      <w:color w:val="auto"/>
                      <w:sz w:val="21"/>
                      <w:szCs w:val="21"/>
                      <w:lang w:eastAsia="zh-CN"/>
                    </w:rPr>
                    <w:t>，属于技改项目。项目建成后，企业将进一步完善厂区风险防范体系，补充一定数量的应急救援物资，及时修订突发环境事件应急预案，并定期组织演练，定期进行突发环境事件隐患排查，项目环境风险可控。</w:t>
                  </w:r>
                </w:p>
              </w:tc>
              <w:tc>
                <w:tcPr>
                  <w:tcW w:w="294" w:type="pct"/>
                  <w:tcBorders>
                    <w:tl2br w:val="nil"/>
                    <w:tr2bl w:val="nil"/>
                  </w:tcBorders>
                  <w:noWrap w:val="0"/>
                  <w:vAlign w:val="center"/>
                </w:tcPr>
                <w:p w14:paraId="2382C6A7">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sz w:val="21"/>
                      <w:szCs w:val="21"/>
                      <w:vertAlign w:val="baseline"/>
                      <w:lang w:eastAsia="zh-CN"/>
                    </w:rPr>
                  </w:pPr>
                  <w:r>
                    <w:rPr>
                      <w:rFonts w:hint="default" w:ascii="Times New Roman" w:hAnsi="Times New Roman" w:cs="Times New Roman"/>
                      <w:color w:val="auto"/>
                      <w:sz w:val="21"/>
                      <w:szCs w:val="21"/>
                    </w:rPr>
                    <w:t>符合</w:t>
                  </w:r>
                </w:p>
              </w:tc>
            </w:tr>
            <w:tr w14:paraId="5A823AA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10" w:type="dxa"/>
                  <w:tcBorders>
                    <w:tl2br w:val="nil"/>
                    <w:tr2bl w:val="nil"/>
                  </w:tcBorders>
                  <w:noWrap w:val="0"/>
                  <w:vAlign w:val="center"/>
                </w:tcPr>
                <w:p w14:paraId="273E9C55">
                  <w:pPr>
                    <w:adjustRightInd w:val="0"/>
                    <w:snapToGrid w:val="0"/>
                    <w:spacing w:line="240" w:lineRule="auto"/>
                    <w:jc w:val="both"/>
                    <w:rPr>
                      <w:rFonts w:hint="default"/>
                      <w:lang w:eastAsia="zh-CN"/>
                    </w:rPr>
                  </w:pPr>
                  <w:r>
                    <w:rPr>
                      <w:rFonts w:hint="default" w:ascii="Times New Roman" w:hAnsi="Times New Roman" w:eastAsia="宋体" w:cs="Times New Roman"/>
                      <w:b w:val="0"/>
                      <w:bCs w:val="0"/>
                      <w:color w:val="auto"/>
                      <w:sz w:val="21"/>
                      <w:szCs w:val="21"/>
                    </w:rPr>
                    <w:t>资源利用效率要求</w:t>
                  </w:r>
                </w:p>
              </w:tc>
              <w:tc>
                <w:tcPr>
                  <w:tcW w:w="4581" w:type="dxa"/>
                  <w:tcBorders>
                    <w:tl2br w:val="nil"/>
                    <w:tr2bl w:val="nil"/>
                  </w:tcBorders>
                  <w:noWrap w:val="0"/>
                  <w:vAlign w:val="center"/>
                </w:tcPr>
                <w:p w14:paraId="61296DD5">
                  <w:pPr>
                    <w:keepNext w:val="0"/>
                    <w:keepLines w:val="0"/>
                    <w:pageBreakBefore w:val="0"/>
                    <w:numPr>
                      <w:ilvl w:val="-1"/>
                      <w:numId w:val="0"/>
                    </w:numPr>
                    <w:kinsoku/>
                    <w:wordWrap/>
                    <w:overflowPunct/>
                    <w:topLinePunct w:val="0"/>
                    <w:autoSpaceDE/>
                    <w:autoSpaceDN/>
                    <w:bidi w:val="0"/>
                    <w:adjustRightInd w:val="0"/>
                    <w:snapToGrid w:val="0"/>
                    <w:spacing w:line="240" w:lineRule="auto"/>
                    <w:ind w:firstLine="482" w:firstLineChars="0"/>
                    <w:textAlignment w:val="auto"/>
                    <w:rPr>
                      <w:rFonts w:hint="default" w:ascii="Times New Roman" w:hAnsi="Times New Roman" w:eastAsia="宋体" w:cs="Times New Roman"/>
                      <w:b w:val="0"/>
                      <w:bCs w:val="0"/>
                      <w:i w:val="0"/>
                      <w:iCs w:val="0"/>
                      <w:caps w:val="0"/>
                      <w:color w:val="auto"/>
                      <w:spacing w:val="0"/>
                      <w:sz w:val="21"/>
                      <w:szCs w:val="21"/>
                    </w:rPr>
                  </w:pPr>
                  <w:r>
                    <w:rPr>
                      <w:rFonts w:hint="default" w:ascii="Times New Roman" w:hAnsi="Times New Roman" w:eastAsia="宋体" w:cs="Times New Roman"/>
                      <w:b w:val="0"/>
                      <w:bCs w:val="0"/>
                      <w:i w:val="0"/>
                      <w:iCs w:val="0"/>
                      <w:caps w:val="0"/>
                      <w:color w:val="auto"/>
                      <w:spacing w:val="0"/>
                      <w:sz w:val="21"/>
                      <w:szCs w:val="21"/>
                    </w:rPr>
                    <w:t>水资源利用总量及效率要求：到2025年，全省用水总量控制在525.9亿立方米以内，万元地区生产总值用水量、万元工业增加值用水量下降完成国家下达目标，农田灌溉水有效利用系数提高到0.625</w:t>
                  </w:r>
                  <w:r>
                    <w:rPr>
                      <w:rFonts w:hint="default" w:ascii="Times New Roman" w:hAnsi="Times New Roman" w:eastAsia="宋体" w:cs="Times New Roman"/>
                      <w:b w:val="0"/>
                      <w:bCs w:val="0"/>
                      <w:i w:val="0"/>
                      <w:iCs w:val="0"/>
                      <w:caps w:val="0"/>
                      <w:color w:val="auto"/>
                      <w:spacing w:val="0"/>
                      <w:sz w:val="21"/>
                      <w:szCs w:val="21"/>
                      <w:lang w:eastAsia="zh-CN"/>
                    </w:rPr>
                    <w:t>。</w:t>
                  </w:r>
                  <w:r>
                    <w:rPr>
                      <w:rFonts w:hint="default" w:ascii="Times New Roman" w:hAnsi="Times New Roman" w:eastAsia="宋体" w:cs="Times New Roman"/>
                      <w:b w:val="0"/>
                      <w:bCs w:val="0"/>
                      <w:i w:val="0"/>
                      <w:iCs w:val="0"/>
                      <w:caps w:val="0"/>
                      <w:color w:val="auto"/>
                      <w:spacing w:val="0"/>
                      <w:sz w:val="21"/>
                      <w:szCs w:val="21"/>
                    </w:rPr>
                    <w:t xml:space="preserve"> </w:t>
                  </w:r>
                </w:p>
                <w:p w14:paraId="39BEF726">
                  <w:pPr>
                    <w:keepNext w:val="0"/>
                    <w:keepLines w:val="0"/>
                    <w:pageBreakBefore w:val="0"/>
                    <w:numPr>
                      <w:ilvl w:val="-1"/>
                      <w:numId w:val="0"/>
                    </w:numPr>
                    <w:kinsoku/>
                    <w:wordWrap/>
                    <w:overflowPunct/>
                    <w:topLinePunct w:val="0"/>
                    <w:autoSpaceDE/>
                    <w:autoSpaceDN/>
                    <w:bidi w:val="0"/>
                    <w:adjustRightInd w:val="0"/>
                    <w:snapToGrid w:val="0"/>
                    <w:spacing w:line="240" w:lineRule="auto"/>
                    <w:ind w:firstLine="482" w:firstLineChars="0"/>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i w:val="0"/>
                      <w:iCs w:val="0"/>
                      <w:caps w:val="0"/>
                      <w:color w:val="auto"/>
                      <w:spacing w:val="0"/>
                      <w:sz w:val="21"/>
                      <w:szCs w:val="21"/>
                    </w:rPr>
                    <w:t>土地资源总量要求：到2025年，江苏省耕地保有量不低于5977万亩，其中永久基本农田保护面积不低于5344万亩。</w:t>
                  </w:r>
                </w:p>
                <w:p w14:paraId="1F5581E0">
                  <w:pPr>
                    <w:keepNext w:val="0"/>
                    <w:keepLines w:val="0"/>
                    <w:pageBreakBefore w:val="0"/>
                    <w:numPr>
                      <w:ilvl w:val="-1"/>
                      <w:numId w:val="0"/>
                    </w:numPr>
                    <w:kinsoku/>
                    <w:wordWrap/>
                    <w:overflowPunct/>
                    <w:topLinePunct w:val="0"/>
                    <w:autoSpaceDE/>
                    <w:autoSpaceDN/>
                    <w:bidi w:val="0"/>
                    <w:adjustRightInd w:val="0"/>
                    <w:snapToGrid w:val="0"/>
                    <w:spacing w:line="240" w:lineRule="auto"/>
                    <w:ind w:left="0" w:leftChars="0" w:firstLine="482" w:firstLineChars="0"/>
                    <w:textAlignment w:val="auto"/>
                    <w:rPr>
                      <w:rFonts w:hint="default"/>
                      <w:lang w:val="en-US" w:eastAsia="zh-CN"/>
                    </w:rPr>
                  </w:pPr>
                  <w:r>
                    <w:rPr>
                      <w:rFonts w:hint="default" w:ascii="Times New Roman" w:hAnsi="Times New Roman" w:eastAsia="宋体" w:cs="Times New Roman"/>
                      <w:b w:val="0"/>
                      <w:bCs w:val="0"/>
                      <w:i w:val="0"/>
                      <w:iCs w:val="0"/>
                      <w:caps w:val="0"/>
                      <w:color w:val="auto"/>
                      <w:spacing w:val="0"/>
                      <w:sz w:val="21"/>
                      <w:szCs w:val="21"/>
                    </w:rPr>
                    <w:t>禁燃区要求：在禁燃区内，禁止销售、燃用高污染燃料；禁止新建、扩建燃用高污染燃料的设施，已建成的，应当在城市人民政府规定的期限内改用天然气、页岩气、液化石油气、电或者其他清洁能源。</w:t>
                  </w:r>
                </w:p>
              </w:tc>
              <w:tc>
                <w:tcPr>
                  <w:tcW w:w="1433" w:type="dxa"/>
                  <w:tcBorders>
                    <w:tl2br w:val="nil"/>
                    <w:tr2bl w:val="nil"/>
                  </w:tcBorders>
                  <w:noWrap w:val="0"/>
                  <w:vAlign w:val="center"/>
                </w:tcPr>
                <w:p w14:paraId="3264798C">
                  <w:pPr>
                    <w:adjustRightInd w:val="0"/>
                    <w:snapToGrid w:val="0"/>
                    <w:spacing w:line="240" w:lineRule="auto"/>
                    <w:ind w:firstLine="482" w:firstLineChars="0"/>
                    <w:jc w:val="both"/>
                    <w:rPr>
                      <w:rFonts w:hint="default" w:ascii="Times New Roman" w:hAnsi="Times New Roman" w:cs="Times New Roman"/>
                      <w:color w:val="auto"/>
                      <w:sz w:val="21"/>
                      <w:szCs w:val="21"/>
                      <w:vertAlign w:val="baseline"/>
                      <w:lang w:eastAsia="zh-CN"/>
                    </w:rPr>
                  </w:pPr>
                  <w:r>
                    <w:rPr>
                      <w:rFonts w:hint="default" w:ascii="Times New Roman" w:hAnsi="Times New Roman" w:eastAsia="宋体" w:cs="Times New Roman"/>
                      <w:b w:val="0"/>
                      <w:bCs w:val="0"/>
                      <w:color w:val="auto"/>
                      <w:sz w:val="21"/>
                      <w:szCs w:val="21"/>
                      <w:lang w:eastAsia="zh-CN"/>
                    </w:rPr>
                    <w:t>本项目运营期间会消耗一定量的电、水、天然气等能源，但各类资源消耗均在区域可承受范围内，不会突破环境资源利用上线。</w:t>
                  </w:r>
                </w:p>
              </w:tc>
              <w:tc>
                <w:tcPr>
                  <w:tcW w:w="294" w:type="pct"/>
                  <w:tcBorders>
                    <w:tl2br w:val="nil"/>
                    <w:tr2bl w:val="nil"/>
                  </w:tcBorders>
                  <w:noWrap w:val="0"/>
                  <w:vAlign w:val="center"/>
                </w:tcPr>
                <w:p w14:paraId="0FBC00F3">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sz w:val="21"/>
                      <w:szCs w:val="21"/>
                      <w:vertAlign w:val="baseline"/>
                      <w:lang w:eastAsia="zh-CN"/>
                    </w:rPr>
                  </w:pPr>
                  <w:r>
                    <w:rPr>
                      <w:rFonts w:hint="default" w:ascii="Times New Roman" w:hAnsi="Times New Roman" w:cs="Times New Roman"/>
                      <w:color w:val="auto"/>
                      <w:sz w:val="21"/>
                      <w:szCs w:val="21"/>
                    </w:rPr>
                    <w:t>符合</w:t>
                  </w:r>
                </w:p>
              </w:tc>
            </w:tr>
          </w:tbl>
          <w:p w14:paraId="1567EB1A">
            <w:pPr>
              <w:pStyle w:val="9"/>
              <w:keepNext w:val="0"/>
              <w:keepLines w:val="0"/>
              <w:pageBreakBefore w:val="0"/>
              <w:widowControl w:val="0"/>
              <w:kinsoku/>
              <w:wordWrap/>
              <w:overflowPunct/>
              <w:topLinePunct w:val="0"/>
              <w:autoSpaceDE/>
              <w:autoSpaceDN/>
              <w:bidi w:val="0"/>
              <w:adjustRightInd/>
              <w:snapToGrid/>
              <w:spacing w:before="0" w:after="0" w:line="360" w:lineRule="auto"/>
              <w:ind w:right="0" w:firstLine="482"/>
              <w:textAlignment w:val="auto"/>
              <w:rPr>
                <w:rFonts w:hint="eastAsia" w:ascii="Times New Roman" w:hAnsi="Times New Roman" w:eastAsia="宋体" w:cs="Times New Roman"/>
                <w:b/>
                <w:bCs/>
                <w:color w:val="auto"/>
                <w:sz w:val="21"/>
                <w:szCs w:val="21"/>
                <w:lang w:eastAsia="zh-CN"/>
              </w:rPr>
            </w:pPr>
            <w:r>
              <w:rPr>
                <w:rFonts w:hint="default" w:ascii="Times New Roman" w:hAnsi="Times New Roman" w:cs="Times New Roman"/>
                <w:color w:val="auto"/>
                <w:sz w:val="21"/>
                <w:szCs w:val="21"/>
              </w:rPr>
              <w:t>综上，本</w:t>
            </w:r>
            <w:r>
              <w:rPr>
                <w:rFonts w:hint="default" w:ascii="Times New Roman" w:hAnsi="Times New Roman" w:eastAsia="宋体" w:cs="Times New Roman"/>
                <w:color w:val="auto"/>
                <w:sz w:val="21"/>
                <w:szCs w:val="21"/>
              </w:rPr>
              <w:t>项目符合</w:t>
            </w:r>
            <w:r>
              <w:rPr>
                <w:rFonts w:hint="default" w:ascii="Times New Roman" w:hAnsi="Times New Roman" w:eastAsia="宋体" w:cs="Times New Roman"/>
                <w:color w:val="auto"/>
                <w:sz w:val="21"/>
                <w:szCs w:val="21"/>
                <w:lang w:val="en-US" w:eastAsia="zh-CN"/>
              </w:rPr>
              <w:t>江苏省生态环境分区管控总体</w:t>
            </w:r>
            <w:r>
              <w:rPr>
                <w:rFonts w:hint="default" w:ascii="Times New Roman" w:hAnsi="Times New Roman" w:eastAsia="宋体" w:cs="Times New Roman"/>
                <w:color w:val="auto"/>
                <w:sz w:val="21"/>
                <w:szCs w:val="21"/>
              </w:rPr>
              <w:t>要求。</w:t>
            </w:r>
          </w:p>
          <w:p w14:paraId="23FD0565">
            <w:pPr>
              <w:keepNext w:val="0"/>
              <w:keepLines w:val="0"/>
              <w:pageBreakBefore w:val="0"/>
              <w:widowControl w:val="0"/>
              <w:kinsoku/>
              <w:wordWrap/>
              <w:overflowPunct/>
              <w:topLinePunct w:val="0"/>
              <w:autoSpaceDE/>
              <w:autoSpaceDN/>
              <w:bidi w:val="0"/>
              <w:adjustRightInd w:val="0"/>
              <w:snapToGrid w:val="0"/>
              <w:spacing w:before="0" w:after="0" w:line="360" w:lineRule="auto"/>
              <w:ind w:right="0"/>
              <w:textAlignment w:val="auto"/>
              <w:rPr>
                <w:rFonts w:hint="default" w:ascii="Times New Roman" w:hAnsi="Times New Roman" w:eastAsia="宋体" w:cs="Times New Roman"/>
                <w:b/>
                <w:bCs/>
                <w:color w:val="auto"/>
                <w:sz w:val="21"/>
                <w:szCs w:val="21"/>
                <w:lang w:eastAsia="zh-CN"/>
              </w:rPr>
            </w:pPr>
            <w:r>
              <w:rPr>
                <w:rFonts w:hint="eastAsia" w:ascii="Times New Roman" w:hAnsi="Times New Roman" w:eastAsia="宋体" w:cs="Times New Roman"/>
                <w:b/>
                <w:bCs/>
                <w:color w:val="auto"/>
                <w:sz w:val="21"/>
                <w:szCs w:val="21"/>
                <w:lang w:eastAsia="zh-CN"/>
              </w:rPr>
              <w:t>（</w:t>
            </w:r>
            <w:r>
              <w:rPr>
                <w:rFonts w:hint="eastAsia" w:cs="Times New Roman"/>
                <w:b/>
                <w:bCs/>
                <w:color w:val="auto"/>
                <w:sz w:val="21"/>
                <w:szCs w:val="21"/>
                <w:lang w:val="en-US" w:eastAsia="zh-CN"/>
              </w:rPr>
              <w:t>2</w:t>
            </w:r>
            <w:r>
              <w:rPr>
                <w:rFonts w:hint="eastAsia" w:ascii="Times New Roman" w:hAnsi="Times New Roman" w:eastAsia="宋体" w:cs="Times New Roman"/>
                <w:b/>
                <w:bCs/>
                <w:color w:val="auto"/>
                <w:sz w:val="21"/>
                <w:szCs w:val="21"/>
                <w:lang w:eastAsia="zh-CN"/>
              </w:rPr>
              <w:t>）</w:t>
            </w:r>
            <w:r>
              <w:rPr>
                <w:rFonts w:hint="default" w:ascii="Times New Roman" w:hAnsi="Times New Roman" w:eastAsia="宋体" w:cs="Times New Roman"/>
                <w:b/>
                <w:bCs/>
                <w:color w:val="auto"/>
                <w:sz w:val="21"/>
                <w:szCs w:val="21"/>
                <w:lang w:eastAsia="zh-CN"/>
              </w:rPr>
              <w:t>与</w:t>
            </w:r>
            <w:r>
              <w:rPr>
                <w:rFonts w:hint="default"/>
                <w:b/>
                <w:bCs/>
                <w:color w:val="auto"/>
                <w:sz w:val="21"/>
                <w:szCs w:val="21"/>
              </w:rPr>
              <w:t>《南通市2023年度生态环境分区管控动态更新成果公告》</w:t>
            </w:r>
            <w:r>
              <w:rPr>
                <w:rFonts w:hint="default" w:ascii="Times New Roman" w:hAnsi="Times New Roman" w:eastAsia="宋体" w:cs="Times New Roman"/>
                <w:b/>
                <w:bCs/>
                <w:color w:val="auto"/>
                <w:sz w:val="21"/>
                <w:szCs w:val="21"/>
                <w:lang w:eastAsia="zh-CN"/>
              </w:rPr>
              <w:t>相符性分析</w:t>
            </w:r>
          </w:p>
          <w:p w14:paraId="10DFA027">
            <w:pPr>
              <w:adjustRightInd w:val="0"/>
              <w:snapToGrid w:val="0"/>
              <w:spacing w:line="360" w:lineRule="auto"/>
              <w:jc w:val="center"/>
              <w:rPr>
                <w:rFonts w:hint="default" w:ascii="Times New Roman" w:hAnsi="Times New Roman" w:eastAsia="宋体" w:cs="Times New Roman"/>
                <w:b/>
                <w:bCs w:val="0"/>
                <w:color w:val="000000"/>
                <w:sz w:val="21"/>
                <w:szCs w:val="21"/>
                <w:lang w:eastAsia="zh-CN"/>
              </w:rPr>
            </w:pPr>
            <w:r>
              <w:rPr>
                <w:rFonts w:hint="default" w:ascii="Times New Roman" w:hAnsi="Times New Roman" w:eastAsia="宋体" w:cs="Times New Roman"/>
                <w:b/>
                <w:bCs w:val="0"/>
                <w:color w:val="000000"/>
                <w:sz w:val="21"/>
                <w:szCs w:val="21"/>
              </w:rPr>
              <w:t>表</w:t>
            </w:r>
            <w:r>
              <w:rPr>
                <w:rFonts w:hint="eastAsia" w:cs="Times New Roman"/>
                <w:b/>
                <w:bCs w:val="0"/>
                <w:color w:val="000000"/>
                <w:sz w:val="21"/>
                <w:szCs w:val="21"/>
                <w:lang w:val="en-US" w:eastAsia="zh-CN"/>
              </w:rPr>
              <w:t>1-3</w:t>
            </w:r>
            <w:r>
              <w:rPr>
                <w:rFonts w:hint="default" w:ascii="Times New Roman" w:hAnsi="Times New Roman" w:eastAsia="宋体" w:cs="Times New Roman"/>
                <w:b/>
                <w:bCs w:val="0"/>
                <w:color w:val="000000"/>
                <w:sz w:val="21"/>
                <w:szCs w:val="21"/>
              </w:rPr>
              <w:t xml:space="preserve">  </w:t>
            </w:r>
            <w:r>
              <w:rPr>
                <w:rFonts w:hint="default" w:ascii="Times New Roman" w:hAnsi="Times New Roman" w:eastAsia="宋体" w:cs="Times New Roman"/>
                <w:b/>
                <w:bCs w:val="0"/>
                <w:color w:val="000000"/>
                <w:sz w:val="21"/>
                <w:szCs w:val="21"/>
                <w:lang w:eastAsia="zh-CN"/>
              </w:rPr>
              <w:t>与《南通市</w:t>
            </w:r>
            <w:r>
              <w:rPr>
                <w:rFonts w:hint="default" w:ascii="Times New Roman" w:hAnsi="Times New Roman" w:eastAsia="宋体" w:cs="Times New Roman"/>
                <w:b/>
                <w:bCs w:val="0"/>
                <w:color w:val="000000"/>
                <w:sz w:val="21"/>
                <w:szCs w:val="21"/>
                <w:lang w:val="en-US" w:eastAsia="zh-CN"/>
              </w:rPr>
              <w:t>2023年生态环境分区管控动态更新成果公告</w:t>
            </w:r>
            <w:r>
              <w:rPr>
                <w:rFonts w:hint="default" w:ascii="Times New Roman" w:hAnsi="Times New Roman" w:eastAsia="宋体" w:cs="Times New Roman"/>
                <w:b/>
                <w:bCs w:val="0"/>
                <w:color w:val="000000"/>
                <w:sz w:val="21"/>
                <w:szCs w:val="21"/>
                <w:lang w:eastAsia="zh-CN"/>
              </w:rPr>
              <w:t>》相符性</w:t>
            </w:r>
          </w:p>
          <w:tbl>
            <w:tblPr>
              <w:tblStyle w:val="23"/>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4273"/>
              <w:gridCol w:w="1477"/>
            </w:tblGrid>
            <w:tr w14:paraId="1F258A7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7" w:type="pct"/>
                  <w:noWrap w:val="0"/>
                  <w:vAlign w:val="center"/>
                </w:tcPr>
                <w:p w14:paraId="65E6DD62">
                  <w:pPr>
                    <w:adjustRightInd w:val="0"/>
                    <w:snapToGrid w:val="0"/>
                    <w:spacing w:line="240" w:lineRule="auto"/>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管控类别</w:t>
                  </w:r>
                </w:p>
              </w:tc>
              <w:tc>
                <w:tcPr>
                  <w:tcW w:w="3070" w:type="pct"/>
                  <w:noWrap w:val="0"/>
                  <w:vAlign w:val="center"/>
                </w:tcPr>
                <w:p w14:paraId="0DB0F860">
                  <w:pPr>
                    <w:adjustRightInd w:val="0"/>
                    <w:snapToGrid w:val="0"/>
                    <w:spacing w:line="240" w:lineRule="auto"/>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管控要求</w:t>
                  </w:r>
                </w:p>
              </w:tc>
              <w:tc>
                <w:tcPr>
                  <w:tcW w:w="1061" w:type="pct"/>
                  <w:noWrap w:val="0"/>
                  <w:vAlign w:val="center"/>
                </w:tcPr>
                <w:p w14:paraId="2FAB3084">
                  <w:pPr>
                    <w:adjustRightInd w:val="0"/>
                    <w:snapToGrid w:val="0"/>
                    <w:spacing w:line="240" w:lineRule="auto"/>
                    <w:jc w:val="center"/>
                    <w:rPr>
                      <w:rFonts w:hint="default" w:ascii="Times New Roman" w:hAnsi="Times New Roman" w:eastAsia="宋体" w:cs="Times New Roman"/>
                      <w:b/>
                      <w:bCs/>
                      <w:color w:val="000000"/>
                      <w:sz w:val="21"/>
                      <w:szCs w:val="21"/>
                      <w:lang w:eastAsia="zh-CN"/>
                    </w:rPr>
                  </w:pPr>
                  <w:r>
                    <w:rPr>
                      <w:rFonts w:hint="default" w:ascii="Times New Roman" w:hAnsi="Times New Roman" w:eastAsia="宋体" w:cs="Times New Roman"/>
                      <w:b/>
                      <w:bCs/>
                      <w:color w:val="000000"/>
                      <w:sz w:val="21"/>
                      <w:szCs w:val="21"/>
                      <w:lang w:eastAsia="zh-CN"/>
                    </w:rPr>
                    <w:t>本项目情况</w:t>
                  </w:r>
                </w:p>
              </w:tc>
            </w:tr>
            <w:tr w14:paraId="0427353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7" w:type="pct"/>
                  <w:noWrap w:val="0"/>
                  <w:vAlign w:val="center"/>
                </w:tcPr>
                <w:p w14:paraId="29D7961E">
                  <w:pPr>
                    <w:adjustRightInd w:val="0"/>
                    <w:snapToGrid w:val="0"/>
                    <w:spacing w:line="240" w:lineRule="auto"/>
                    <w:jc w:val="both"/>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空间布局约束</w:t>
                  </w:r>
                </w:p>
              </w:tc>
              <w:tc>
                <w:tcPr>
                  <w:tcW w:w="3070" w:type="pct"/>
                  <w:noWrap w:val="0"/>
                  <w:vAlign w:val="center"/>
                </w:tcPr>
                <w:p w14:paraId="4955C66F">
                  <w:pPr>
                    <w:numPr>
                      <w:ilvl w:val="-1"/>
                      <w:numId w:val="0"/>
                    </w:numPr>
                    <w:adjustRightInd w:val="0"/>
                    <w:snapToGrid w:val="0"/>
                    <w:spacing w:line="240" w:lineRule="auto"/>
                    <w:ind w:firstLine="482" w:firstLineChars="0"/>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落实国土空间总体规划，严守生态保护红线，陆域生态保护红线53.4917平方公里，海洋生态保护红线2480.777平方公里。南通市生态空间管控区域面积1532.87平方公里。</w:t>
                  </w:r>
                </w:p>
                <w:p w14:paraId="19AA61F8">
                  <w:pPr>
                    <w:widowControl w:val="0"/>
                    <w:autoSpaceDE/>
                    <w:autoSpaceDN/>
                    <w:adjustRightInd w:val="0"/>
                    <w:snapToGrid w:val="0"/>
                    <w:spacing w:line="240" w:lineRule="auto"/>
                    <w:ind w:firstLine="482"/>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严格执行《（长江经济带发展负面清单指南）江苏省实施细则（试行）》；禁止引进引入《南通市工业结构调整指导目录》淘汰类的产品、列入《南通市工业产业技术改造负面清单》严格禁止的技术改造工艺装备及产品。</w:t>
                  </w:r>
                </w:p>
                <w:p w14:paraId="29D1B021">
                  <w:pPr>
                    <w:widowControl w:val="0"/>
                    <w:autoSpaceDE/>
                    <w:autoSpaceDN/>
                    <w:adjustRightInd w:val="0"/>
                    <w:snapToGrid w:val="0"/>
                    <w:spacing w:line="240" w:lineRule="auto"/>
                    <w:ind w:firstLine="482"/>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根据《省政府关于加强全省化工园区化工集中区规范化管理的通知》（苏政发</w:t>
                  </w:r>
                  <w:r>
                    <w:rPr>
                      <w:rFonts w:hint="default" w:ascii="Times New Roman" w:hAnsi="Times New Roman" w:eastAsia="宋体" w:cs="Times New Roman"/>
                      <w:b w:val="0"/>
                      <w:bCs w:val="0"/>
                      <w:color w:val="000000"/>
                      <w:sz w:val="21"/>
                      <w:szCs w:val="21"/>
                    </w:rPr>
                    <w:t>〔</w:t>
                  </w:r>
                  <w:r>
                    <w:rPr>
                      <w:rFonts w:hint="default" w:ascii="Times New Roman" w:hAnsi="Times New Roman" w:eastAsia="宋体" w:cs="Times New Roman"/>
                      <w:b w:val="0"/>
                      <w:bCs w:val="0"/>
                      <w:color w:val="000000"/>
                      <w:sz w:val="21"/>
                      <w:szCs w:val="21"/>
                      <w:lang w:val="en-US" w:eastAsia="zh-CN"/>
                    </w:rPr>
                    <w:t>2020</w:t>
                  </w:r>
                  <w:r>
                    <w:rPr>
                      <w:rFonts w:hint="default" w:ascii="Times New Roman" w:hAnsi="Times New Roman" w:eastAsia="宋体" w:cs="Times New Roman"/>
                      <w:b w:val="0"/>
                      <w:bCs w:val="0"/>
                      <w:color w:val="000000"/>
                      <w:sz w:val="21"/>
                      <w:szCs w:val="21"/>
                    </w:rPr>
                    <w:t>〕</w:t>
                  </w:r>
                  <w:r>
                    <w:rPr>
                      <w:rFonts w:hint="default" w:ascii="Times New Roman" w:hAnsi="Times New Roman" w:eastAsia="宋体" w:cs="Times New Roman"/>
                      <w:b w:val="0"/>
                      <w:bCs w:val="0"/>
                      <w:color w:val="000000"/>
                      <w:sz w:val="21"/>
                      <w:szCs w:val="21"/>
                      <w:lang w:val="en-US" w:eastAsia="zh-CN"/>
                    </w:rPr>
                    <w:t>94号），化工园区、化工集中区处于长江干流和主要支流岸线1公里范围（以下简称沿江1公里范围）内的区域不得新建、扩建化工企业和项目（安全、环保、节能、信息化智能化、提升产品品质技术改造项目除外）。禁止建设属于国家、省和我市禁止类、淘汰类生产工艺、产品的项目。从严控制农药、传统医药、染料化工项目审批，原则上</w:t>
                  </w:r>
                  <w:r>
                    <w:rPr>
                      <w:rFonts w:hint="eastAsia" w:ascii="Times New Roman" w:hAnsi="Times New Roman" w:cs="Times New Roman"/>
                      <w:b w:val="0"/>
                      <w:bCs w:val="0"/>
                      <w:color w:val="000000"/>
                      <w:sz w:val="21"/>
                      <w:szCs w:val="21"/>
                      <w:lang w:val="en-US" w:eastAsia="zh-CN"/>
                    </w:rPr>
                    <w:t>不存</w:t>
                  </w:r>
                  <w:r>
                    <w:rPr>
                      <w:rFonts w:hint="default" w:ascii="Times New Roman" w:hAnsi="Times New Roman" w:eastAsia="宋体" w:cs="Times New Roman"/>
                      <w:b w:val="0"/>
                      <w:bCs w:val="0"/>
                      <w:color w:val="000000"/>
                      <w:sz w:val="21"/>
                      <w:szCs w:val="21"/>
                      <w:lang w:val="en-US" w:eastAsia="zh-CN"/>
                    </w:rPr>
                    <w:t>在新上医药中间体、农药中间体、染料中间体项目（具有自主</w:t>
                  </w:r>
                  <w:r>
                    <w:rPr>
                      <w:rFonts w:hint="eastAsia" w:ascii="Times New Roman" w:hAnsi="Times New Roman" w:cs="Times New Roman"/>
                      <w:b w:val="0"/>
                      <w:bCs w:val="0"/>
                      <w:color w:val="000000"/>
                      <w:sz w:val="21"/>
                      <w:szCs w:val="21"/>
                      <w:lang w:val="en-US" w:eastAsia="zh-CN"/>
                    </w:rPr>
                    <w:t>知识产权</w:t>
                  </w:r>
                  <w:r>
                    <w:rPr>
                      <w:rFonts w:hint="default" w:ascii="Times New Roman" w:hAnsi="Times New Roman" w:eastAsia="宋体" w:cs="Times New Roman"/>
                      <w:b w:val="0"/>
                      <w:bCs w:val="0"/>
                      <w:color w:val="000000"/>
                      <w:sz w:val="21"/>
                      <w:szCs w:val="21"/>
                      <w:lang w:val="en-US" w:eastAsia="zh-CN"/>
                    </w:rPr>
                    <w:t>的关键中间体及高产出、低污染项目除外，分别由科技部门和环保部门认定）。沿江化工园区不再新建农药、染料化工企业。</w:t>
                  </w:r>
                </w:p>
                <w:p w14:paraId="0A03E018">
                  <w:pPr>
                    <w:widowControl w:val="0"/>
                    <w:autoSpaceDE/>
                    <w:autoSpaceDN/>
                    <w:adjustRightInd w:val="0"/>
                    <w:snapToGrid w:val="0"/>
                    <w:spacing w:line="240" w:lineRule="auto"/>
                    <w:ind w:firstLine="482"/>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落实《市政府办公室印发&lt;关于进一步促进全市乡镇工业集聚区高质量发展的实施意见&gt;的通知》（通政办发</w:t>
                  </w:r>
                  <w:r>
                    <w:rPr>
                      <w:rFonts w:hint="default" w:ascii="Times New Roman" w:hAnsi="Times New Roman" w:eastAsia="宋体" w:cs="Times New Roman"/>
                      <w:b w:val="0"/>
                      <w:bCs w:val="0"/>
                      <w:color w:val="000000"/>
                      <w:sz w:val="21"/>
                      <w:szCs w:val="21"/>
                    </w:rPr>
                    <w:t>〔</w:t>
                  </w:r>
                  <w:r>
                    <w:rPr>
                      <w:rFonts w:hint="default" w:ascii="Times New Roman" w:hAnsi="Times New Roman" w:eastAsia="宋体" w:cs="Times New Roman"/>
                      <w:b w:val="0"/>
                      <w:bCs w:val="0"/>
                      <w:color w:val="000000"/>
                      <w:sz w:val="21"/>
                      <w:szCs w:val="21"/>
                      <w:lang w:val="en-US" w:eastAsia="zh-CN"/>
                    </w:rPr>
                    <w:t>2022</w:t>
                  </w:r>
                  <w:r>
                    <w:rPr>
                      <w:rFonts w:hint="default" w:ascii="Times New Roman" w:hAnsi="Times New Roman" w:eastAsia="宋体" w:cs="Times New Roman"/>
                      <w:b w:val="0"/>
                      <w:bCs w:val="0"/>
                      <w:color w:val="000000"/>
                      <w:sz w:val="21"/>
                      <w:szCs w:val="21"/>
                    </w:rPr>
                    <w:t>〕</w:t>
                  </w:r>
                  <w:r>
                    <w:rPr>
                      <w:rFonts w:hint="default" w:ascii="Times New Roman" w:hAnsi="Times New Roman" w:eastAsia="宋体" w:cs="Times New Roman"/>
                      <w:b w:val="0"/>
                      <w:bCs w:val="0"/>
                      <w:color w:val="000000"/>
                      <w:sz w:val="21"/>
                      <w:szCs w:val="21"/>
                      <w:lang w:val="en-US" w:eastAsia="zh-CN"/>
                    </w:rPr>
                    <w:t>70号），严格控制新增集聚区，推动园区外企业入园进区。除保障农村一二三产业融合发展所需项目外，对招商中不符合规划的项目实行一票否决，各地不得为项目随意调整规划。</w:t>
                  </w:r>
                </w:p>
                <w:p w14:paraId="6D38F2BD">
                  <w:pPr>
                    <w:widowControl w:val="0"/>
                    <w:autoSpaceDE/>
                    <w:autoSpaceDN/>
                    <w:adjustRightInd w:val="0"/>
                    <w:snapToGrid w:val="0"/>
                    <w:spacing w:line="240" w:lineRule="auto"/>
                    <w:ind w:firstLine="482"/>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落实《市政府办公室关于印发南通市减污降碳协同增效三年行动计划（2023</w:t>
                  </w:r>
                  <w:r>
                    <w:rPr>
                      <w:rFonts w:hint="eastAsia" w:cs="Times New Roman"/>
                      <w:b w:val="0"/>
                      <w:bCs w:val="0"/>
                      <w:color w:val="000000"/>
                      <w:sz w:val="21"/>
                      <w:szCs w:val="21"/>
                      <w:lang w:val="en-US" w:eastAsia="zh-CN"/>
                    </w:rPr>
                    <w:t>～</w:t>
                  </w:r>
                  <w:r>
                    <w:rPr>
                      <w:rFonts w:hint="default" w:ascii="Times New Roman" w:hAnsi="Times New Roman" w:eastAsia="宋体" w:cs="Times New Roman"/>
                      <w:b w:val="0"/>
                      <w:bCs w:val="0"/>
                      <w:color w:val="000000"/>
                      <w:sz w:val="21"/>
                      <w:szCs w:val="21"/>
                      <w:lang w:val="en-US" w:eastAsia="zh-CN"/>
                    </w:rPr>
                    <w:t>2025年）的通知》（通政办发</w:t>
                  </w:r>
                  <w:r>
                    <w:rPr>
                      <w:rFonts w:hint="default" w:ascii="Times New Roman" w:hAnsi="Times New Roman" w:eastAsia="宋体" w:cs="Times New Roman"/>
                      <w:b w:val="0"/>
                      <w:bCs w:val="0"/>
                      <w:color w:val="000000"/>
                      <w:sz w:val="21"/>
                      <w:szCs w:val="21"/>
                    </w:rPr>
                    <w:t>〔</w:t>
                  </w:r>
                  <w:r>
                    <w:rPr>
                      <w:rFonts w:hint="default" w:ascii="Times New Roman" w:hAnsi="Times New Roman" w:eastAsia="宋体" w:cs="Times New Roman"/>
                      <w:b w:val="0"/>
                      <w:bCs w:val="0"/>
                      <w:color w:val="000000"/>
                      <w:sz w:val="21"/>
                      <w:szCs w:val="21"/>
                      <w:lang w:val="en-US" w:eastAsia="zh-CN"/>
                    </w:rPr>
                    <w:t>2023</w:t>
                  </w:r>
                  <w:r>
                    <w:rPr>
                      <w:rFonts w:hint="default" w:ascii="Times New Roman" w:hAnsi="Times New Roman" w:eastAsia="宋体" w:cs="Times New Roman"/>
                      <w:b w:val="0"/>
                      <w:bCs w:val="0"/>
                      <w:color w:val="000000"/>
                      <w:sz w:val="21"/>
                      <w:szCs w:val="21"/>
                    </w:rPr>
                    <w:t>〕</w:t>
                  </w:r>
                  <w:r>
                    <w:rPr>
                      <w:rFonts w:hint="default" w:ascii="Times New Roman" w:hAnsi="Times New Roman" w:eastAsia="宋体" w:cs="Times New Roman"/>
                      <w:b w:val="0"/>
                      <w:bCs w:val="0"/>
                      <w:color w:val="000000"/>
                      <w:sz w:val="21"/>
                      <w:szCs w:val="21"/>
                      <w:lang w:val="en-US" w:eastAsia="zh-CN"/>
                    </w:rPr>
                    <w:t>24号），实施</w:t>
                  </w:r>
                  <w:r>
                    <w:rPr>
                      <w:rFonts w:hint="eastAsia" w:cs="Times New Roman"/>
                      <w:b w:val="0"/>
                      <w:bCs w:val="0"/>
                      <w:color w:val="000000"/>
                      <w:sz w:val="21"/>
                      <w:szCs w:val="21"/>
                      <w:lang w:val="en-US" w:eastAsia="zh-CN"/>
                    </w:rPr>
                    <w:t>“</w:t>
                  </w:r>
                  <w:r>
                    <w:rPr>
                      <w:rFonts w:hint="default" w:ascii="Times New Roman" w:hAnsi="Times New Roman" w:eastAsia="宋体" w:cs="Times New Roman"/>
                      <w:b w:val="0"/>
                      <w:bCs w:val="0"/>
                      <w:color w:val="000000"/>
                      <w:sz w:val="21"/>
                      <w:szCs w:val="21"/>
                      <w:lang w:val="en-US" w:eastAsia="zh-CN"/>
                    </w:rPr>
                    <w:t>两高”项目清单化管理，推进沿江产业转型和沿海钢铁石化产业布局，推动落后和过剩产能退出。加快工业领域低碳工艺革新，全面提升船舶海工、新材料、建筑等重点行业数字化水平。推动生态环保产业与5G、人工智能、区块链等创新技术融合发展，</w:t>
                  </w:r>
                  <w:r>
                    <w:rPr>
                      <w:rFonts w:hint="eastAsia" w:ascii="Times New Roman" w:hAnsi="Times New Roman" w:cs="Times New Roman"/>
                      <w:b w:val="0"/>
                      <w:bCs w:val="0"/>
                      <w:color w:val="000000"/>
                      <w:sz w:val="21"/>
                      <w:szCs w:val="21"/>
                      <w:lang w:val="en-US" w:eastAsia="zh-CN"/>
                    </w:rPr>
                    <w:t>构建</w:t>
                  </w:r>
                  <w:r>
                    <w:rPr>
                      <w:rFonts w:hint="default" w:ascii="Times New Roman" w:hAnsi="Times New Roman" w:eastAsia="宋体" w:cs="Times New Roman"/>
                      <w:b w:val="0"/>
                      <w:bCs w:val="0"/>
                      <w:color w:val="000000"/>
                      <w:sz w:val="21"/>
                      <w:szCs w:val="21"/>
                      <w:lang w:val="en-US" w:eastAsia="zh-CN"/>
                    </w:rPr>
                    <w:t>自主可控、安全可靠的绿色产业链。</w:t>
                  </w:r>
                </w:p>
                <w:p w14:paraId="2EF5DE2E">
                  <w:pPr>
                    <w:widowControl w:val="0"/>
                    <w:autoSpaceDE/>
                    <w:autoSpaceDN/>
                    <w:adjustRightInd w:val="0"/>
                    <w:snapToGrid w:val="0"/>
                    <w:spacing w:line="240" w:lineRule="auto"/>
                    <w:ind w:firstLine="482"/>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lang w:val="en-US" w:eastAsia="zh-CN"/>
                    </w:rPr>
                    <w:t>落实《自然资源部国家发展改革委农业农村部关于保障和规范农村一二三产业融合发展用地的通知》（自然资发</w:t>
                  </w:r>
                  <w:r>
                    <w:rPr>
                      <w:rFonts w:hint="default" w:ascii="Times New Roman" w:hAnsi="Times New Roman" w:eastAsia="宋体" w:cs="Times New Roman"/>
                      <w:b w:val="0"/>
                      <w:bCs w:val="0"/>
                      <w:color w:val="000000"/>
                      <w:sz w:val="21"/>
                      <w:szCs w:val="21"/>
                    </w:rPr>
                    <w:t>〔</w:t>
                  </w:r>
                  <w:r>
                    <w:rPr>
                      <w:rFonts w:hint="default" w:ascii="Times New Roman" w:hAnsi="Times New Roman" w:eastAsia="宋体" w:cs="Times New Roman"/>
                      <w:b w:val="0"/>
                      <w:bCs w:val="0"/>
                      <w:color w:val="000000"/>
                      <w:sz w:val="21"/>
                      <w:szCs w:val="21"/>
                      <w:lang w:val="en-US" w:eastAsia="zh-CN"/>
                    </w:rPr>
                    <w:t>2021</w:t>
                  </w:r>
                  <w:r>
                    <w:rPr>
                      <w:rFonts w:hint="default" w:ascii="Times New Roman" w:hAnsi="Times New Roman" w:eastAsia="宋体" w:cs="Times New Roman"/>
                      <w:b w:val="0"/>
                      <w:bCs w:val="0"/>
                      <w:color w:val="000000"/>
                      <w:sz w:val="21"/>
                      <w:szCs w:val="21"/>
                    </w:rPr>
                    <w:t>〕</w:t>
                  </w:r>
                  <w:r>
                    <w:rPr>
                      <w:rFonts w:hint="default" w:ascii="Times New Roman" w:hAnsi="Times New Roman" w:eastAsia="宋体" w:cs="Times New Roman"/>
                      <w:b w:val="0"/>
                      <w:bCs w:val="0"/>
                      <w:color w:val="000000"/>
                      <w:sz w:val="21"/>
                      <w:szCs w:val="21"/>
                      <w:lang w:val="en-US" w:eastAsia="zh-CN"/>
                    </w:rPr>
                    <w:t>16号）要求，引导农村产业在县域范围内统筹布局，规模较大、工业化程度高、分散布局配套设施成本高的产业项目要进产业园区；具有一定规模的农产品加工要向县域有条件的乡镇城镇开发边界内集聚；直接服务种植养殖业的农产品加工、电子商务、仓储保鲜冷链、产地低温直销配送等产业，原则上应集中在行政村村庄建设边界内；利用农村本地资源开展农产品初加工、发展</w:t>
                  </w:r>
                  <w:r>
                    <w:rPr>
                      <w:rFonts w:hint="eastAsia" w:ascii="Times New Roman" w:hAnsi="Times New Roman" w:cs="Times New Roman"/>
                      <w:b w:val="0"/>
                      <w:bCs w:val="0"/>
                      <w:color w:val="000000"/>
                      <w:sz w:val="21"/>
                      <w:szCs w:val="21"/>
                      <w:lang w:val="en-US" w:eastAsia="zh-CN"/>
                    </w:rPr>
                    <w:t>休闲</w:t>
                  </w:r>
                  <w:r>
                    <w:rPr>
                      <w:rFonts w:hint="default" w:ascii="Times New Roman" w:hAnsi="Times New Roman" w:eastAsia="宋体" w:cs="Times New Roman"/>
                      <w:b w:val="0"/>
                      <w:bCs w:val="0"/>
                      <w:color w:val="000000"/>
                      <w:sz w:val="21"/>
                      <w:szCs w:val="21"/>
                      <w:lang w:val="en-US" w:eastAsia="zh-CN"/>
                    </w:rPr>
                    <w:t>观光旅游而必须得配套设施建设，可在不占用永久基本农田和生态保护红线、不突破国土空间规划建设用地指标等约束条件，不破坏生态环境和乡村风貌的前提下，在村庄建设边界外安排少量建设用地，实行比例和面积控制，并依法办理农用地</w:t>
                  </w:r>
                  <w:r>
                    <w:rPr>
                      <w:rFonts w:hint="eastAsia" w:ascii="Times New Roman" w:hAnsi="Times New Roman" w:cs="Times New Roman"/>
                      <w:b w:val="0"/>
                      <w:bCs w:val="0"/>
                      <w:color w:val="000000"/>
                      <w:sz w:val="21"/>
                      <w:szCs w:val="21"/>
                      <w:lang w:val="en-US" w:eastAsia="zh-CN"/>
                    </w:rPr>
                    <w:t>转用</w:t>
                  </w:r>
                  <w:r>
                    <w:rPr>
                      <w:rFonts w:hint="default" w:ascii="Times New Roman" w:hAnsi="Times New Roman" w:eastAsia="宋体" w:cs="Times New Roman"/>
                      <w:b w:val="0"/>
                      <w:bCs w:val="0"/>
                      <w:color w:val="000000"/>
                      <w:sz w:val="21"/>
                      <w:szCs w:val="21"/>
                      <w:lang w:val="en-US" w:eastAsia="zh-CN"/>
                    </w:rPr>
                    <w:t>审批和供地手续。</w:t>
                  </w:r>
                </w:p>
              </w:tc>
              <w:tc>
                <w:tcPr>
                  <w:tcW w:w="1061" w:type="pct"/>
                  <w:noWrap w:val="0"/>
                  <w:vAlign w:val="center"/>
                </w:tcPr>
                <w:p w14:paraId="5988F6E6">
                  <w:pPr>
                    <w:numPr>
                      <w:ilvl w:val="-1"/>
                      <w:numId w:val="0"/>
                    </w:numPr>
                    <w:adjustRightInd w:val="0"/>
                    <w:snapToGrid w:val="0"/>
                    <w:spacing w:line="240" w:lineRule="auto"/>
                    <w:ind w:firstLine="482"/>
                    <w:jc w:val="both"/>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本项目所在地不在生态管控区域范围内，项目建设符合生态红线相关管控要求，不会导致如皋市生态红线区域生产服务功能下降；</w:t>
                  </w:r>
                </w:p>
                <w:p w14:paraId="7637651B">
                  <w:pPr>
                    <w:numPr>
                      <w:ilvl w:val="-1"/>
                      <w:numId w:val="0"/>
                    </w:numPr>
                    <w:adjustRightInd w:val="0"/>
                    <w:snapToGrid w:val="0"/>
                    <w:spacing w:line="240" w:lineRule="auto"/>
                    <w:ind w:firstLine="482"/>
                    <w:jc w:val="both"/>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本项目不使用限制淘汰类工艺装备；</w:t>
                  </w:r>
                </w:p>
                <w:p w14:paraId="1F18A3A2">
                  <w:pPr>
                    <w:numPr>
                      <w:ilvl w:val="-1"/>
                      <w:numId w:val="0"/>
                    </w:numPr>
                    <w:adjustRightInd w:val="0"/>
                    <w:snapToGrid w:val="0"/>
                    <w:spacing w:line="240" w:lineRule="auto"/>
                    <w:ind w:firstLine="482"/>
                    <w:jc w:val="both"/>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本项目不涉及化工；</w:t>
                  </w:r>
                </w:p>
                <w:p w14:paraId="24DB2A05">
                  <w:pPr>
                    <w:numPr>
                      <w:ilvl w:val="-1"/>
                      <w:numId w:val="0"/>
                    </w:numPr>
                    <w:adjustRightInd w:val="0"/>
                    <w:snapToGrid w:val="0"/>
                    <w:spacing w:line="240" w:lineRule="auto"/>
                    <w:ind w:firstLine="482"/>
                    <w:jc w:val="both"/>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本项目选址位于</w:t>
                  </w:r>
                  <w:r>
                    <w:rPr>
                      <w:rFonts w:hint="eastAsia" w:cs="Times New Roman"/>
                      <w:color w:val="000000" w:themeColor="text1"/>
                      <w:sz w:val="21"/>
                      <w:szCs w:val="21"/>
                      <w:vertAlign w:val="baseline"/>
                      <w:lang w:val="en-US" w:eastAsia="zh-CN"/>
                      <w14:textFill>
                        <w14:solidFill>
                          <w14:schemeClr w14:val="tx1"/>
                        </w14:solidFill>
                      </w14:textFill>
                    </w:rPr>
                    <w:t>如皋工业园区东部工业区（大殷、双群）</w:t>
                  </w:r>
                  <w:r>
                    <w:rPr>
                      <w:rFonts w:hint="default" w:ascii="Times New Roman" w:hAnsi="Times New Roman" w:eastAsia="宋体" w:cs="Times New Roman"/>
                      <w:b w:val="0"/>
                      <w:bCs w:val="0"/>
                      <w:color w:val="000000"/>
                      <w:sz w:val="21"/>
                      <w:szCs w:val="21"/>
                      <w:lang w:val="en-US" w:eastAsia="zh-CN"/>
                    </w:rPr>
                    <w:t>，属于工业集聚区；</w:t>
                  </w:r>
                </w:p>
                <w:p w14:paraId="266CCF3A">
                  <w:pPr>
                    <w:numPr>
                      <w:ilvl w:val="-1"/>
                      <w:numId w:val="0"/>
                    </w:numPr>
                    <w:adjustRightInd w:val="0"/>
                    <w:snapToGrid w:val="0"/>
                    <w:spacing w:line="240" w:lineRule="auto"/>
                    <w:ind w:firstLine="482"/>
                    <w:jc w:val="both"/>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本项目不属于</w:t>
                  </w:r>
                  <w:r>
                    <w:rPr>
                      <w:rFonts w:hint="eastAsia" w:cs="Times New Roman"/>
                      <w:b w:val="0"/>
                      <w:bCs w:val="0"/>
                      <w:color w:val="000000"/>
                      <w:sz w:val="21"/>
                      <w:szCs w:val="21"/>
                      <w:lang w:val="en-US" w:eastAsia="zh-CN"/>
                    </w:rPr>
                    <w:t>“</w:t>
                  </w:r>
                  <w:r>
                    <w:rPr>
                      <w:rFonts w:hint="default" w:ascii="Times New Roman" w:hAnsi="Times New Roman" w:eastAsia="宋体" w:cs="Times New Roman"/>
                      <w:b w:val="0"/>
                      <w:bCs w:val="0"/>
                      <w:color w:val="000000"/>
                      <w:sz w:val="21"/>
                      <w:szCs w:val="21"/>
                      <w:lang w:val="en-US" w:eastAsia="zh-CN"/>
                    </w:rPr>
                    <w:t>两高”项目；</w:t>
                  </w:r>
                </w:p>
                <w:p w14:paraId="797B001F">
                  <w:pPr>
                    <w:numPr>
                      <w:ilvl w:val="-1"/>
                      <w:numId w:val="0"/>
                    </w:numPr>
                    <w:adjustRightInd w:val="0"/>
                    <w:snapToGrid w:val="0"/>
                    <w:spacing w:line="240" w:lineRule="auto"/>
                    <w:ind w:firstLine="482"/>
                    <w:jc w:val="both"/>
                    <w:rPr>
                      <w:rFonts w:hint="default" w:ascii="Times New Roman" w:hAnsi="Times New Roman" w:eastAsia="宋体" w:cs="Times New Roman"/>
                      <w:b w:val="0"/>
                      <w:bCs w:val="0"/>
                      <w:color w:val="000000"/>
                      <w:sz w:val="21"/>
                      <w:szCs w:val="21"/>
                      <w:lang w:eastAsia="zh-CN"/>
                    </w:rPr>
                  </w:pPr>
                  <w:r>
                    <w:rPr>
                      <w:rFonts w:hint="default" w:ascii="Times New Roman" w:hAnsi="Times New Roman" w:eastAsia="宋体" w:cs="Times New Roman"/>
                      <w:b w:val="0"/>
                      <w:bCs w:val="0"/>
                      <w:color w:val="000000"/>
                      <w:sz w:val="21"/>
                      <w:szCs w:val="21"/>
                      <w:lang w:val="en-US" w:eastAsia="zh-CN"/>
                    </w:rPr>
                    <w:t>本项目选址位于城镇开发边界，不涉及基本农田及生态红线。</w:t>
                  </w:r>
                </w:p>
              </w:tc>
            </w:tr>
            <w:tr w14:paraId="1BFC2E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7" w:type="pct"/>
                  <w:noWrap w:val="0"/>
                  <w:vAlign w:val="center"/>
                </w:tcPr>
                <w:p w14:paraId="2C846C75">
                  <w:pPr>
                    <w:adjustRightInd w:val="0"/>
                    <w:snapToGrid w:val="0"/>
                    <w:spacing w:line="240" w:lineRule="auto"/>
                    <w:ind w:firstLine="0"/>
                    <w:jc w:val="both"/>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污染物排放管控</w:t>
                  </w:r>
                </w:p>
              </w:tc>
              <w:tc>
                <w:tcPr>
                  <w:tcW w:w="3070" w:type="pct"/>
                  <w:noWrap w:val="0"/>
                  <w:vAlign w:val="center"/>
                </w:tcPr>
                <w:p w14:paraId="412AD6AF">
                  <w:pPr>
                    <w:numPr>
                      <w:ilvl w:val="-1"/>
                      <w:numId w:val="0"/>
                    </w:numPr>
                    <w:adjustRightInd w:val="0"/>
                    <w:snapToGrid w:val="0"/>
                    <w:spacing w:line="240" w:lineRule="auto"/>
                    <w:ind w:firstLine="482" w:firstLineChars="0"/>
                    <w:rPr>
                      <w:rFonts w:hint="default" w:ascii="Times New Roman" w:hAnsi="Times New Roman" w:eastAsia="宋体" w:cs="Times New Roman"/>
                      <w:b w:val="0"/>
                      <w:bCs w:val="0"/>
                      <w:i w:val="0"/>
                      <w:iCs w:val="0"/>
                      <w:caps w:val="0"/>
                      <w:color w:val="000000"/>
                      <w:spacing w:val="0"/>
                      <w:sz w:val="21"/>
                      <w:szCs w:val="21"/>
                    </w:rPr>
                  </w:pPr>
                  <w:r>
                    <w:rPr>
                      <w:rFonts w:hint="default" w:ascii="Times New Roman" w:hAnsi="Times New Roman" w:eastAsia="宋体" w:cs="Times New Roman"/>
                      <w:b w:val="0"/>
                      <w:bCs w:val="0"/>
                      <w:i w:val="0"/>
                      <w:iCs w:val="0"/>
                      <w:caps w:val="0"/>
                      <w:color w:val="000000"/>
                      <w:spacing w:val="0"/>
                      <w:sz w:val="21"/>
                      <w:szCs w:val="21"/>
                    </w:rPr>
                    <w:t>严格落实污染物排放总量控制制度，把主要污染物排放总量指标作为建设项目环境影响评价审批的前置条件。排放主要污染物的建设项目，在环境影响评价文件（以下简称环评文件）审批前，须取得主要污染物排放总量指标。</w:t>
                  </w:r>
                </w:p>
                <w:p w14:paraId="3501109F">
                  <w:pPr>
                    <w:numPr>
                      <w:ilvl w:val="-1"/>
                      <w:numId w:val="0"/>
                    </w:numPr>
                    <w:adjustRightInd w:val="0"/>
                    <w:snapToGrid w:val="0"/>
                    <w:spacing w:line="240" w:lineRule="auto"/>
                    <w:ind w:firstLine="482" w:firstLineChars="0"/>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i w:val="0"/>
                      <w:iCs w:val="0"/>
                      <w:caps w:val="0"/>
                      <w:color w:val="000000"/>
                      <w:spacing w:val="0"/>
                      <w:sz w:val="21"/>
                      <w:szCs w:val="21"/>
                    </w:rPr>
                    <w:t>用于建设项目的</w:t>
                  </w:r>
                  <w:r>
                    <w:rPr>
                      <w:rFonts w:hint="eastAsia" w:cs="Times New Roman"/>
                      <w:b w:val="0"/>
                      <w:bCs w:val="0"/>
                      <w:i w:val="0"/>
                      <w:iCs w:val="0"/>
                      <w:caps w:val="0"/>
                      <w:color w:val="000000"/>
                      <w:spacing w:val="0"/>
                      <w:sz w:val="21"/>
                      <w:szCs w:val="21"/>
                      <w:lang w:eastAsia="zh-CN"/>
                    </w:rPr>
                    <w:t>“</w:t>
                  </w:r>
                  <w:r>
                    <w:rPr>
                      <w:rFonts w:hint="default" w:ascii="Times New Roman" w:hAnsi="Times New Roman" w:eastAsia="宋体" w:cs="Times New Roman"/>
                      <w:b w:val="0"/>
                      <w:bCs w:val="0"/>
                      <w:i w:val="0"/>
                      <w:iCs w:val="0"/>
                      <w:caps w:val="0"/>
                      <w:color w:val="000000"/>
                      <w:spacing w:val="0"/>
                      <w:sz w:val="21"/>
                      <w:szCs w:val="21"/>
                    </w:rPr>
                    <w:t>可替代总量指标”不得低于建设项目所需替代的主要污染物排放总量指标。上一年度环境空气质量年平均浓度不达标的地区、水环境质量未达到要求的地区，相关污染物应按照建设项目所需替代的主要污染物排放总量指标的2倍进行削减替代（燃煤发电机组大气污染物排放浓度基本达到燃气轮机组排放限值的除外）；细颗粒物（PM2.5）年平均浓度不达标的地区，二氧化硫、氮氧化物、烟粉尘、挥发性有机物四项污染物均需进行2倍削减替代（燃煤发电机组大气污染物排放浓度基本达到燃气轮机组排放限值的除外）。</w:t>
                  </w:r>
                </w:p>
                <w:p w14:paraId="49423C68">
                  <w:pPr>
                    <w:numPr>
                      <w:ilvl w:val="-1"/>
                      <w:numId w:val="0"/>
                    </w:numPr>
                    <w:adjustRightInd w:val="0"/>
                    <w:snapToGrid w:val="0"/>
                    <w:spacing w:line="240" w:lineRule="auto"/>
                    <w:ind w:firstLine="482" w:firstLineChars="0"/>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i w:val="0"/>
                      <w:iCs w:val="0"/>
                      <w:caps w:val="0"/>
                      <w:color w:val="000000"/>
                      <w:spacing w:val="0"/>
                      <w:sz w:val="21"/>
                      <w:szCs w:val="21"/>
                    </w:rPr>
                    <w:t>落实《省政府办公厅关于印发江苏省排污权有偿使用和交易管理暂行办法的通知》（苏政办发〔2017〕115号）及配套的实施细则中，关于新、改扩建项目获得排污权指标的相关要求。</w:t>
                  </w:r>
                </w:p>
                <w:p w14:paraId="666A8F4A">
                  <w:pPr>
                    <w:numPr>
                      <w:ilvl w:val="-1"/>
                      <w:numId w:val="0"/>
                    </w:numPr>
                    <w:adjustRightInd w:val="0"/>
                    <w:snapToGrid w:val="0"/>
                    <w:spacing w:line="240" w:lineRule="auto"/>
                    <w:ind w:firstLine="482" w:firstLineChars="0"/>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i w:val="0"/>
                      <w:iCs w:val="0"/>
                      <w:caps w:val="0"/>
                      <w:color w:val="000000"/>
                      <w:spacing w:val="0"/>
                      <w:sz w:val="21"/>
                      <w:szCs w:val="21"/>
                    </w:rPr>
                    <w:t>落实《南通市减污降碳协同增效三年行动计划（2023—2025年）》（通政办发〔2023〕24号），升级产业结构，健全绿色交通运输体系，单位GDP二氧化碳排放下降率力争超额完成省定目标。完善园区排污总量与环境质量挂钩的动态分配机制，构建市、县、园区三级总量管理体系，促进排污指标优化配置，差异化保障市级以上重大项目，实施污染物排放浓度和总量</w:t>
                  </w:r>
                  <w:r>
                    <w:rPr>
                      <w:rFonts w:hint="eastAsia" w:cs="Times New Roman"/>
                      <w:b w:val="0"/>
                      <w:bCs w:val="0"/>
                      <w:i w:val="0"/>
                      <w:iCs w:val="0"/>
                      <w:caps w:val="0"/>
                      <w:color w:val="000000"/>
                      <w:spacing w:val="0"/>
                      <w:sz w:val="21"/>
                      <w:szCs w:val="21"/>
                      <w:lang w:eastAsia="zh-CN"/>
                    </w:rPr>
                    <w:t>“</w:t>
                  </w:r>
                  <w:r>
                    <w:rPr>
                      <w:rFonts w:hint="default" w:ascii="Times New Roman" w:hAnsi="Times New Roman" w:eastAsia="宋体" w:cs="Times New Roman"/>
                      <w:b w:val="0"/>
                      <w:bCs w:val="0"/>
                      <w:i w:val="0"/>
                      <w:iCs w:val="0"/>
                      <w:caps w:val="0"/>
                      <w:color w:val="000000"/>
                      <w:spacing w:val="0"/>
                      <w:sz w:val="21"/>
                      <w:szCs w:val="21"/>
                    </w:rPr>
                    <w:t>双控”。</w:t>
                  </w:r>
                </w:p>
              </w:tc>
              <w:tc>
                <w:tcPr>
                  <w:tcW w:w="1061" w:type="pct"/>
                  <w:noWrap w:val="0"/>
                  <w:vAlign w:val="center"/>
                </w:tcPr>
                <w:p w14:paraId="332023EC">
                  <w:pPr>
                    <w:adjustRightInd w:val="0"/>
                    <w:snapToGrid w:val="0"/>
                    <w:spacing w:line="240" w:lineRule="auto"/>
                    <w:ind w:firstLine="482"/>
                    <w:jc w:val="both"/>
                    <w:rPr>
                      <w:rFonts w:hint="default" w:ascii="Times New Roman" w:hAnsi="Times New Roman" w:eastAsia="宋体" w:cs="Times New Roman"/>
                      <w:b w:val="0"/>
                      <w:bCs w:val="0"/>
                      <w:color w:val="000000"/>
                      <w:sz w:val="21"/>
                      <w:szCs w:val="21"/>
                      <w:lang w:eastAsia="zh-CN"/>
                    </w:rPr>
                  </w:pPr>
                  <w:r>
                    <w:rPr>
                      <w:rFonts w:hint="default" w:ascii="Times New Roman" w:hAnsi="Times New Roman" w:eastAsia="宋体" w:cs="Times New Roman"/>
                      <w:b w:val="0"/>
                      <w:bCs w:val="0"/>
                      <w:color w:val="000000"/>
                      <w:sz w:val="21"/>
                      <w:szCs w:val="21"/>
                      <w:lang w:eastAsia="zh-CN"/>
                    </w:rPr>
                    <w:t>本项目严格按照污染物总量控制的要求，项目建设不会突破区域生态环境承载力。</w:t>
                  </w:r>
                </w:p>
              </w:tc>
            </w:tr>
            <w:tr w14:paraId="0427371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7" w:type="pct"/>
                  <w:noWrap w:val="0"/>
                  <w:vAlign w:val="center"/>
                </w:tcPr>
                <w:p w14:paraId="4F4D5193">
                  <w:pPr>
                    <w:adjustRightInd w:val="0"/>
                    <w:snapToGrid w:val="0"/>
                    <w:spacing w:line="240" w:lineRule="auto"/>
                    <w:ind w:firstLine="0"/>
                    <w:jc w:val="both"/>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环境风险防控</w:t>
                  </w:r>
                </w:p>
              </w:tc>
              <w:tc>
                <w:tcPr>
                  <w:tcW w:w="3070" w:type="pct"/>
                  <w:noWrap w:val="0"/>
                  <w:vAlign w:val="center"/>
                </w:tcPr>
                <w:p w14:paraId="562A3E1B">
                  <w:pPr>
                    <w:numPr>
                      <w:ilvl w:val="-1"/>
                      <w:numId w:val="0"/>
                    </w:numPr>
                    <w:adjustRightInd w:val="0"/>
                    <w:snapToGrid w:val="0"/>
                    <w:spacing w:line="240" w:lineRule="auto"/>
                    <w:ind w:firstLine="482" w:firstLineChars="0"/>
                    <w:rPr>
                      <w:rFonts w:hint="default" w:ascii="Times New Roman" w:hAnsi="Times New Roman" w:eastAsia="宋体" w:cs="Times New Roman"/>
                      <w:b w:val="0"/>
                      <w:bCs w:val="0"/>
                      <w:i w:val="0"/>
                      <w:iCs w:val="0"/>
                      <w:caps w:val="0"/>
                      <w:color w:val="000000"/>
                      <w:spacing w:val="0"/>
                      <w:sz w:val="21"/>
                      <w:szCs w:val="21"/>
                    </w:rPr>
                  </w:pPr>
                  <w:r>
                    <w:rPr>
                      <w:rFonts w:hint="default" w:ascii="Times New Roman" w:hAnsi="Times New Roman" w:eastAsia="宋体" w:cs="Times New Roman"/>
                      <w:b w:val="0"/>
                      <w:bCs w:val="0"/>
                      <w:i w:val="0"/>
                      <w:iCs w:val="0"/>
                      <w:caps w:val="0"/>
                      <w:color w:val="000000"/>
                      <w:spacing w:val="0"/>
                      <w:sz w:val="21"/>
                      <w:szCs w:val="21"/>
                    </w:rPr>
                    <w:t>落实《南通市突发环境事件应急预案（2020年修订版）》（通政办发〔2020〕46号）。</w:t>
                  </w:r>
                </w:p>
                <w:p w14:paraId="618471A0">
                  <w:pPr>
                    <w:numPr>
                      <w:ilvl w:val="-1"/>
                      <w:numId w:val="0"/>
                    </w:numPr>
                    <w:adjustRightInd w:val="0"/>
                    <w:snapToGrid w:val="0"/>
                    <w:spacing w:line="240" w:lineRule="auto"/>
                    <w:ind w:firstLine="482" w:firstLineChars="0"/>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i w:val="0"/>
                      <w:iCs w:val="0"/>
                      <w:caps w:val="0"/>
                      <w:color w:val="000000"/>
                      <w:spacing w:val="0"/>
                      <w:sz w:val="21"/>
                      <w:szCs w:val="21"/>
                    </w:rPr>
                    <w:t>根据《关于加快全省化工钢铁煤电行业转型升级高质量发展的实施意见》（苏办发〔2018〕32号），钢铁行业企业总平面布置必须符合国家规范要求，有较大变更的必须进行安全风险分析和评估论证。企业必须按规定设计、设置和运行自动控制系统，按规定实施全流程自动控制改造，有条件的鼓励创建智能工厂（装置）。企业涉及重大危险源的设施设备与周边重要公共建筑安全距离须符合国家相关标准要求。坚决淘汰超期服役的高风险设备和设施。</w:t>
                  </w:r>
                </w:p>
                <w:p w14:paraId="2760DE97">
                  <w:pPr>
                    <w:numPr>
                      <w:ilvl w:val="-1"/>
                      <w:numId w:val="0"/>
                    </w:numPr>
                    <w:adjustRightInd w:val="0"/>
                    <w:snapToGrid w:val="0"/>
                    <w:spacing w:line="240" w:lineRule="auto"/>
                    <w:ind w:firstLine="482" w:firstLineChars="0"/>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i w:val="0"/>
                      <w:iCs w:val="0"/>
                      <w:caps w:val="0"/>
                      <w:color w:val="000000"/>
                      <w:spacing w:val="0"/>
                      <w:sz w:val="21"/>
                      <w:szCs w:val="21"/>
                    </w:rPr>
                    <w:t>落实《市政府办公室关于印发南通市减污降碳协同增效三年行动计划（2023—2025年）的通知》（通政办发〔2023〕24号），完善空气质量异常预警管控、重污染天气应急管控机制，严格落实应急减排措施清单化管理，基于环境绩效推动重点行业企业错峰生产，确保污染缩时削峰。推进土壤污染重点监管单位隐患排查，严格防范关闭搬迁化工企业拆除活动可能造成的土壤污染风险。</w:t>
                  </w:r>
                </w:p>
              </w:tc>
              <w:tc>
                <w:tcPr>
                  <w:tcW w:w="1061" w:type="pct"/>
                  <w:noWrap w:val="0"/>
                  <w:vAlign w:val="center"/>
                </w:tcPr>
                <w:p w14:paraId="22965CC5">
                  <w:pPr>
                    <w:adjustRightInd w:val="0"/>
                    <w:snapToGrid w:val="0"/>
                    <w:spacing w:line="240" w:lineRule="auto"/>
                    <w:ind w:firstLine="482"/>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color w:val="000000"/>
                      <w:szCs w:val="21"/>
                    </w:rPr>
                    <w:t>本项目建成后将制定环境风险应急预案，同时企业内储备有足够的环境应急物资，实现环境风险联防联控，故能满足环境风险防控的相关要求。</w:t>
                  </w:r>
                </w:p>
              </w:tc>
            </w:tr>
            <w:tr w14:paraId="2F778C6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7" w:type="pct"/>
                  <w:noWrap w:val="0"/>
                  <w:vAlign w:val="center"/>
                </w:tcPr>
                <w:p w14:paraId="315CD35E">
                  <w:pPr>
                    <w:adjustRightInd w:val="0"/>
                    <w:snapToGrid w:val="0"/>
                    <w:spacing w:line="240" w:lineRule="auto"/>
                    <w:ind w:firstLine="0"/>
                    <w:jc w:val="both"/>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资源利用效率要求</w:t>
                  </w:r>
                </w:p>
              </w:tc>
              <w:tc>
                <w:tcPr>
                  <w:tcW w:w="3070" w:type="pct"/>
                  <w:noWrap w:val="0"/>
                  <w:vAlign w:val="center"/>
                </w:tcPr>
                <w:p w14:paraId="14E40043">
                  <w:pPr>
                    <w:numPr>
                      <w:ilvl w:val="-1"/>
                      <w:numId w:val="0"/>
                    </w:numPr>
                    <w:adjustRightInd w:val="0"/>
                    <w:snapToGrid w:val="0"/>
                    <w:spacing w:line="240" w:lineRule="auto"/>
                    <w:ind w:firstLine="482" w:firstLineChars="0"/>
                    <w:rPr>
                      <w:rFonts w:hint="default" w:ascii="Times New Roman" w:hAnsi="Times New Roman" w:eastAsia="宋体" w:cs="Times New Roman"/>
                      <w:b w:val="0"/>
                      <w:bCs w:val="0"/>
                      <w:i w:val="0"/>
                      <w:iCs w:val="0"/>
                      <w:caps w:val="0"/>
                      <w:color w:val="000000"/>
                      <w:spacing w:val="0"/>
                      <w:sz w:val="21"/>
                      <w:szCs w:val="21"/>
                    </w:rPr>
                  </w:pPr>
                  <w:r>
                    <w:rPr>
                      <w:rFonts w:hint="default" w:ascii="Times New Roman" w:hAnsi="Times New Roman" w:eastAsia="宋体" w:cs="Times New Roman"/>
                      <w:b w:val="0"/>
                      <w:bCs w:val="0"/>
                      <w:i w:val="0"/>
                      <w:iCs w:val="0"/>
                      <w:caps w:val="0"/>
                      <w:color w:val="000000"/>
                      <w:spacing w:val="0"/>
                      <w:sz w:val="21"/>
                      <w:szCs w:val="21"/>
                    </w:rPr>
                    <w:t>根据《中华人民共和国大气污染防治法》，禁燃区禁止新建、扩建燃用高污染燃料的项目和设施，已建成的应逐步或依法限期改用天然气、电或者其他清洁能源。</w:t>
                  </w:r>
                </w:p>
                <w:p w14:paraId="1DEA0233">
                  <w:pPr>
                    <w:numPr>
                      <w:ilvl w:val="-1"/>
                      <w:numId w:val="0"/>
                    </w:numPr>
                    <w:adjustRightInd w:val="0"/>
                    <w:snapToGrid w:val="0"/>
                    <w:spacing w:line="240" w:lineRule="auto"/>
                    <w:ind w:firstLine="482" w:firstLineChars="0"/>
                    <w:rPr>
                      <w:rFonts w:hint="default" w:ascii="Times New Roman" w:hAnsi="Times New Roman" w:eastAsia="宋体" w:cs="Times New Roman"/>
                      <w:b w:val="0"/>
                      <w:bCs w:val="0"/>
                      <w:i w:val="0"/>
                      <w:iCs w:val="0"/>
                      <w:caps w:val="0"/>
                      <w:color w:val="000000"/>
                      <w:spacing w:val="0"/>
                      <w:sz w:val="21"/>
                      <w:szCs w:val="21"/>
                    </w:rPr>
                  </w:pPr>
                  <w:r>
                    <w:rPr>
                      <w:rFonts w:hint="default" w:ascii="Times New Roman" w:hAnsi="Times New Roman" w:eastAsia="宋体" w:cs="Times New Roman"/>
                      <w:b w:val="0"/>
                      <w:bCs w:val="0"/>
                      <w:i w:val="0"/>
                      <w:iCs w:val="0"/>
                      <w:caps w:val="0"/>
                      <w:color w:val="000000"/>
                      <w:spacing w:val="0"/>
                      <w:sz w:val="21"/>
                      <w:szCs w:val="21"/>
                    </w:rPr>
                    <w:t>化工行业新建化工项目须达到国内清洁生产先进水平或行业先进水平，生产过程连续化、密闭化、自动化、智能化；钢铁行业沿海地区新建钢厂、其他地区钢厂改造升级项目必须符合《江苏省钢铁行业布局优化结构调整项目建设实施标准》要求。</w:t>
                  </w:r>
                </w:p>
                <w:p w14:paraId="5DCF0870">
                  <w:pPr>
                    <w:numPr>
                      <w:ilvl w:val="-1"/>
                      <w:numId w:val="0"/>
                    </w:numPr>
                    <w:adjustRightInd w:val="0"/>
                    <w:snapToGrid w:val="0"/>
                    <w:spacing w:line="240" w:lineRule="auto"/>
                    <w:ind w:firstLine="482" w:firstLineChars="0"/>
                    <w:rPr>
                      <w:rFonts w:hint="default" w:ascii="Times New Roman" w:hAnsi="Times New Roman" w:eastAsia="宋体" w:cs="Times New Roman"/>
                      <w:b w:val="0"/>
                      <w:bCs w:val="0"/>
                      <w:i w:val="0"/>
                      <w:iCs w:val="0"/>
                      <w:caps w:val="0"/>
                      <w:color w:val="000000"/>
                      <w:spacing w:val="0"/>
                      <w:sz w:val="21"/>
                      <w:szCs w:val="21"/>
                    </w:rPr>
                  </w:pPr>
                  <w:r>
                    <w:rPr>
                      <w:rFonts w:hint="default" w:ascii="Times New Roman" w:hAnsi="Times New Roman" w:eastAsia="宋体" w:cs="Times New Roman"/>
                      <w:b w:val="0"/>
                      <w:bCs w:val="0"/>
                      <w:i w:val="0"/>
                      <w:iCs w:val="0"/>
                      <w:caps w:val="0"/>
                      <w:color w:val="000000"/>
                      <w:spacing w:val="0"/>
                      <w:sz w:val="21"/>
                      <w:szCs w:val="21"/>
                    </w:rPr>
                    <w:t>严格控制地下水开采。落实《江苏省地下水超采区划分方案》（苏政复〔2013〕59号），在海门区的海门城区、三厂、常乐等乡镇共计136.9平方公里，实施地下水禁采；在如东县的掘港及马塘、岔河、洋口、丰利等乡镇，海门区除三阳、海永外的大部分地区，启东市的汇龙、吕四、北新等乡镇，通州区的东社镇、二甲镇，通州湾的三余镇等地2095.8平方公里，实施地下水限采。</w:t>
                  </w:r>
                </w:p>
                <w:p w14:paraId="5F3E35AA">
                  <w:pPr>
                    <w:numPr>
                      <w:ilvl w:val="-1"/>
                      <w:numId w:val="0"/>
                    </w:numPr>
                    <w:adjustRightInd w:val="0"/>
                    <w:snapToGrid w:val="0"/>
                    <w:spacing w:line="240" w:lineRule="auto"/>
                    <w:ind w:firstLine="482" w:firstLineChars="0"/>
                    <w:rPr>
                      <w:rFonts w:hint="default" w:ascii="Times New Roman" w:hAnsi="Times New Roman" w:eastAsia="宋体" w:cs="Times New Roman"/>
                      <w:b w:val="0"/>
                      <w:bCs w:val="0"/>
                      <w:i w:val="0"/>
                      <w:iCs w:val="0"/>
                      <w:caps w:val="0"/>
                      <w:color w:val="000000"/>
                      <w:spacing w:val="0"/>
                      <w:sz w:val="21"/>
                      <w:szCs w:val="21"/>
                    </w:rPr>
                  </w:pPr>
                  <w:r>
                    <w:rPr>
                      <w:rFonts w:hint="default" w:ascii="Times New Roman" w:hAnsi="Times New Roman" w:eastAsia="宋体" w:cs="Times New Roman"/>
                      <w:b w:val="0"/>
                      <w:bCs w:val="0"/>
                      <w:i w:val="0"/>
                      <w:iCs w:val="0"/>
                      <w:caps w:val="0"/>
                      <w:color w:val="000000"/>
                      <w:spacing w:val="0"/>
                      <w:sz w:val="21"/>
                      <w:szCs w:val="21"/>
                    </w:rPr>
                    <w:t>落实《市政府办公室印发&lt;关于进一步促进全市乡镇工业集聚区高质量发展的实施意见&gt;的通知》（通政办发〔2022〕70号），原则上，集聚区新上工业项目的亩均固定资产投资一般不低于250万元，亩均税收一般不低于15万元。结合国土空间总体规划及产业发展规划，进一步优化配置土地资源，对不符合产业政策、位于城镇开发边界外较为碎片化的散乱污、低效产业、僵尸企业用地实施有计划盘活，归并入园区统筹利用，实现布局优化、</w:t>
                  </w:r>
                  <w:r>
                    <w:rPr>
                      <w:rFonts w:hint="eastAsia" w:cs="Times New Roman"/>
                      <w:b w:val="0"/>
                      <w:bCs w:val="0"/>
                      <w:i w:val="0"/>
                      <w:iCs w:val="0"/>
                      <w:caps w:val="0"/>
                      <w:color w:val="000000"/>
                      <w:spacing w:val="0"/>
                      <w:sz w:val="21"/>
                      <w:szCs w:val="21"/>
                      <w:lang w:eastAsia="zh-CN"/>
                    </w:rPr>
                    <w:t>“</w:t>
                  </w:r>
                  <w:r>
                    <w:rPr>
                      <w:rFonts w:hint="default" w:ascii="Times New Roman" w:hAnsi="Times New Roman" w:eastAsia="宋体" w:cs="Times New Roman"/>
                      <w:b w:val="0"/>
                      <w:bCs w:val="0"/>
                      <w:i w:val="0"/>
                      <w:iCs w:val="0"/>
                      <w:caps w:val="0"/>
                      <w:color w:val="000000"/>
                      <w:spacing w:val="0"/>
                      <w:sz w:val="21"/>
                      <w:szCs w:val="21"/>
                    </w:rPr>
                    <w:t>化零为整”。</w:t>
                  </w:r>
                </w:p>
                <w:p w14:paraId="0355F7C1">
                  <w:pPr>
                    <w:numPr>
                      <w:ilvl w:val="-1"/>
                      <w:numId w:val="0"/>
                    </w:numPr>
                    <w:adjustRightInd w:val="0"/>
                    <w:snapToGrid w:val="0"/>
                    <w:spacing w:line="240" w:lineRule="auto"/>
                    <w:ind w:firstLine="482" w:firstLineChars="0"/>
                    <w:rPr>
                      <w:rFonts w:hint="default" w:ascii="Times New Roman" w:hAnsi="Times New Roman" w:eastAsia="宋体" w:cs="Times New Roman"/>
                      <w:b w:val="0"/>
                      <w:bCs w:val="0"/>
                      <w:i w:val="0"/>
                      <w:iCs w:val="0"/>
                      <w:caps w:val="0"/>
                      <w:color w:val="000000"/>
                      <w:spacing w:val="0"/>
                      <w:sz w:val="21"/>
                      <w:szCs w:val="21"/>
                    </w:rPr>
                  </w:pPr>
                  <w:r>
                    <w:rPr>
                      <w:rFonts w:hint="default" w:ascii="Times New Roman" w:hAnsi="Times New Roman" w:eastAsia="宋体" w:cs="Times New Roman"/>
                      <w:b w:val="0"/>
                      <w:bCs w:val="0"/>
                      <w:i w:val="0"/>
                      <w:iCs w:val="0"/>
                      <w:caps w:val="0"/>
                      <w:color w:val="000000"/>
                      <w:spacing w:val="0"/>
                      <w:sz w:val="21"/>
                      <w:szCs w:val="21"/>
                      <w:lang w:eastAsia="zh-CN"/>
                    </w:rPr>
                    <w:t>落实《市政府</w:t>
                  </w:r>
                  <w:r>
                    <w:rPr>
                      <w:rFonts w:hint="default" w:ascii="Times New Roman" w:hAnsi="Times New Roman" w:eastAsia="宋体" w:cs="Times New Roman"/>
                      <w:b w:val="0"/>
                      <w:bCs w:val="0"/>
                      <w:i w:val="0"/>
                      <w:iCs w:val="0"/>
                      <w:caps w:val="0"/>
                      <w:color w:val="000000"/>
                      <w:spacing w:val="0"/>
                      <w:sz w:val="21"/>
                      <w:szCs w:val="21"/>
                    </w:rPr>
                    <w:t>办公室关于印发南通市减污降碳协同增效三年行动计划（2023—2025年）的通知</w:t>
                  </w:r>
                  <w:r>
                    <w:rPr>
                      <w:rFonts w:hint="default" w:ascii="Times New Roman" w:hAnsi="Times New Roman" w:eastAsia="宋体" w:cs="Times New Roman"/>
                      <w:b w:val="0"/>
                      <w:bCs w:val="0"/>
                      <w:i w:val="0"/>
                      <w:iCs w:val="0"/>
                      <w:caps w:val="0"/>
                      <w:color w:val="000000"/>
                      <w:spacing w:val="0"/>
                      <w:sz w:val="21"/>
                      <w:szCs w:val="21"/>
                      <w:lang w:eastAsia="zh-CN"/>
                    </w:rPr>
                    <w:t>》</w:t>
                  </w:r>
                  <w:r>
                    <w:rPr>
                      <w:rFonts w:hint="default" w:ascii="Times New Roman" w:hAnsi="Times New Roman" w:eastAsia="宋体" w:cs="Times New Roman"/>
                      <w:b w:val="0"/>
                      <w:bCs w:val="0"/>
                      <w:i w:val="0"/>
                      <w:iCs w:val="0"/>
                      <w:caps w:val="0"/>
                      <w:color w:val="000000"/>
                      <w:spacing w:val="0"/>
                      <w:sz w:val="21"/>
                      <w:szCs w:val="21"/>
                    </w:rPr>
                    <w:t>（通政办发〔2023〕24号），加强岸线动态监管，严禁工贸和港口企业无序占用港口岸线。严控煤炭消费总量，严禁新（扩）建燃煤自备电厂，新建燃煤发电机组达到煤炭清洁高效利用标杆水平，2025年底前现有机组达到标杆水平。</w:t>
                  </w:r>
                </w:p>
                <w:p w14:paraId="485115C1">
                  <w:pPr>
                    <w:numPr>
                      <w:ilvl w:val="-1"/>
                      <w:numId w:val="0"/>
                    </w:numPr>
                    <w:adjustRightInd w:val="0"/>
                    <w:snapToGrid w:val="0"/>
                    <w:spacing w:line="240" w:lineRule="auto"/>
                    <w:ind w:firstLine="482" w:firstLineChars="0"/>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i w:val="0"/>
                      <w:iCs w:val="0"/>
                      <w:caps w:val="0"/>
                      <w:color w:val="000000"/>
                      <w:spacing w:val="0"/>
                      <w:sz w:val="21"/>
                      <w:szCs w:val="21"/>
                    </w:rPr>
                    <w:t>根据《省最严格水资源管理考核和节约用水工作联席会议办公室关于下达2023年度实行最严格水资源管理制度目标任务的通知》（苏水办资联﹝2023﹞2号），2023年南通市地下水用水总量为2800万立方米。</w:t>
                  </w:r>
                </w:p>
              </w:tc>
              <w:tc>
                <w:tcPr>
                  <w:tcW w:w="1061" w:type="pct"/>
                  <w:noWrap w:val="0"/>
                  <w:vAlign w:val="center"/>
                </w:tcPr>
                <w:p w14:paraId="713DCF23">
                  <w:pPr>
                    <w:adjustRightInd w:val="0"/>
                    <w:snapToGrid w:val="0"/>
                    <w:spacing w:line="240" w:lineRule="auto"/>
                    <w:ind w:firstLine="482"/>
                    <w:jc w:val="both"/>
                    <w:rPr>
                      <w:rFonts w:hint="default" w:ascii="Times New Roman" w:hAnsi="Times New Roman" w:eastAsia="宋体" w:cs="Times New Roman"/>
                      <w:b w:val="0"/>
                      <w:bCs w:val="0"/>
                      <w:color w:val="000000"/>
                      <w:sz w:val="21"/>
                      <w:szCs w:val="21"/>
                      <w:lang w:eastAsia="zh-CN"/>
                    </w:rPr>
                  </w:pPr>
                  <w:r>
                    <w:rPr>
                      <w:rFonts w:hint="default" w:ascii="Times New Roman" w:hAnsi="Times New Roman" w:eastAsia="宋体" w:cs="Times New Roman"/>
                      <w:b w:val="0"/>
                      <w:bCs w:val="0"/>
                      <w:color w:val="000000"/>
                      <w:sz w:val="21"/>
                      <w:szCs w:val="21"/>
                      <w:lang w:eastAsia="zh-CN"/>
                    </w:rPr>
                    <w:t>本项目不使用高污染燃料，不使用地下水资源，各项指标达到当地要求。</w:t>
                  </w:r>
                </w:p>
              </w:tc>
            </w:tr>
          </w:tbl>
          <w:p w14:paraId="12C06955">
            <w:pPr>
              <w:adjustRightInd w:val="0"/>
              <w:snapToGrid w:val="0"/>
              <w:spacing w:line="360" w:lineRule="auto"/>
              <w:ind w:firstLine="482" w:firstLineChars="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由上表可知，本项目建设符合《南通市2023年生态环境分区管控动态更新成果公告》中对南通市市域生态环境重点管控的要求。</w:t>
            </w:r>
          </w:p>
          <w:p w14:paraId="21C32E6E">
            <w:pPr>
              <w:keepNext w:val="0"/>
              <w:keepLines w:val="0"/>
              <w:pageBreakBefore w:val="0"/>
              <w:widowControl w:val="0"/>
              <w:kinsoku/>
              <w:wordWrap/>
              <w:overflowPunct/>
              <w:topLinePunct w:val="0"/>
              <w:autoSpaceDE/>
              <w:autoSpaceDN/>
              <w:bidi w:val="0"/>
              <w:adjustRightInd w:val="0"/>
              <w:snapToGrid w:val="0"/>
              <w:spacing w:line="360" w:lineRule="auto"/>
              <w:ind w:right="0" w:firstLine="482" w:firstLineChars="0"/>
              <w:jc w:val="both"/>
              <w:textAlignment w:val="auto"/>
              <w:rPr>
                <w:rFonts w:hint="default" w:ascii="Times New Roman" w:hAnsi="Times New Roman" w:eastAsia="宋体" w:cs="Times New Roman"/>
                <w:b/>
                <w:bCs/>
                <w:snapToGrid w:val="0"/>
                <w:kern w:val="0"/>
                <w:sz w:val="21"/>
                <w:szCs w:val="21"/>
                <w:lang w:val="en-US" w:eastAsia="zh-CN"/>
              </w:rPr>
            </w:pPr>
            <w:r>
              <w:rPr>
                <w:rFonts w:hint="eastAsia" w:ascii="Times New Roman" w:hAnsi="Times New Roman" w:eastAsia="宋体" w:cs="Times New Roman"/>
                <w:b/>
                <w:bCs/>
                <w:color w:val="auto"/>
                <w:sz w:val="21"/>
                <w:szCs w:val="21"/>
                <w:lang w:val="en-US" w:eastAsia="zh-CN"/>
              </w:rPr>
              <w:t>（4）</w:t>
            </w:r>
            <w:r>
              <w:rPr>
                <w:rFonts w:hint="default" w:ascii="Times New Roman" w:hAnsi="Times New Roman" w:eastAsia="宋体" w:cs="Times New Roman"/>
                <w:b/>
                <w:bCs/>
                <w:color w:val="auto"/>
                <w:sz w:val="21"/>
                <w:szCs w:val="21"/>
                <w:lang w:val="en-US" w:eastAsia="zh-CN"/>
              </w:rPr>
              <w:t>与</w:t>
            </w:r>
            <w:r>
              <w:rPr>
                <w:rFonts w:hint="eastAsia" w:cs="Times New Roman"/>
                <w:b/>
                <w:bCs/>
                <w:snapToGrid w:val="0"/>
                <w:kern w:val="0"/>
                <w:sz w:val="21"/>
                <w:szCs w:val="21"/>
                <w:lang w:eastAsia="zh-CN"/>
              </w:rPr>
              <w:t>生态环境管控单元</w:t>
            </w:r>
            <w:r>
              <w:rPr>
                <w:rFonts w:hint="default" w:ascii="Times New Roman" w:hAnsi="Times New Roman" w:eastAsia="宋体" w:cs="Times New Roman"/>
                <w:b/>
                <w:bCs/>
                <w:snapToGrid w:val="0"/>
                <w:kern w:val="0"/>
                <w:sz w:val="21"/>
                <w:szCs w:val="21"/>
                <w:lang w:val="en-US" w:eastAsia="zh-CN"/>
              </w:rPr>
              <w:t>相符性分析</w:t>
            </w:r>
          </w:p>
          <w:p w14:paraId="17C9250F">
            <w:pPr>
              <w:adjustRightInd w:val="0"/>
              <w:snapToGrid w:val="0"/>
              <w:spacing w:line="360" w:lineRule="auto"/>
              <w:ind w:firstLine="482" w:firstLineChars="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本项目位于</w:t>
            </w:r>
            <w:r>
              <w:rPr>
                <w:rFonts w:hint="default" w:ascii="Times New Roman" w:hAnsi="Times New Roman" w:eastAsia="宋体" w:cs="Times New Roman"/>
                <w:color w:val="auto"/>
                <w:szCs w:val="21"/>
              </w:rPr>
              <w:t>江苏省如皋市如城镇中山东路58号</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，对照《江苏省2023年生态环境分区管控动态更新成果公告》生态环境管控单元</w:t>
            </w:r>
            <w:r>
              <w:rPr>
                <w:rFonts w:hint="eastAsia" w:cs="Times New Roman"/>
                <w:color w:val="000000" w:themeColor="text1"/>
                <w:sz w:val="21"/>
                <w:szCs w:val="21"/>
                <w:lang w:val="en-US" w:eastAsia="zh-CN"/>
                <w14:textFill>
                  <w14:solidFill>
                    <w14:schemeClr w14:val="tx1"/>
                  </w14:solidFill>
                </w14:textFill>
              </w:rPr>
              <w:t>查询结果（附件9）</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，项目所在区域为</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重点</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管控单元。</w:t>
            </w:r>
          </w:p>
          <w:p w14:paraId="74E5AC44">
            <w:pPr>
              <w:adjustRightInd w:val="0"/>
              <w:snapToGrid w:val="0"/>
              <w:spacing w:line="240" w:lineRule="auto"/>
              <w:jc w:val="center"/>
              <w:rPr>
                <w:rFonts w:hint="default" w:ascii="Times New Roman" w:hAnsi="Times New Roman" w:eastAsia="宋体" w:cs="Times New Roman"/>
                <w:b/>
                <w:bCs w:val="0"/>
                <w:color w:val="000000"/>
                <w:sz w:val="24"/>
                <w:szCs w:val="24"/>
                <w:lang w:eastAsia="zh-CN"/>
              </w:rPr>
            </w:pPr>
            <w:r>
              <w:rPr>
                <w:rFonts w:hint="default" w:ascii="Times New Roman" w:hAnsi="Times New Roman" w:eastAsia="宋体" w:cs="Times New Roman"/>
                <w:b/>
                <w:bCs w:val="0"/>
                <w:color w:val="000000"/>
                <w:sz w:val="21"/>
                <w:szCs w:val="21"/>
              </w:rPr>
              <w:t>表</w:t>
            </w:r>
            <w:r>
              <w:rPr>
                <w:rFonts w:hint="default" w:ascii="Times New Roman" w:hAnsi="Times New Roman" w:eastAsia="宋体" w:cs="Times New Roman"/>
                <w:b/>
                <w:bCs w:val="0"/>
                <w:color w:val="000000"/>
                <w:sz w:val="21"/>
                <w:szCs w:val="21"/>
                <w:lang w:val="en-US" w:eastAsia="zh-CN"/>
              </w:rPr>
              <w:t>1</w:t>
            </w:r>
            <w:r>
              <w:rPr>
                <w:rFonts w:hint="eastAsia" w:cs="Times New Roman"/>
                <w:b/>
                <w:bCs w:val="0"/>
                <w:color w:val="000000"/>
                <w:sz w:val="21"/>
                <w:szCs w:val="21"/>
                <w:lang w:val="en-US" w:eastAsia="zh-CN"/>
              </w:rPr>
              <w:t>-4</w:t>
            </w:r>
            <w:r>
              <w:rPr>
                <w:rFonts w:hint="default" w:ascii="Times New Roman" w:hAnsi="Times New Roman" w:eastAsia="宋体" w:cs="Times New Roman"/>
                <w:b/>
                <w:bCs w:val="0"/>
                <w:color w:val="000000"/>
                <w:sz w:val="21"/>
                <w:szCs w:val="21"/>
                <w:lang w:val="en-US" w:eastAsia="zh-CN"/>
              </w:rPr>
              <w:t xml:space="preserve"> </w:t>
            </w:r>
            <w:r>
              <w:rPr>
                <w:rFonts w:hint="default" w:ascii="Times New Roman" w:hAnsi="Times New Roman" w:eastAsia="宋体" w:cs="Times New Roman"/>
                <w:b/>
                <w:bCs w:val="0"/>
                <w:color w:val="000000"/>
                <w:sz w:val="21"/>
                <w:szCs w:val="21"/>
              </w:rPr>
              <w:t xml:space="preserve"> </w:t>
            </w:r>
            <w:r>
              <w:rPr>
                <w:rFonts w:hint="default" w:ascii="Times New Roman" w:hAnsi="Times New Roman" w:eastAsia="宋体" w:cs="Times New Roman"/>
                <w:b/>
                <w:bCs w:val="0"/>
                <w:color w:val="000000"/>
                <w:sz w:val="21"/>
                <w:szCs w:val="21"/>
                <w:lang w:eastAsia="zh-CN"/>
              </w:rPr>
              <w:t>与生态管控单位相符性分析</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2822"/>
              <w:gridCol w:w="2515"/>
            </w:tblGrid>
            <w:tr w14:paraId="133B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49" w:type="dxa"/>
                  <w:gridSpan w:val="3"/>
                  <w:tcBorders>
                    <w:top w:val="single" w:color="auto" w:sz="12" w:space="0"/>
                    <w:left w:val="nil"/>
                    <w:bottom w:val="single" w:color="auto" w:sz="8" w:space="0"/>
                    <w:right w:val="nil"/>
                  </w:tcBorders>
                  <w:vAlign w:val="center"/>
                </w:tcPr>
                <w:p w14:paraId="532A88CF">
                  <w:pPr>
                    <w:keepNext w:val="0"/>
                    <w:keepLines w:val="0"/>
                    <w:pageBreakBefore w:val="0"/>
                    <w:widowControl w:val="0"/>
                    <w:kinsoku/>
                    <w:wordWrap/>
                    <w:overflowPunct/>
                    <w:topLinePunct w:val="0"/>
                    <w:autoSpaceDE/>
                    <w:autoSpaceDN/>
                    <w:bidi w:val="0"/>
                    <w:adjustRightInd w:val="0"/>
                    <w:snapToGrid w:val="0"/>
                    <w:spacing w:line="240" w:lineRule="auto"/>
                    <w:ind w:firstLine="482"/>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t>基础信息</w:t>
                  </w:r>
                </w:p>
              </w:tc>
            </w:tr>
            <w:tr w14:paraId="65CF6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76" w:type="dxa"/>
                  <w:gridSpan w:val="2"/>
                  <w:tcBorders>
                    <w:top w:val="single" w:color="auto" w:sz="8" w:space="0"/>
                    <w:left w:val="nil"/>
                    <w:bottom w:val="single" w:color="auto" w:sz="8" w:space="0"/>
                    <w:right w:val="single" w:color="auto" w:sz="8" w:space="0"/>
                  </w:tcBorders>
                  <w:vAlign w:val="center"/>
                </w:tcPr>
                <w:p w14:paraId="4FA5C2F7">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环境管控单元编码</w:t>
                  </w:r>
                </w:p>
              </w:tc>
              <w:tc>
                <w:tcPr>
                  <w:tcW w:w="2973" w:type="dxa"/>
                  <w:tcBorders>
                    <w:top w:val="single" w:color="auto" w:sz="8" w:space="0"/>
                    <w:left w:val="single" w:color="auto" w:sz="8" w:space="0"/>
                    <w:bottom w:val="single" w:color="auto" w:sz="8" w:space="0"/>
                    <w:right w:val="nil"/>
                  </w:tcBorders>
                  <w:vAlign w:val="center"/>
                </w:tcPr>
                <w:p w14:paraId="4028C481">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ZH</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32068220288</w:t>
                  </w:r>
                </w:p>
              </w:tc>
            </w:tr>
            <w:tr w14:paraId="79AEC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76" w:type="dxa"/>
                  <w:gridSpan w:val="2"/>
                  <w:tcBorders>
                    <w:top w:val="single" w:color="auto" w:sz="8" w:space="0"/>
                    <w:left w:val="nil"/>
                    <w:bottom w:val="single" w:color="auto" w:sz="8" w:space="0"/>
                    <w:right w:val="single" w:color="auto" w:sz="8" w:space="0"/>
                  </w:tcBorders>
                  <w:vAlign w:val="center"/>
                </w:tcPr>
                <w:p w14:paraId="473CD8BA">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管控单元名称</w:t>
                  </w:r>
                </w:p>
              </w:tc>
              <w:tc>
                <w:tcPr>
                  <w:tcW w:w="2973" w:type="dxa"/>
                  <w:tcBorders>
                    <w:top w:val="single" w:color="auto" w:sz="8" w:space="0"/>
                    <w:left w:val="single" w:color="auto" w:sz="8" w:space="0"/>
                    <w:bottom w:val="single" w:color="auto" w:sz="8" w:space="0"/>
                    <w:right w:val="nil"/>
                  </w:tcBorders>
                  <w:vAlign w:val="center"/>
                </w:tcPr>
                <w:p w14:paraId="49B9B75A">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如皋工业园区东部工业区（大殷、双群）</w:t>
                  </w:r>
                </w:p>
              </w:tc>
            </w:tr>
            <w:tr w14:paraId="609C7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76" w:type="dxa"/>
                  <w:gridSpan w:val="2"/>
                  <w:tcBorders>
                    <w:top w:val="single" w:color="auto" w:sz="8" w:space="0"/>
                    <w:left w:val="nil"/>
                    <w:bottom w:val="single" w:color="auto" w:sz="8" w:space="0"/>
                    <w:right w:val="single" w:color="auto" w:sz="8" w:space="0"/>
                  </w:tcBorders>
                  <w:vAlign w:val="center"/>
                </w:tcPr>
                <w:p w14:paraId="378AC95D">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管控单元分类</w:t>
                  </w:r>
                </w:p>
              </w:tc>
              <w:tc>
                <w:tcPr>
                  <w:tcW w:w="2973" w:type="dxa"/>
                  <w:tcBorders>
                    <w:top w:val="single" w:color="auto" w:sz="8" w:space="0"/>
                    <w:left w:val="single" w:color="auto" w:sz="8" w:space="0"/>
                    <w:bottom w:val="single" w:color="auto" w:sz="8" w:space="0"/>
                    <w:right w:val="nil"/>
                  </w:tcBorders>
                  <w:vAlign w:val="center"/>
                </w:tcPr>
                <w:p w14:paraId="5174F5FB">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一般</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管控单元</w:t>
                  </w:r>
                </w:p>
              </w:tc>
            </w:tr>
            <w:tr w14:paraId="06BC9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76" w:type="dxa"/>
                  <w:gridSpan w:val="2"/>
                  <w:tcBorders>
                    <w:top w:val="single" w:color="auto" w:sz="8" w:space="0"/>
                    <w:left w:val="nil"/>
                    <w:bottom w:val="single" w:color="auto" w:sz="8" w:space="0"/>
                    <w:right w:val="single" w:color="auto" w:sz="8" w:space="0"/>
                  </w:tcBorders>
                  <w:vAlign w:val="center"/>
                </w:tcPr>
                <w:p w14:paraId="2B5BC10A">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面积（平方公里）</w:t>
                  </w:r>
                </w:p>
              </w:tc>
              <w:tc>
                <w:tcPr>
                  <w:tcW w:w="2973" w:type="dxa"/>
                  <w:tcBorders>
                    <w:top w:val="single" w:color="auto" w:sz="8" w:space="0"/>
                    <w:left w:val="single" w:color="auto" w:sz="8" w:space="0"/>
                    <w:bottom w:val="single" w:color="auto" w:sz="8" w:space="0"/>
                    <w:right w:val="nil"/>
                  </w:tcBorders>
                  <w:vAlign w:val="center"/>
                </w:tcPr>
                <w:p w14:paraId="73D6B8B9">
                  <w:pPr>
                    <w:keepNext w:val="0"/>
                    <w:keepLines w:val="0"/>
                    <w:pageBreakBefore w:val="0"/>
                    <w:widowControl w:val="0"/>
                    <w:kinsoku/>
                    <w:wordWrap/>
                    <w:overflowPunct/>
                    <w:topLinePunct w:val="0"/>
                    <w:autoSpaceDE/>
                    <w:autoSpaceDN/>
                    <w:bidi w:val="0"/>
                    <w:adjustRightInd w:val="0"/>
                    <w:snapToGrid w:val="0"/>
                    <w:spacing w:line="240" w:lineRule="auto"/>
                    <w:ind w:firstLine="482"/>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r>
            <w:tr w14:paraId="2D021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49" w:type="dxa"/>
                  <w:gridSpan w:val="3"/>
                  <w:tcBorders>
                    <w:top w:val="single" w:color="auto" w:sz="8" w:space="0"/>
                    <w:left w:val="nil"/>
                    <w:bottom w:val="single" w:color="auto" w:sz="8" w:space="0"/>
                    <w:right w:val="nil"/>
                  </w:tcBorders>
                  <w:vAlign w:val="center"/>
                </w:tcPr>
                <w:p w14:paraId="4E2F8F9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t>生态环境准入清单</w:t>
                  </w:r>
                </w:p>
              </w:tc>
            </w:tr>
            <w:tr w14:paraId="37852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37" w:type="dxa"/>
                  <w:tcBorders>
                    <w:top w:val="single" w:color="auto" w:sz="8" w:space="0"/>
                    <w:left w:val="nil"/>
                    <w:bottom w:val="single" w:color="auto" w:sz="8" w:space="0"/>
                    <w:right w:val="single" w:color="auto" w:sz="8" w:space="0"/>
                  </w:tcBorders>
                  <w:vAlign w:val="center"/>
                </w:tcPr>
                <w:p w14:paraId="04473DAD">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t>管控类别</w:t>
                  </w:r>
                </w:p>
              </w:tc>
              <w:tc>
                <w:tcPr>
                  <w:tcW w:w="3739" w:type="dxa"/>
                  <w:tcBorders>
                    <w:top w:val="single" w:color="auto" w:sz="8" w:space="0"/>
                    <w:left w:val="nil"/>
                    <w:bottom w:val="single" w:color="auto" w:sz="8" w:space="0"/>
                    <w:right w:val="single" w:color="auto" w:sz="8" w:space="0"/>
                  </w:tcBorders>
                  <w:vAlign w:val="center"/>
                </w:tcPr>
                <w:p w14:paraId="5F079D30">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t>一般管控单元</w:t>
                  </w:r>
                </w:p>
              </w:tc>
              <w:tc>
                <w:tcPr>
                  <w:tcW w:w="2973" w:type="dxa"/>
                  <w:tcBorders>
                    <w:top w:val="single" w:color="auto" w:sz="8" w:space="0"/>
                    <w:left w:val="single" w:color="auto" w:sz="8" w:space="0"/>
                    <w:bottom w:val="single" w:color="auto" w:sz="8" w:space="0"/>
                    <w:right w:val="nil"/>
                  </w:tcBorders>
                  <w:vAlign w:val="center"/>
                </w:tcPr>
                <w:p w14:paraId="19BE8015">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t>本项目情况</w:t>
                  </w:r>
                </w:p>
              </w:tc>
            </w:tr>
            <w:tr w14:paraId="2513E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37" w:type="dxa"/>
                  <w:tcBorders>
                    <w:top w:val="single" w:color="auto" w:sz="8" w:space="0"/>
                    <w:left w:val="nil"/>
                    <w:bottom w:val="single" w:color="auto" w:sz="8" w:space="0"/>
                    <w:right w:val="single" w:color="auto" w:sz="8" w:space="0"/>
                  </w:tcBorders>
                  <w:shd w:val="clear" w:color="auto" w:fill="auto"/>
                  <w:vAlign w:val="center"/>
                </w:tcPr>
                <w:p w14:paraId="3917B0DF">
                  <w:pPr>
                    <w:keepNext w:val="0"/>
                    <w:keepLines w:val="0"/>
                    <w:pageBreakBefore w:val="0"/>
                    <w:widowControl w:val="0"/>
                    <w:kinsoku/>
                    <w:wordWrap/>
                    <w:overflowPunct/>
                    <w:topLinePunct w:val="0"/>
                    <w:autoSpaceDE/>
                    <w:autoSpaceDN/>
                    <w:bidi w:val="0"/>
                    <w:spacing w:line="320" w:lineRule="exact"/>
                    <w:ind w:firstLine="0" w:firstLineChars="0"/>
                    <w:jc w:val="both"/>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cs="Times New Roman"/>
                      <w:color w:val="auto"/>
                      <w:sz w:val="21"/>
                      <w:szCs w:val="21"/>
                      <w:vertAlign w:val="baseline"/>
                      <w:lang w:eastAsia="zh-CN"/>
                    </w:rPr>
                    <w:t>空间布局约束</w:t>
                  </w:r>
                </w:p>
              </w:tc>
              <w:tc>
                <w:tcPr>
                  <w:tcW w:w="3739" w:type="dxa"/>
                  <w:tcBorders>
                    <w:top w:val="single" w:color="auto" w:sz="8" w:space="0"/>
                    <w:left w:val="nil"/>
                    <w:bottom w:val="single" w:color="auto" w:sz="8" w:space="0"/>
                    <w:right w:val="single" w:color="auto" w:sz="8" w:space="0"/>
                  </w:tcBorders>
                  <w:shd w:val="clear" w:color="auto" w:fill="auto"/>
                  <w:vAlign w:val="center"/>
                </w:tcPr>
                <w:p w14:paraId="001DCD47">
                  <w:pPr>
                    <w:keepNext w:val="0"/>
                    <w:keepLines w:val="0"/>
                    <w:pageBreakBefore w:val="0"/>
                    <w:widowControl w:val="0"/>
                    <w:numPr>
                      <w:ilvl w:val="0"/>
                      <w:numId w:val="1"/>
                    </w:numPr>
                    <w:kinsoku/>
                    <w:wordWrap/>
                    <w:overflowPunct/>
                    <w:topLinePunct w:val="0"/>
                    <w:autoSpaceDE/>
                    <w:autoSpaceDN/>
                    <w:bidi w:val="0"/>
                    <w:spacing w:line="240" w:lineRule="auto"/>
                    <w:ind w:firstLine="0" w:firstLineChars="0"/>
                    <w:jc w:val="both"/>
                    <w:textAlignment w:val="auto"/>
                    <w:rPr>
                      <w:rFonts w:hint="eastAsia" w:cs="Times New Roman"/>
                      <w:color w:val="auto"/>
                      <w:sz w:val="21"/>
                      <w:szCs w:val="21"/>
                      <w:vertAlign w:val="baseline"/>
                      <w:lang w:val="en-US" w:eastAsia="zh-CN"/>
                    </w:rPr>
                  </w:pPr>
                  <w:r>
                    <w:rPr>
                      <w:rFonts w:hint="eastAsia" w:cs="Times New Roman"/>
                      <w:color w:val="auto"/>
                      <w:sz w:val="21"/>
                      <w:szCs w:val="21"/>
                      <w:vertAlign w:val="baseline"/>
                      <w:lang w:val="en-US" w:eastAsia="zh-CN"/>
                    </w:rPr>
                    <w:t>重点发展紧密机械制造、5G新材料及技术应用、电子科技等产业。</w:t>
                  </w:r>
                </w:p>
                <w:p w14:paraId="7C412192">
                  <w:pPr>
                    <w:keepNext w:val="0"/>
                    <w:keepLines w:val="0"/>
                    <w:pageBreakBefore w:val="0"/>
                    <w:widowControl w:val="0"/>
                    <w:numPr>
                      <w:ilvl w:val="0"/>
                      <w:numId w:val="1"/>
                    </w:numPr>
                    <w:kinsoku/>
                    <w:wordWrap/>
                    <w:overflowPunct/>
                    <w:topLinePunct w:val="0"/>
                    <w:autoSpaceDE/>
                    <w:autoSpaceDN/>
                    <w:bidi w:val="0"/>
                    <w:spacing w:line="240" w:lineRule="auto"/>
                    <w:ind w:firstLine="0" w:firstLineChars="0"/>
                    <w:jc w:val="both"/>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cs="Times New Roman"/>
                      <w:color w:val="auto"/>
                      <w:sz w:val="21"/>
                      <w:szCs w:val="21"/>
                      <w:vertAlign w:val="baseline"/>
                      <w:lang w:val="en-US" w:eastAsia="zh-CN"/>
                    </w:rPr>
                    <w:t>按照《产业结构调整指导目录》和《江苏省产业结构目录》的要求，禁止引入高能耗、不符合产业政策、重污染的项目</w:t>
                  </w:r>
                </w:p>
              </w:tc>
              <w:tc>
                <w:tcPr>
                  <w:tcW w:w="2973" w:type="dxa"/>
                  <w:tcBorders>
                    <w:top w:val="single" w:color="auto" w:sz="8" w:space="0"/>
                    <w:left w:val="single" w:color="auto" w:sz="8" w:space="0"/>
                    <w:bottom w:val="single" w:color="auto" w:sz="8" w:space="0"/>
                    <w:right w:val="nil"/>
                  </w:tcBorders>
                  <w:vAlign w:val="center"/>
                </w:tcPr>
                <w:p w14:paraId="6D562737">
                  <w:pPr>
                    <w:keepNext w:val="0"/>
                    <w:keepLines w:val="0"/>
                    <w:pageBreakBefore w:val="0"/>
                    <w:widowControl w:val="0"/>
                    <w:kinsoku/>
                    <w:wordWrap/>
                    <w:overflowPunct/>
                    <w:topLinePunct w:val="0"/>
                    <w:autoSpaceDE/>
                    <w:autoSpaceDN/>
                    <w:bidi w:val="0"/>
                    <w:spacing w:line="240" w:lineRule="auto"/>
                    <w:ind w:firstLine="0" w:firstLineChars="0"/>
                    <w:jc w:val="both"/>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auto"/>
                      <w:sz w:val="21"/>
                      <w:szCs w:val="21"/>
                    </w:rPr>
                    <w:t>本项目</w:t>
                  </w:r>
                  <w:r>
                    <w:rPr>
                      <w:rFonts w:hint="default" w:ascii="Times New Roman" w:hAnsi="Times New Roman" w:cs="Times New Roman"/>
                      <w:color w:val="auto"/>
                      <w:sz w:val="21"/>
                      <w:szCs w:val="21"/>
                      <w:lang w:eastAsia="zh-CN"/>
                    </w:rPr>
                    <w:t>属于</w:t>
                  </w:r>
                  <w:r>
                    <w:rPr>
                      <w:rFonts w:hint="default" w:ascii="Times New Roman" w:hAnsi="Times New Roman" w:cs="Times New Roman"/>
                      <w:color w:val="auto"/>
                      <w:szCs w:val="21"/>
                      <w:lang w:eastAsia="zh-CN"/>
                    </w:rPr>
                    <w:t>（</w:t>
                  </w:r>
                  <w:r>
                    <w:rPr>
                      <w:rFonts w:hint="eastAsia" w:cs="Times New Roman"/>
                      <w:color w:val="auto"/>
                      <w:szCs w:val="21"/>
                      <w:lang w:eastAsia="zh-CN"/>
                    </w:rPr>
                    <w:t>D4430</w:t>
                  </w:r>
                  <w:r>
                    <w:rPr>
                      <w:rFonts w:hint="default" w:ascii="Times New Roman" w:hAnsi="Times New Roman" w:cs="Times New Roman"/>
                      <w:color w:val="auto"/>
                      <w:szCs w:val="21"/>
                      <w:lang w:eastAsia="zh-CN"/>
                    </w:rPr>
                    <w:t>）</w:t>
                  </w:r>
                  <w:r>
                    <w:rPr>
                      <w:rFonts w:hint="eastAsia" w:cs="Times New Roman"/>
                      <w:color w:val="auto"/>
                      <w:szCs w:val="21"/>
                      <w:lang w:eastAsia="zh-CN"/>
                    </w:rPr>
                    <w:t>热力生产和供应</w:t>
                  </w:r>
                  <w:r>
                    <w:rPr>
                      <w:rFonts w:hint="default" w:ascii="Times New Roman" w:hAnsi="Times New Roman" w:cs="Times New Roman"/>
                      <w:color w:val="auto"/>
                      <w:sz w:val="21"/>
                      <w:szCs w:val="21"/>
                    </w:rPr>
                    <w:t>，</w:t>
                  </w:r>
                  <w:r>
                    <w:rPr>
                      <w:rFonts w:hint="eastAsia" w:cs="Times New Roman"/>
                      <w:color w:val="auto"/>
                      <w:sz w:val="21"/>
                      <w:szCs w:val="21"/>
                      <w:lang w:eastAsia="zh-CN"/>
                    </w:rPr>
                    <w:t>不属于</w:t>
                  </w:r>
                  <w:r>
                    <w:rPr>
                      <w:rFonts w:hint="eastAsia" w:cs="Times New Roman"/>
                      <w:color w:val="auto"/>
                      <w:sz w:val="21"/>
                      <w:szCs w:val="21"/>
                      <w:vertAlign w:val="baseline"/>
                      <w:lang w:val="en-US" w:eastAsia="zh-CN"/>
                    </w:rPr>
                    <w:t>高能耗、不符合产业政策、重污染的项目</w:t>
                  </w:r>
                  <w:r>
                    <w:rPr>
                      <w:rFonts w:hint="default" w:ascii="Times New Roman" w:hAnsi="Times New Roman" w:cs="Times New Roman"/>
                      <w:color w:val="auto"/>
                      <w:sz w:val="21"/>
                      <w:szCs w:val="21"/>
                    </w:rPr>
                    <w:t>。</w:t>
                  </w:r>
                </w:p>
              </w:tc>
            </w:tr>
            <w:tr w14:paraId="069D5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37" w:type="dxa"/>
                  <w:tcBorders>
                    <w:top w:val="single" w:color="auto" w:sz="8" w:space="0"/>
                    <w:left w:val="nil"/>
                    <w:bottom w:val="single" w:color="auto" w:sz="8" w:space="0"/>
                    <w:right w:val="single" w:color="auto" w:sz="8" w:space="0"/>
                  </w:tcBorders>
                  <w:vAlign w:val="center"/>
                </w:tcPr>
                <w:p w14:paraId="5574877D">
                  <w:pPr>
                    <w:keepNext w:val="0"/>
                    <w:keepLines w:val="0"/>
                    <w:pageBreakBefore w:val="0"/>
                    <w:widowControl w:val="0"/>
                    <w:kinsoku/>
                    <w:wordWrap/>
                    <w:overflowPunct/>
                    <w:topLinePunct w:val="0"/>
                    <w:autoSpaceDE/>
                    <w:autoSpaceDN/>
                    <w:bidi w:val="0"/>
                    <w:spacing w:line="320" w:lineRule="exact"/>
                    <w:ind w:firstLine="0" w:firstLineChars="0"/>
                    <w:jc w:val="both"/>
                    <w:textAlignment w:val="auto"/>
                    <w:rPr>
                      <w:rFonts w:hint="default" w:ascii="Times New Roman" w:hAnsi="Times New Roman" w:eastAsia="宋体" w:cs="Times New Roman"/>
                      <w:b w:val="0"/>
                      <w:bCs w:val="0"/>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color w:val="auto"/>
                      <w:sz w:val="21"/>
                      <w:szCs w:val="21"/>
                      <w:vertAlign w:val="baseline"/>
                      <w:lang w:eastAsia="zh-CN"/>
                    </w:rPr>
                    <w:t>污染物排放管控</w:t>
                  </w:r>
                </w:p>
              </w:tc>
              <w:tc>
                <w:tcPr>
                  <w:tcW w:w="3739" w:type="dxa"/>
                  <w:tcBorders>
                    <w:top w:val="single" w:color="auto" w:sz="8" w:space="0"/>
                    <w:left w:val="nil"/>
                    <w:bottom w:val="single" w:color="auto" w:sz="8" w:space="0"/>
                    <w:right w:val="single" w:color="auto" w:sz="8" w:space="0"/>
                  </w:tcBorders>
                  <w:vAlign w:val="center"/>
                </w:tcPr>
                <w:p w14:paraId="106304FB">
                  <w:pPr>
                    <w:keepNext w:val="0"/>
                    <w:keepLines w:val="0"/>
                    <w:pageBreakBefore w:val="0"/>
                    <w:widowControl w:val="0"/>
                    <w:kinsoku/>
                    <w:wordWrap/>
                    <w:overflowPunct/>
                    <w:topLinePunct w:val="0"/>
                    <w:autoSpaceDE/>
                    <w:autoSpaceDN/>
                    <w:bidi w:val="0"/>
                    <w:spacing w:line="240" w:lineRule="auto"/>
                    <w:ind w:firstLine="0" w:firstLineChars="0"/>
                    <w:jc w:val="both"/>
                    <w:textAlignment w:val="auto"/>
                    <w:rPr>
                      <w:rFonts w:hint="default" w:ascii="Times New Roman" w:hAnsi="Times New Roman" w:eastAsia="宋体" w:cs="Times New Roman"/>
                      <w:b w:val="0"/>
                      <w:bCs w:val="0"/>
                      <w:i w:val="0"/>
                      <w:iCs w:val="0"/>
                      <w:caps w:val="0"/>
                      <w:color w:val="000000" w:themeColor="text1"/>
                      <w:spacing w:val="0"/>
                      <w:sz w:val="21"/>
                      <w:szCs w:val="21"/>
                      <w14:textFill>
                        <w14:solidFill>
                          <w14:schemeClr w14:val="tx1"/>
                        </w14:solidFill>
                      </w14:textFill>
                    </w:rPr>
                  </w:pPr>
                  <w:r>
                    <w:rPr>
                      <w:rFonts w:hint="eastAsia" w:cs="Times New Roman"/>
                      <w:color w:val="auto"/>
                      <w:sz w:val="21"/>
                      <w:szCs w:val="21"/>
                      <w:vertAlign w:val="baseline"/>
                      <w:lang w:val="en-US" w:eastAsia="zh-CN"/>
                    </w:rPr>
                    <w:t>实行污染物排放总量控制，污染物总量指标应满足区域内总量控制及污染物削减计划要求。</w:t>
                  </w:r>
                </w:p>
              </w:tc>
              <w:tc>
                <w:tcPr>
                  <w:tcW w:w="2973" w:type="dxa"/>
                  <w:tcBorders>
                    <w:top w:val="single" w:color="auto" w:sz="8" w:space="0"/>
                    <w:left w:val="single" w:color="auto" w:sz="8" w:space="0"/>
                    <w:bottom w:val="single" w:color="auto" w:sz="8" w:space="0"/>
                    <w:right w:val="nil"/>
                  </w:tcBorders>
                  <w:vAlign w:val="center"/>
                </w:tcPr>
                <w:p w14:paraId="278E4AAD">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cs="Times New Roman"/>
                      <w:color w:val="auto"/>
                      <w:lang w:eastAsia="zh-CN"/>
                    </w:rPr>
                    <w:t>本项目不新增污染物排放量</w:t>
                  </w:r>
                  <w:r>
                    <w:rPr>
                      <w:rFonts w:hint="default" w:ascii="Times New Roman" w:hAnsi="Times New Roman" w:cs="Times New Roman"/>
                      <w:color w:val="auto"/>
                      <w:lang w:val="en-US" w:eastAsia="zh-CN"/>
                    </w:rPr>
                    <w:t>。</w:t>
                  </w:r>
                </w:p>
              </w:tc>
            </w:tr>
            <w:tr w14:paraId="3A851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37" w:type="dxa"/>
                  <w:tcBorders>
                    <w:top w:val="single" w:color="auto" w:sz="8" w:space="0"/>
                    <w:left w:val="nil"/>
                    <w:bottom w:val="single" w:color="auto" w:sz="8" w:space="0"/>
                    <w:right w:val="single" w:color="auto" w:sz="8" w:space="0"/>
                  </w:tcBorders>
                  <w:vAlign w:val="center"/>
                </w:tcPr>
                <w:p w14:paraId="06CF4977">
                  <w:pPr>
                    <w:keepNext w:val="0"/>
                    <w:keepLines w:val="0"/>
                    <w:pageBreakBefore w:val="0"/>
                    <w:widowControl w:val="0"/>
                    <w:kinsoku/>
                    <w:wordWrap/>
                    <w:overflowPunct/>
                    <w:topLinePunct w:val="0"/>
                    <w:autoSpaceDE/>
                    <w:autoSpaceDN/>
                    <w:bidi w:val="0"/>
                    <w:spacing w:line="320" w:lineRule="exact"/>
                    <w:ind w:firstLine="0" w:firstLineChars="0"/>
                    <w:jc w:val="both"/>
                    <w:textAlignment w:val="auto"/>
                    <w:rPr>
                      <w:rFonts w:hint="default" w:ascii="Times New Roman" w:hAnsi="Times New Roman" w:eastAsia="宋体" w:cs="Times New Roman"/>
                      <w:b w:val="0"/>
                      <w:bCs w:val="0"/>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color w:val="auto"/>
                      <w:sz w:val="21"/>
                      <w:szCs w:val="21"/>
                      <w:vertAlign w:val="baseline"/>
                      <w:lang w:eastAsia="zh-CN"/>
                    </w:rPr>
                    <w:t>环境风险防控</w:t>
                  </w:r>
                </w:p>
              </w:tc>
              <w:tc>
                <w:tcPr>
                  <w:tcW w:w="3739" w:type="dxa"/>
                  <w:tcBorders>
                    <w:top w:val="single" w:color="auto" w:sz="8" w:space="0"/>
                    <w:left w:val="nil"/>
                    <w:bottom w:val="single" w:color="auto" w:sz="8" w:space="0"/>
                    <w:right w:val="single" w:color="auto" w:sz="8" w:space="0"/>
                  </w:tcBorders>
                  <w:vAlign w:val="center"/>
                </w:tcPr>
                <w:p w14:paraId="38DD0CBD">
                  <w:pPr>
                    <w:keepNext w:val="0"/>
                    <w:keepLines w:val="0"/>
                    <w:pageBreakBefore w:val="0"/>
                    <w:widowControl w:val="0"/>
                    <w:kinsoku/>
                    <w:wordWrap/>
                    <w:overflowPunct/>
                    <w:topLinePunct w:val="0"/>
                    <w:autoSpaceDE/>
                    <w:autoSpaceDN/>
                    <w:bidi w:val="0"/>
                    <w:spacing w:line="240" w:lineRule="auto"/>
                    <w:ind w:firstLine="0" w:firstLineChars="0"/>
                    <w:jc w:val="both"/>
                    <w:textAlignment w:val="auto"/>
                    <w:rPr>
                      <w:rFonts w:hint="default" w:ascii="Times New Roman" w:hAnsi="Times New Roman" w:eastAsia="宋体" w:cs="Times New Roman"/>
                      <w:b w:val="0"/>
                      <w:bCs w:val="0"/>
                      <w:i w:val="0"/>
                      <w:iCs w:val="0"/>
                      <w:caps w:val="0"/>
                      <w:color w:val="000000" w:themeColor="text1"/>
                      <w:spacing w:val="0"/>
                      <w:sz w:val="21"/>
                      <w:szCs w:val="21"/>
                      <w14:textFill>
                        <w14:solidFill>
                          <w14:schemeClr w14:val="tx1"/>
                        </w14:solidFill>
                      </w14:textFill>
                    </w:rPr>
                  </w:pPr>
                  <w:r>
                    <w:rPr>
                      <w:rFonts w:hint="eastAsia" w:cs="Times New Roman"/>
                      <w:color w:val="auto"/>
                      <w:sz w:val="21"/>
                      <w:szCs w:val="21"/>
                      <w:vertAlign w:val="baseline"/>
                      <w:lang w:val="en-US" w:eastAsia="zh-CN"/>
                    </w:rPr>
                    <w:t>建立健全区域风险防范体系和生态安全保障系统，园区和企业按要求制定并落实突发环境事件应急预案。</w:t>
                  </w:r>
                </w:p>
              </w:tc>
              <w:tc>
                <w:tcPr>
                  <w:tcW w:w="2973" w:type="dxa"/>
                  <w:tcBorders>
                    <w:top w:val="single" w:color="auto" w:sz="8" w:space="0"/>
                    <w:left w:val="single" w:color="auto" w:sz="8" w:space="0"/>
                    <w:bottom w:val="single" w:color="auto" w:sz="8" w:space="0"/>
                    <w:right w:val="nil"/>
                  </w:tcBorders>
                  <w:vAlign w:val="center"/>
                </w:tcPr>
                <w:p w14:paraId="5BA5B149">
                  <w:pPr>
                    <w:keepNext w:val="0"/>
                    <w:keepLines w:val="0"/>
                    <w:pageBreakBefore w:val="0"/>
                    <w:widowControl w:val="0"/>
                    <w:kinsoku/>
                    <w:wordWrap/>
                    <w:overflowPunct/>
                    <w:topLinePunct w:val="0"/>
                    <w:autoSpaceDE/>
                    <w:autoSpaceDN/>
                    <w:bidi w:val="0"/>
                    <w:spacing w:line="240" w:lineRule="auto"/>
                    <w:ind w:firstLine="0" w:firstLineChars="0"/>
                    <w:jc w:val="both"/>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auto"/>
                      <w:sz w:val="21"/>
                      <w:szCs w:val="21"/>
                    </w:rPr>
                    <w:t>本项目建成后将制定环境风险应急预案，同时企业内储备有足够的环境应急物资，实现环境风险联防联控，故能满足环境风险防控的相关要求。</w:t>
                  </w:r>
                </w:p>
              </w:tc>
            </w:tr>
            <w:tr w14:paraId="309B3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37" w:type="dxa"/>
                  <w:tcBorders>
                    <w:top w:val="single" w:color="auto" w:sz="8" w:space="0"/>
                    <w:left w:val="nil"/>
                    <w:bottom w:val="single" w:color="auto" w:sz="12" w:space="0"/>
                    <w:right w:val="single" w:color="auto" w:sz="8" w:space="0"/>
                  </w:tcBorders>
                  <w:vAlign w:val="center"/>
                </w:tcPr>
                <w:p w14:paraId="1D7AF779">
                  <w:pPr>
                    <w:keepNext w:val="0"/>
                    <w:keepLines w:val="0"/>
                    <w:pageBreakBefore w:val="0"/>
                    <w:widowControl w:val="0"/>
                    <w:kinsoku/>
                    <w:wordWrap/>
                    <w:overflowPunct/>
                    <w:topLinePunct w:val="0"/>
                    <w:autoSpaceDE/>
                    <w:autoSpaceDN/>
                    <w:bidi w:val="0"/>
                    <w:spacing w:line="320" w:lineRule="exact"/>
                    <w:ind w:firstLine="0" w:firstLineChars="0"/>
                    <w:jc w:val="both"/>
                    <w:textAlignment w:val="auto"/>
                    <w:rPr>
                      <w:rFonts w:hint="default" w:ascii="Times New Roman" w:hAnsi="Times New Roman" w:eastAsia="宋体" w:cs="Times New Roman"/>
                      <w:b w:val="0"/>
                      <w:bCs w:val="0"/>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color w:val="auto"/>
                      <w:sz w:val="21"/>
                      <w:szCs w:val="21"/>
                      <w:vertAlign w:val="baseline"/>
                      <w:lang w:eastAsia="zh-CN"/>
                    </w:rPr>
                    <w:t>资源利用效率要求</w:t>
                  </w:r>
                </w:p>
              </w:tc>
              <w:tc>
                <w:tcPr>
                  <w:tcW w:w="3739" w:type="dxa"/>
                  <w:tcBorders>
                    <w:top w:val="single" w:color="auto" w:sz="8" w:space="0"/>
                    <w:left w:val="nil"/>
                    <w:bottom w:val="single" w:color="auto" w:sz="12" w:space="0"/>
                    <w:right w:val="single" w:color="auto" w:sz="8" w:space="0"/>
                  </w:tcBorders>
                  <w:vAlign w:val="center"/>
                </w:tcPr>
                <w:p w14:paraId="18B1CA34">
                  <w:pPr>
                    <w:bidi w:val="0"/>
                    <w:spacing w:line="240" w:lineRule="auto"/>
                    <w:ind w:firstLine="420" w:firstLineChars="200"/>
                    <w:rPr>
                      <w:rFonts w:hint="eastAsia"/>
                      <w:lang w:val="en-US" w:eastAsia="zh-CN"/>
                    </w:rPr>
                  </w:pPr>
                  <w:r>
                    <w:rPr>
                      <w:rFonts w:hint="eastAsia"/>
                      <w:lang w:val="en-US" w:eastAsia="zh-CN"/>
                    </w:rPr>
                    <w:t>入区企业按照《涂装行业清洁生产评价指标体系》《机械制造清洁生产评价指标体系（试行）》等清洁生产标准中资源和能源消耗指标来进行控制，单位产品能耗、物耗、污染物排放和资源利用率均需达到同行业国际先进水平。</w:t>
                  </w:r>
                </w:p>
                <w:p w14:paraId="788AE0A4">
                  <w:pPr>
                    <w:bidi w:val="0"/>
                    <w:spacing w:line="240" w:lineRule="auto"/>
                    <w:ind w:firstLine="420" w:firstLineChars="200"/>
                    <w:rPr>
                      <w:rFonts w:hint="default" w:ascii="Times New Roman" w:hAnsi="Times New Roman" w:eastAsia="宋体" w:cs="Times New Roman"/>
                      <w:b w:val="0"/>
                      <w:bCs w:val="0"/>
                      <w:i w:val="0"/>
                      <w:iCs w:val="0"/>
                      <w:caps w:val="0"/>
                      <w:color w:val="000000" w:themeColor="text1"/>
                      <w:spacing w:val="0"/>
                      <w:sz w:val="21"/>
                      <w:szCs w:val="21"/>
                      <w14:textFill>
                        <w14:solidFill>
                          <w14:schemeClr w14:val="tx1"/>
                        </w14:solidFill>
                      </w14:textFill>
                    </w:rPr>
                  </w:pPr>
                  <w:r>
                    <w:rPr>
                      <w:rFonts w:hint="eastAsia"/>
                      <w:lang w:val="en-US" w:eastAsia="zh-CN"/>
                    </w:rPr>
                    <w:t>严格执行《关于划定高污染燃料禁燃区的通知》（皋政发[2013]162号）的相关要求，落实相应的禁燃区管控要求。禁止销售使用燃料为“Ⅱ类”（较严），具体包括：除单台出力大于等于20蒸吨/小时锅炉以外燃用的煤炭及其制品；石油焦、油页岩、原油、重油、渣油、煤焦油</w:t>
                  </w:r>
                </w:p>
              </w:tc>
              <w:tc>
                <w:tcPr>
                  <w:tcW w:w="2973" w:type="dxa"/>
                  <w:tcBorders>
                    <w:top w:val="single" w:color="auto" w:sz="8" w:space="0"/>
                    <w:left w:val="single" w:color="auto" w:sz="8" w:space="0"/>
                    <w:bottom w:val="single" w:color="auto" w:sz="12" w:space="0"/>
                    <w:right w:val="nil"/>
                  </w:tcBorders>
                  <w:vAlign w:val="center"/>
                </w:tcPr>
                <w:p w14:paraId="11C0671E">
                  <w:pPr>
                    <w:keepNext w:val="0"/>
                    <w:keepLines w:val="0"/>
                    <w:pageBreakBefore w:val="0"/>
                    <w:widowControl w:val="0"/>
                    <w:kinsoku/>
                    <w:wordWrap/>
                    <w:overflowPunct/>
                    <w:topLinePunct w:val="0"/>
                    <w:autoSpaceDE/>
                    <w:autoSpaceDN/>
                    <w:bidi w:val="0"/>
                    <w:spacing w:line="240" w:lineRule="auto"/>
                    <w:ind w:firstLine="0" w:firstLineChars="0"/>
                    <w:jc w:val="both"/>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auto"/>
                      <w:sz w:val="21"/>
                      <w:szCs w:val="21"/>
                      <w:vertAlign w:val="baseline"/>
                      <w:lang w:eastAsia="zh-CN"/>
                    </w:rPr>
                    <w:t>本项目</w:t>
                  </w:r>
                  <w:r>
                    <w:rPr>
                      <w:rFonts w:hint="eastAsia" w:cs="Times New Roman"/>
                      <w:color w:val="auto"/>
                      <w:sz w:val="21"/>
                      <w:szCs w:val="21"/>
                      <w:vertAlign w:val="baseline"/>
                      <w:lang w:eastAsia="zh-CN"/>
                    </w:rPr>
                    <w:t>使用生物质热解气作为燃料</w:t>
                  </w:r>
                  <w:r>
                    <w:rPr>
                      <w:rFonts w:hint="default" w:ascii="Times New Roman" w:hAnsi="Times New Roman" w:cs="Times New Roman"/>
                      <w:color w:val="auto"/>
                      <w:sz w:val="21"/>
                      <w:szCs w:val="21"/>
                      <w:vertAlign w:val="baseline"/>
                      <w:lang w:eastAsia="zh-CN"/>
                    </w:rPr>
                    <w:t>；项目用地为工业用地，不占用基本农田。</w:t>
                  </w:r>
                </w:p>
              </w:tc>
            </w:tr>
          </w:tbl>
          <w:p w14:paraId="02A590ED">
            <w:pPr>
              <w:pStyle w:val="9"/>
              <w:keepNext w:val="0"/>
              <w:keepLines w:val="0"/>
              <w:pageBreakBefore w:val="0"/>
              <w:widowControl w:val="0"/>
              <w:kinsoku/>
              <w:wordWrap/>
              <w:overflowPunct/>
              <w:topLinePunct w:val="0"/>
              <w:autoSpaceDE/>
              <w:autoSpaceDN/>
              <w:bidi w:val="0"/>
              <w:adjustRightInd/>
              <w:snapToGrid/>
              <w:spacing w:before="0" w:after="0" w:line="360" w:lineRule="auto"/>
              <w:ind w:right="0" w:firstLine="48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由上表可知，本项目建设符合《江苏省2023年生态环境分区管控动态更新成果公告》生态环境管控单位中对</w:t>
            </w:r>
            <w:r>
              <w:rPr>
                <w:rFonts w:hint="eastAsia" w:cs="Times New Roman"/>
                <w:color w:val="000000" w:themeColor="text1"/>
                <w:sz w:val="21"/>
                <w:szCs w:val="21"/>
                <w:lang w:val="en-US" w:eastAsia="zh-CN"/>
                <w14:textFill>
                  <w14:solidFill>
                    <w14:schemeClr w14:val="tx1"/>
                  </w14:solidFill>
                </w14:textFill>
              </w:rPr>
              <w:t>如皋工业园区东部工业区（大殷、双群）</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的生态环境准入清单的管控要求</w:t>
            </w:r>
            <w:r>
              <w:rPr>
                <w:rFonts w:hint="default" w:ascii="Times New Roman" w:hAnsi="Times New Roman" w:eastAsia="宋体" w:cs="Times New Roman"/>
                <w:color w:val="auto"/>
                <w:sz w:val="21"/>
                <w:szCs w:val="21"/>
                <w:lang w:val="en-US" w:eastAsia="zh-CN"/>
              </w:rPr>
              <w:t>。</w:t>
            </w:r>
          </w:p>
          <w:p w14:paraId="60ABED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422" w:firstLineChars="200"/>
              <w:textAlignment w:val="auto"/>
              <w:rPr>
                <w:rFonts w:hint="default" w:ascii="Times New Roman" w:hAnsi="Times New Roman" w:eastAsia="宋体" w:cs="Times New Roman"/>
                <w:b/>
                <w:bCs w:val="0"/>
                <w:color w:val="auto"/>
                <w:kern w:val="0"/>
                <w:sz w:val="21"/>
                <w:szCs w:val="21"/>
                <w:lang w:val="en-US" w:eastAsia="zh-CN" w:bidi="ar-SA"/>
              </w:rPr>
            </w:pPr>
            <w:r>
              <w:rPr>
                <w:rFonts w:hint="default" w:ascii="Times New Roman" w:hAnsi="Times New Roman" w:cs="Times New Roman"/>
                <w:b/>
                <w:bCs w:val="0"/>
                <w:color w:val="auto"/>
                <w:kern w:val="0"/>
                <w:sz w:val="21"/>
                <w:szCs w:val="21"/>
                <w:lang w:val="en-US" w:eastAsia="zh-CN" w:bidi="ar-SA"/>
              </w:rPr>
              <w:t>6</w:t>
            </w:r>
            <w:r>
              <w:rPr>
                <w:rFonts w:hint="default" w:ascii="Times New Roman" w:hAnsi="Times New Roman" w:eastAsia="宋体" w:cs="Times New Roman"/>
                <w:b/>
                <w:bCs w:val="0"/>
                <w:color w:val="auto"/>
                <w:kern w:val="0"/>
                <w:sz w:val="21"/>
                <w:szCs w:val="21"/>
                <w:lang w:val="en-US" w:eastAsia="zh-CN" w:bidi="ar-SA"/>
              </w:rPr>
              <w:t>、</w:t>
            </w:r>
            <w:r>
              <w:rPr>
                <w:rFonts w:hint="eastAsia" w:ascii="Times New Roman" w:hAnsi="Times New Roman" w:cs="Times New Roman"/>
                <w:b/>
                <w:bCs w:val="0"/>
                <w:color w:val="auto"/>
                <w:kern w:val="0"/>
                <w:sz w:val="21"/>
                <w:szCs w:val="21"/>
                <w:lang w:val="en-US" w:eastAsia="zh-CN" w:bidi="ar-SA"/>
              </w:rPr>
              <w:t>与相关环保政策相符性</w:t>
            </w:r>
          </w:p>
          <w:p w14:paraId="6D0C95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422" w:firstLineChars="200"/>
              <w:textAlignment w:val="auto"/>
              <w:rPr>
                <w:rFonts w:hint="default" w:ascii="Times New Roman" w:hAnsi="Times New Roman" w:eastAsia="宋体"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（1）</w:t>
            </w:r>
            <w:r>
              <w:rPr>
                <w:rFonts w:hint="default" w:ascii="Times New Roman" w:hAnsi="Times New Roman" w:eastAsia="宋体" w:cs="Times New Roman"/>
                <w:b/>
                <w:bCs/>
                <w:color w:val="auto"/>
                <w:sz w:val="21"/>
                <w:szCs w:val="21"/>
                <w:lang w:val="en-US" w:eastAsia="zh-CN"/>
              </w:rPr>
              <w:t>与《</w:t>
            </w:r>
            <w:r>
              <w:rPr>
                <w:rFonts w:hint="default" w:ascii="Times New Roman" w:hAnsi="Times New Roman" w:cs="Times New Roman"/>
                <w:b/>
                <w:bCs/>
                <w:color w:val="auto"/>
                <w:sz w:val="21"/>
                <w:szCs w:val="21"/>
                <w:lang w:val="en-US" w:eastAsia="zh-CN"/>
              </w:rPr>
              <w:t>市委办公室 市政府办公室印发〈</w:t>
            </w:r>
            <w:r>
              <w:rPr>
                <w:rFonts w:hint="default" w:ascii="Times New Roman" w:hAnsi="Times New Roman" w:eastAsia="宋体" w:cs="Times New Roman"/>
                <w:b/>
                <w:bCs/>
                <w:color w:val="auto"/>
                <w:sz w:val="21"/>
                <w:szCs w:val="21"/>
                <w:lang w:val="en-US" w:eastAsia="zh-CN"/>
              </w:rPr>
              <w:t>南通市关于加强减污降碳协同推进重点行业绿色发展的指导意见</w:t>
            </w:r>
            <w:r>
              <w:rPr>
                <w:rFonts w:hint="default" w:ascii="Times New Roman" w:hAnsi="Times New Roman" w:cs="Times New Roman"/>
                <w:b/>
                <w:bCs/>
                <w:color w:val="auto"/>
                <w:sz w:val="21"/>
                <w:szCs w:val="21"/>
                <w:lang w:val="en-US" w:eastAsia="zh-CN"/>
              </w:rPr>
              <w:t>&gt;的通知</w:t>
            </w:r>
            <w:r>
              <w:rPr>
                <w:rFonts w:hint="default" w:ascii="Times New Roman" w:hAnsi="Times New Roman" w:eastAsia="宋体" w:cs="Times New Roman"/>
                <w:b/>
                <w:bCs/>
                <w:color w:val="auto"/>
                <w:sz w:val="21"/>
                <w:szCs w:val="21"/>
                <w:lang w:val="en-US" w:eastAsia="zh-CN"/>
              </w:rPr>
              <w:t>》（通办〔2024〕6号）相符性分析</w:t>
            </w:r>
          </w:p>
          <w:p w14:paraId="32053E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default" w:ascii="Times New Roman" w:hAnsi="Times New Roman" w:cs="Times New Roman"/>
                <w:color w:val="FF0000"/>
                <w:sz w:val="21"/>
                <w:szCs w:val="21"/>
                <w:lang w:val="en-US" w:eastAsia="zh-CN"/>
              </w:rPr>
            </w:pPr>
            <w:r>
              <w:rPr>
                <w:rFonts w:hint="default" w:ascii="Times New Roman" w:hAnsi="Times New Roman" w:eastAsia="宋体" w:cs="Times New Roman"/>
                <w:color w:val="auto"/>
                <w:sz w:val="21"/>
                <w:szCs w:val="21"/>
                <w:lang w:val="en-US" w:eastAsia="zh-CN"/>
              </w:rPr>
              <w:t>根据《市委办公室 市政府办公室印发</w:t>
            </w:r>
            <w:r>
              <w:rPr>
                <w:rFonts w:hint="eastAsia" w:cs="Times New Roman"/>
                <w:color w:val="auto"/>
                <w:sz w:val="21"/>
                <w:szCs w:val="21"/>
                <w:lang w:val="en-US" w:eastAsia="zh-CN"/>
              </w:rPr>
              <w:t>&lt;</w:t>
            </w:r>
            <w:r>
              <w:rPr>
                <w:rFonts w:hint="default" w:ascii="Times New Roman" w:hAnsi="Times New Roman" w:eastAsia="宋体" w:cs="Times New Roman"/>
                <w:color w:val="auto"/>
                <w:sz w:val="21"/>
                <w:szCs w:val="21"/>
                <w:lang w:val="en-US" w:eastAsia="zh-CN"/>
              </w:rPr>
              <w:t>南通市关于加强减污降碳协同推进重点行业绿色发展的指导意见&gt;的通知》（通办〔2024〕6号）</w:t>
            </w:r>
            <w:r>
              <w:rPr>
                <w:rFonts w:hint="default" w:ascii="Times New Roman" w:hAnsi="Times New Roman" w:cs="Times New Roman"/>
                <w:color w:val="auto"/>
                <w:sz w:val="21"/>
                <w:szCs w:val="21"/>
                <w:lang w:val="en-US" w:eastAsia="zh-CN"/>
              </w:rPr>
              <w:t>，本项目行业类别为</w:t>
            </w:r>
            <w:r>
              <w:rPr>
                <w:rFonts w:hint="default" w:ascii="Times New Roman" w:hAnsi="Times New Roman" w:cs="Times New Roman"/>
                <w:color w:val="auto"/>
                <w:sz w:val="21"/>
                <w:szCs w:val="21"/>
                <w:lang w:eastAsia="zh-CN"/>
              </w:rPr>
              <w:t>（</w:t>
            </w:r>
            <w:r>
              <w:rPr>
                <w:rFonts w:hint="eastAsia" w:cs="Times New Roman"/>
                <w:color w:val="auto"/>
                <w:sz w:val="21"/>
                <w:szCs w:val="21"/>
                <w:lang w:eastAsia="zh-CN"/>
              </w:rPr>
              <w:t>D4430</w:t>
            </w:r>
            <w:r>
              <w:rPr>
                <w:rFonts w:hint="default" w:ascii="Times New Roman" w:hAnsi="Times New Roman" w:cs="Times New Roman"/>
                <w:color w:val="auto"/>
                <w:sz w:val="21"/>
                <w:szCs w:val="21"/>
                <w:lang w:eastAsia="zh-CN"/>
              </w:rPr>
              <w:t>）</w:t>
            </w:r>
            <w:r>
              <w:rPr>
                <w:rFonts w:hint="eastAsia" w:cs="Times New Roman"/>
                <w:color w:val="auto"/>
                <w:sz w:val="21"/>
                <w:szCs w:val="21"/>
                <w:lang w:eastAsia="zh-CN"/>
              </w:rPr>
              <w:t>热力生产和供应</w:t>
            </w:r>
            <w:r>
              <w:rPr>
                <w:rFonts w:hint="default" w:ascii="Times New Roman" w:hAnsi="Times New Roman" w:cs="Times New Roman"/>
                <w:color w:val="auto"/>
                <w:sz w:val="21"/>
                <w:szCs w:val="21"/>
                <w:lang w:val="en-US" w:eastAsia="zh-CN"/>
              </w:rPr>
              <w:t>，</w:t>
            </w:r>
            <w:r>
              <w:rPr>
                <w:rFonts w:hint="eastAsia" w:cs="Times New Roman"/>
                <w:color w:val="auto"/>
                <w:sz w:val="21"/>
                <w:szCs w:val="21"/>
                <w:lang w:val="en-US" w:eastAsia="zh-CN"/>
              </w:rPr>
              <w:t>不属于以上重点行业</w:t>
            </w:r>
            <w:r>
              <w:rPr>
                <w:rFonts w:hint="eastAsia" w:cs="Times New Roman"/>
                <w:snapToGrid w:val="0"/>
                <w:color w:val="auto"/>
                <w:kern w:val="0"/>
                <w:sz w:val="21"/>
                <w:szCs w:val="21"/>
                <w:lang w:eastAsia="zh-CN"/>
              </w:rPr>
              <w:t>，本项目为技改项目，新增一台备用锅炉，不新增污染物排放。</w:t>
            </w:r>
          </w:p>
          <w:p w14:paraId="48AC52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default" w:ascii="Times New Roman" w:hAnsi="Times New Roman" w:eastAsia="宋体" w:cs="Times New Roman"/>
                <w:b/>
                <w:color w:val="auto"/>
                <w:sz w:val="21"/>
                <w:szCs w:val="21"/>
                <w:lang w:eastAsia="zh-CN"/>
              </w:rPr>
            </w:pPr>
            <w:r>
              <w:rPr>
                <w:rFonts w:hint="default" w:ascii="Times New Roman" w:hAnsi="Times New Roman" w:eastAsia="宋体" w:cs="Times New Roman"/>
                <w:color w:val="auto"/>
                <w:sz w:val="21"/>
                <w:szCs w:val="21"/>
                <w:lang w:val="en-US" w:eastAsia="zh-CN"/>
              </w:rPr>
              <w:t>本项目符合《市委办公室 市政府办公室印发</w:t>
            </w:r>
            <w:r>
              <w:rPr>
                <w:rFonts w:hint="eastAsia" w:cs="Times New Roman"/>
                <w:color w:val="auto"/>
                <w:sz w:val="21"/>
                <w:szCs w:val="21"/>
                <w:lang w:val="en-US" w:eastAsia="zh-CN"/>
              </w:rPr>
              <w:t>&lt;</w:t>
            </w:r>
            <w:r>
              <w:rPr>
                <w:rFonts w:hint="default" w:ascii="Times New Roman" w:hAnsi="Times New Roman" w:eastAsia="宋体" w:cs="Times New Roman"/>
                <w:color w:val="auto"/>
                <w:sz w:val="21"/>
                <w:szCs w:val="21"/>
                <w:lang w:val="en-US" w:eastAsia="zh-CN"/>
              </w:rPr>
              <w:t>南通市关于加强减污降碳协同推进重点行业绿色发展的指导意见&gt;的通知》（通办〔2024〕6号）</w:t>
            </w:r>
            <w:r>
              <w:rPr>
                <w:rFonts w:hint="default" w:ascii="Times New Roman" w:hAnsi="Times New Roman" w:eastAsia="宋体" w:cs="Times New Roman"/>
                <w:color w:val="auto"/>
                <w:sz w:val="21"/>
                <w:szCs w:val="21"/>
              </w:rPr>
              <w:t>。</w:t>
            </w:r>
          </w:p>
          <w:p w14:paraId="58EF09E6">
            <w:pPr>
              <w:numPr>
                <w:ilvl w:val="0"/>
                <w:numId w:val="0"/>
              </w:numPr>
              <w:bidi w:val="0"/>
              <w:spacing w:line="360" w:lineRule="auto"/>
              <w:ind w:firstLine="422" w:firstLineChars="200"/>
              <w:rPr>
                <w:rFonts w:hint="default" w:ascii="Times New Roman" w:hAnsi="Times New Roman" w:cs="Times New Roman"/>
                <w:b/>
                <w:bCs/>
                <w:snapToGrid w:val="0"/>
                <w:color w:val="auto"/>
                <w:kern w:val="0"/>
                <w:sz w:val="21"/>
                <w:szCs w:val="21"/>
                <w:lang w:eastAsia="zh-CN"/>
              </w:rPr>
            </w:pPr>
            <w:r>
              <w:rPr>
                <w:rFonts w:hint="eastAsia" w:ascii="Times New Roman" w:hAnsi="Times New Roman" w:cs="Times New Roman"/>
                <w:b/>
                <w:bCs/>
                <w:color w:val="auto"/>
                <w:lang w:val="en-US" w:eastAsia="zh-CN"/>
              </w:rPr>
              <w:t>（2）</w:t>
            </w:r>
            <w:r>
              <w:rPr>
                <w:rFonts w:hint="default" w:ascii="Times New Roman" w:hAnsi="Times New Roman" w:cs="Times New Roman"/>
                <w:b/>
                <w:bCs/>
                <w:color w:val="auto"/>
                <w:lang w:val="en-US" w:eastAsia="zh-CN"/>
              </w:rPr>
              <w:t>与《</w:t>
            </w:r>
            <w:r>
              <w:rPr>
                <w:rFonts w:hint="default" w:ascii="Times New Roman" w:hAnsi="Times New Roman" w:cs="Times New Roman"/>
                <w:b/>
                <w:bCs/>
                <w:snapToGrid w:val="0"/>
                <w:color w:val="auto"/>
                <w:kern w:val="0"/>
                <w:sz w:val="21"/>
                <w:szCs w:val="21"/>
              </w:rPr>
              <w:t>市委办公室市政府办公室关于印发</w:t>
            </w:r>
            <w:r>
              <w:rPr>
                <w:rFonts w:hint="default" w:ascii="Times New Roman" w:hAnsi="Times New Roman" w:cs="Times New Roman"/>
                <w:b/>
                <w:bCs/>
                <w:snapToGrid w:val="0"/>
                <w:color w:val="auto"/>
                <w:kern w:val="0"/>
                <w:sz w:val="21"/>
                <w:szCs w:val="21"/>
                <w:lang w:eastAsia="zh-CN"/>
              </w:rPr>
              <w:t>〈</w:t>
            </w:r>
            <w:r>
              <w:rPr>
                <w:rFonts w:hint="default" w:ascii="Times New Roman" w:hAnsi="Times New Roman" w:cs="Times New Roman"/>
                <w:b/>
                <w:bCs/>
                <w:snapToGrid w:val="0"/>
                <w:color w:val="auto"/>
                <w:kern w:val="0"/>
                <w:sz w:val="21"/>
                <w:szCs w:val="21"/>
              </w:rPr>
              <w:t>如皋市推进重点行业绿色发展实施方案</w:t>
            </w:r>
            <w:r>
              <w:rPr>
                <w:rFonts w:hint="default" w:ascii="Times New Roman" w:hAnsi="Times New Roman" w:cs="Times New Roman"/>
                <w:b/>
                <w:bCs/>
                <w:snapToGrid w:val="0"/>
                <w:color w:val="auto"/>
                <w:kern w:val="0"/>
                <w:sz w:val="21"/>
                <w:szCs w:val="21"/>
                <w:lang w:eastAsia="zh-CN"/>
              </w:rPr>
              <w:t>〉</w:t>
            </w:r>
            <w:r>
              <w:rPr>
                <w:rFonts w:hint="default" w:ascii="Times New Roman" w:hAnsi="Times New Roman" w:cs="Times New Roman"/>
                <w:b/>
                <w:bCs/>
                <w:snapToGrid w:val="0"/>
                <w:color w:val="auto"/>
                <w:kern w:val="0"/>
                <w:sz w:val="21"/>
                <w:szCs w:val="21"/>
              </w:rPr>
              <w:t>的通知</w:t>
            </w:r>
            <w:r>
              <w:rPr>
                <w:rFonts w:hint="default" w:ascii="Times New Roman" w:hAnsi="Times New Roman" w:cs="Times New Roman"/>
                <w:b/>
                <w:bCs/>
                <w:snapToGrid w:val="0"/>
                <w:color w:val="auto"/>
                <w:kern w:val="0"/>
                <w:sz w:val="21"/>
                <w:szCs w:val="21"/>
                <w:lang w:eastAsia="zh-CN"/>
              </w:rPr>
              <w:t>》</w:t>
            </w:r>
            <w:r>
              <w:rPr>
                <w:rFonts w:hint="default" w:ascii="Times New Roman" w:hAnsi="Times New Roman" w:cs="Times New Roman"/>
                <w:b/>
                <w:bCs/>
                <w:snapToGrid w:val="0"/>
                <w:color w:val="auto"/>
                <w:kern w:val="0"/>
                <w:sz w:val="21"/>
                <w:szCs w:val="21"/>
              </w:rPr>
              <w:t>（皋办</w:t>
            </w:r>
            <w:r>
              <w:rPr>
                <w:rFonts w:hint="default" w:ascii="Times New Roman" w:hAnsi="Times New Roman" w:cs="Times New Roman"/>
                <w:b/>
                <w:bCs/>
                <w:snapToGrid w:val="0"/>
                <w:color w:val="auto"/>
                <w:kern w:val="0"/>
                <w:sz w:val="21"/>
                <w:szCs w:val="21"/>
                <w:lang w:eastAsia="zh-CN"/>
              </w:rPr>
              <w:t>〔</w:t>
            </w:r>
            <w:r>
              <w:rPr>
                <w:rFonts w:hint="default" w:ascii="Times New Roman" w:hAnsi="Times New Roman" w:cs="Times New Roman"/>
                <w:b/>
                <w:bCs/>
                <w:snapToGrid w:val="0"/>
                <w:color w:val="auto"/>
                <w:kern w:val="0"/>
                <w:sz w:val="21"/>
                <w:szCs w:val="21"/>
              </w:rPr>
              <w:t>2022</w:t>
            </w:r>
            <w:r>
              <w:rPr>
                <w:rFonts w:hint="default" w:ascii="Times New Roman" w:hAnsi="Times New Roman" w:cs="Times New Roman"/>
                <w:b/>
                <w:bCs/>
                <w:snapToGrid w:val="0"/>
                <w:color w:val="auto"/>
                <w:kern w:val="0"/>
                <w:sz w:val="21"/>
                <w:szCs w:val="21"/>
                <w:lang w:eastAsia="zh-CN"/>
              </w:rPr>
              <w:t>〕</w:t>
            </w:r>
            <w:r>
              <w:rPr>
                <w:rFonts w:hint="default" w:ascii="Times New Roman" w:hAnsi="Times New Roman" w:cs="Times New Roman"/>
                <w:b/>
                <w:bCs/>
                <w:snapToGrid w:val="0"/>
                <w:color w:val="auto"/>
                <w:kern w:val="0"/>
                <w:sz w:val="21"/>
                <w:szCs w:val="21"/>
              </w:rPr>
              <w:t>46号）</w:t>
            </w:r>
            <w:r>
              <w:rPr>
                <w:rFonts w:hint="default" w:ascii="Times New Roman" w:hAnsi="Times New Roman" w:cs="Times New Roman"/>
                <w:b/>
                <w:bCs/>
                <w:snapToGrid w:val="0"/>
                <w:color w:val="auto"/>
                <w:kern w:val="0"/>
                <w:sz w:val="21"/>
                <w:szCs w:val="21"/>
                <w:lang w:eastAsia="zh-CN"/>
              </w:rPr>
              <w:t>相符性分析</w:t>
            </w:r>
          </w:p>
          <w:p w14:paraId="4FAF9900">
            <w:pPr>
              <w:bidi w:val="0"/>
              <w:spacing w:line="360" w:lineRule="auto"/>
              <w:ind w:firstLine="420" w:firstLineChars="200"/>
              <w:rPr>
                <w:rFonts w:hint="default"/>
                <w:lang w:eastAsia="zh-CN"/>
              </w:rPr>
            </w:pPr>
            <w:r>
              <w:rPr>
                <w:rFonts w:hint="default"/>
                <w:lang w:val="en-US" w:eastAsia="zh-CN"/>
              </w:rPr>
              <w:t>对照《</w:t>
            </w:r>
            <w:r>
              <w:rPr>
                <w:rFonts w:hint="default"/>
              </w:rPr>
              <w:t>市委办公室市政府办公室关于印发</w:t>
            </w:r>
            <w:r>
              <w:rPr>
                <w:rFonts w:hint="default"/>
                <w:lang w:eastAsia="zh-CN"/>
              </w:rPr>
              <w:t>〈</w:t>
            </w:r>
            <w:r>
              <w:rPr>
                <w:rFonts w:hint="default"/>
              </w:rPr>
              <w:t>如皋市推进重点行业绿色发展实施方案</w:t>
            </w:r>
            <w:r>
              <w:rPr>
                <w:rFonts w:hint="default"/>
                <w:lang w:eastAsia="zh-CN"/>
              </w:rPr>
              <w:t>〉</w:t>
            </w:r>
            <w:r>
              <w:rPr>
                <w:rFonts w:hint="default"/>
              </w:rPr>
              <w:t>的通知</w:t>
            </w:r>
            <w:r>
              <w:rPr>
                <w:rFonts w:hint="default"/>
                <w:lang w:eastAsia="zh-CN"/>
              </w:rPr>
              <w:t>》</w:t>
            </w:r>
            <w:r>
              <w:rPr>
                <w:rFonts w:hint="default"/>
              </w:rPr>
              <w:t>（皋办</w:t>
            </w:r>
            <w:r>
              <w:rPr>
                <w:rFonts w:hint="default"/>
                <w:lang w:eastAsia="zh-CN"/>
              </w:rPr>
              <w:t>〔</w:t>
            </w:r>
            <w:r>
              <w:rPr>
                <w:rFonts w:hint="default"/>
              </w:rPr>
              <w:t>2022</w:t>
            </w:r>
            <w:r>
              <w:rPr>
                <w:rFonts w:hint="default"/>
                <w:lang w:eastAsia="zh-CN"/>
              </w:rPr>
              <w:t>〕</w:t>
            </w:r>
            <w:r>
              <w:rPr>
                <w:rFonts w:hint="default"/>
              </w:rPr>
              <w:t>46号）</w:t>
            </w:r>
            <w:r>
              <w:rPr>
                <w:rFonts w:hint="default"/>
                <w:lang w:eastAsia="zh-CN"/>
              </w:rPr>
              <w:t>，本项目行业类别为（</w:t>
            </w:r>
            <w:r>
              <w:rPr>
                <w:rFonts w:hint="eastAsia"/>
                <w:lang w:eastAsia="zh-CN"/>
              </w:rPr>
              <w:t>D4430</w:t>
            </w:r>
            <w:r>
              <w:rPr>
                <w:rFonts w:hint="default"/>
                <w:lang w:eastAsia="zh-CN"/>
              </w:rPr>
              <w:t>）</w:t>
            </w:r>
            <w:r>
              <w:rPr>
                <w:rFonts w:hint="eastAsia"/>
                <w:lang w:eastAsia="zh-CN"/>
              </w:rPr>
              <w:t>热力生产和供应</w:t>
            </w:r>
            <w:r>
              <w:rPr>
                <w:rFonts w:hint="default"/>
                <w:lang w:val="en-US" w:eastAsia="zh-CN"/>
              </w:rPr>
              <w:t>，</w:t>
            </w:r>
            <w:r>
              <w:rPr>
                <w:rFonts w:hint="eastAsia"/>
                <w:lang w:val="en-US" w:eastAsia="zh-CN"/>
              </w:rPr>
              <w:t>不属于以上重点行业</w:t>
            </w:r>
            <w:r>
              <w:rPr>
                <w:rFonts w:hint="eastAsia"/>
                <w:lang w:eastAsia="zh-CN"/>
              </w:rPr>
              <w:t>，本项目为技改项目，新增一台备用锅炉，不新增污染物排放</w:t>
            </w:r>
            <w:r>
              <w:rPr>
                <w:rFonts w:hint="default"/>
                <w:lang w:eastAsia="zh-CN"/>
              </w:rPr>
              <w:t>。</w:t>
            </w:r>
          </w:p>
          <w:p w14:paraId="6BE29E39">
            <w:pPr>
              <w:bidi w:val="0"/>
              <w:spacing w:line="360" w:lineRule="auto"/>
              <w:ind w:firstLine="420" w:firstLineChars="200"/>
              <w:rPr>
                <w:rFonts w:hint="default" w:ascii="Times New Roman" w:hAnsi="Times New Roman" w:eastAsia="宋体" w:cs="Times New Roman"/>
                <w:snapToGrid w:val="0"/>
                <w:color w:val="auto"/>
                <w:kern w:val="0"/>
                <w:szCs w:val="21"/>
                <w:lang w:eastAsia="zh-CN"/>
              </w:rPr>
            </w:pPr>
            <w:r>
              <w:rPr>
                <w:rFonts w:hint="default"/>
                <w:lang w:eastAsia="zh-CN"/>
              </w:rPr>
              <w:t>因此，本项目符合</w:t>
            </w:r>
            <w:r>
              <w:rPr>
                <w:rFonts w:hint="default"/>
                <w:lang w:val="en-US" w:eastAsia="zh-CN"/>
              </w:rPr>
              <w:t>《</w:t>
            </w:r>
            <w:r>
              <w:rPr>
                <w:rFonts w:hint="default"/>
              </w:rPr>
              <w:t>市委办公室市政府办公室关于印发</w:t>
            </w:r>
            <w:r>
              <w:rPr>
                <w:rFonts w:hint="default"/>
                <w:lang w:eastAsia="zh-CN"/>
              </w:rPr>
              <w:t>〈</w:t>
            </w:r>
            <w:r>
              <w:rPr>
                <w:rFonts w:hint="default"/>
              </w:rPr>
              <w:t>如皋市推进重点行业绿色发展实施方案</w:t>
            </w:r>
            <w:r>
              <w:rPr>
                <w:rFonts w:hint="default"/>
                <w:lang w:eastAsia="zh-CN"/>
              </w:rPr>
              <w:t>〉</w:t>
            </w:r>
            <w:r>
              <w:rPr>
                <w:rFonts w:hint="default"/>
              </w:rPr>
              <w:t>的通知</w:t>
            </w:r>
            <w:r>
              <w:rPr>
                <w:rFonts w:hint="default"/>
                <w:lang w:eastAsia="zh-CN"/>
              </w:rPr>
              <w:t>》</w:t>
            </w:r>
            <w:r>
              <w:rPr>
                <w:rFonts w:hint="default"/>
              </w:rPr>
              <w:t>（皋办</w:t>
            </w:r>
            <w:r>
              <w:rPr>
                <w:rFonts w:hint="default"/>
                <w:lang w:eastAsia="zh-CN"/>
              </w:rPr>
              <w:t>〔</w:t>
            </w:r>
            <w:r>
              <w:rPr>
                <w:rFonts w:hint="default"/>
              </w:rPr>
              <w:t>2022</w:t>
            </w:r>
            <w:r>
              <w:rPr>
                <w:rFonts w:hint="default"/>
                <w:lang w:eastAsia="zh-CN"/>
              </w:rPr>
              <w:t>〕</w:t>
            </w:r>
            <w:r>
              <w:rPr>
                <w:rFonts w:hint="default"/>
              </w:rPr>
              <w:t>46号）</w:t>
            </w:r>
            <w:r>
              <w:rPr>
                <w:rFonts w:hint="default"/>
                <w:lang w:eastAsia="zh-CN"/>
              </w:rPr>
              <w:t>的相关要求。</w:t>
            </w:r>
          </w:p>
          <w:p w14:paraId="4EC6CF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Times New Roman" w:hAnsi="Times New Roman" w:eastAsia="宋体"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（3）</w:t>
            </w:r>
            <w:r>
              <w:rPr>
                <w:rFonts w:hint="default" w:ascii="Times New Roman" w:hAnsi="Times New Roman" w:eastAsia="宋体" w:cs="Times New Roman"/>
                <w:b/>
                <w:bCs/>
                <w:color w:val="auto"/>
                <w:sz w:val="21"/>
                <w:szCs w:val="21"/>
                <w:lang w:val="en-US" w:eastAsia="zh-CN"/>
              </w:rPr>
              <w:t>与《市政府关于调整高污染燃料禁燃区的通知》（皋政发[2017]125号）相符性</w:t>
            </w:r>
          </w:p>
          <w:p w14:paraId="4C416B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对照《市政府关于调整高污染燃料禁燃区的通知》（皋政发[2017]125号）中</w:t>
            </w:r>
            <w:r>
              <w:rPr>
                <w:rFonts w:hint="eastAsia"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一、本市划定的高污染燃料禁燃区范围为如皋全市域，总面积1476.9平方公里。其中，市区李渔南路—李渔路—如泰运河—万寿路—庆余路—东风河—如泰运河—花城大道—惠政西路—惠政路—李渔南路所围区域为Ⅲ类高污染燃料禁燃区，面积为16.35平方公里</w:t>
            </w:r>
            <w:r>
              <w:rPr>
                <w:rFonts w:hint="eastAsia"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其余区域为Ⅱ类高污染燃料禁燃区</w:t>
            </w:r>
            <w:r>
              <w:rPr>
                <w:rFonts w:hint="eastAsia"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面积为1460.55平方公里。二、本通知所称高污染燃料为以下燃料：</w:t>
            </w:r>
          </w:p>
          <w:p w14:paraId="6FC8E8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（一）Ⅱ类</w:t>
            </w:r>
          </w:p>
          <w:p w14:paraId="726BD6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1、除单台出力大于35蒸吨/小时锅炉以外燃用的煤炭及其制品。</w:t>
            </w:r>
          </w:p>
          <w:p w14:paraId="1E73E5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2、石油焦、油页岩、原油、重油、渣油、煤焦油。</w:t>
            </w:r>
            <w:r>
              <w:rPr>
                <w:rFonts w:hint="eastAsia" w:cs="Times New Roman"/>
                <w:color w:val="auto"/>
                <w:sz w:val="21"/>
                <w:szCs w:val="21"/>
                <w:lang w:val="en-US" w:eastAsia="zh-CN"/>
              </w:rPr>
              <w:t>”</w:t>
            </w:r>
          </w:p>
          <w:p w14:paraId="12D653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eastAsia="宋体" w:cs="Times New Roman"/>
                <w:color w:val="auto"/>
                <w:sz w:val="21"/>
                <w:szCs w:val="21"/>
                <w:lang w:val="en-US" w:eastAsia="zh-CN"/>
              </w:rPr>
              <w:t>本项目位于Ⅱ类高污染燃料禁燃区，项目使用生物质成型燃料。因此，本项目符合《市政府关于调整高污染燃料禁燃区的通知》（皋政发[2017]125号）的要求</w:t>
            </w:r>
            <w:r>
              <w:rPr>
                <w:rFonts w:hint="default" w:ascii="Times New Roman" w:hAnsi="Times New Roman" w:eastAsia="宋体" w:cs="Times New Roman"/>
                <w:b w:val="0"/>
                <w:bCs w:val="0"/>
                <w:color w:val="auto"/>
                <w:sz w:val="21"/>
                <w:szCs w:val="21"/>
                <w:lang w:val="en-US" w:eastAsia="zh-CN"/>
              </w:rPr>
              <w:t>。</w:t>
            </w:r>
          </w:p>
          <w:p w14:paraId="0A30861C">
            <w:pPr>
              <w:keepNext w:val="0"/>
              <w:keepLines w:val="0"/>
              <w:pageBreakBefore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b/>
                <w:bCs/>
                <w:color w:val="auto"/>
                <w:kern w:val="2"/>
                <w:sz w:val="21"/>
                <w:szCs w:val="21"/>
                <w:lang w:val="en-US" w:eastAsia="zh-CN" w:bidi="ar-SA"/>
              </w:rPr>
            </w:pPr>
            <w:r>
              <w:rPr>
                <w:rFonts w:hint="eastAsia" w:ascii="Times New Roman" w:hAnsi="Times New Roman" w:cs="Times New Roman"/>
                <w:b/>
                <w:bCs/>
                <w:color w:val="auto"/>
                <w:kern w:val="2"/>
                <w:sz w:val="21"/>
                <w:szCs w:val="21"/>
                <w:lang w:val="en-US" w:eastAsia="zh-CN" w:bidi="ar-SA"/>
              </w:rPr>
              <w:t>（4）</w:t>
            </w:r>
            <w:r>
              <w:rPr>
                <w:rFonts w:hint="default" w:ascii="Times New Roman" w:hAnsi="Times New Roman" w:cs="Times New Roman"/>
                <w:b/>
                <w:bCs/>
                <w:color w:val="auto"/>
                <w:kern w:val="2"/>
                <w:sz w:val="21"/>
                <w:szCs w:val="21"/>
                <w:lang w:val="en-US" w:eastAsia="zh-CN" w:bidi="ar-SA"/>
              </w:rPr>
              <w:t>与《江苏省生物质电厂与锅炉综合治理实施方案》的相符性</w:t>
            </w:r>
          </w:p>
          <w:p w14:paraId="268E16E5">
            <w:pPr>
              <w:adjustRightInd w:val="0"/>
              <w:snapToGrid w:val="0"/>
              <w:spacing w:line="360" w:lineRule="auto"/>
              <w:jc w:val="center"/>
              <w:rPr>
                <w:rFonts w:hint="default" w:ascii="Times New Roman" w:hAnsi="Times New Roman" w:eastAsia="宋体" w:cs="Times New Roman"/>
                <w:b/>
                <w:bCs w:val="0"/>
                <w:color w:val="000000"/>
                <w:sz w:val="21"/>
                <w:szCs w:val="21"/>
                <w:lang w:eastAsia="zh-CN"/>
              </w:rPr>
            </w:pPr>
            <w:r>
              <w:rPr>
                <w:rFonts w:hint="default" w:ascii="Times New Roman" w:hAnsi="Times New Roman" w:eastAsia="宋体" w:cs="Times New Roman"/>
                <w:b/>
                <w:bCs w:val="0"/>
                <w:color w:val="000000"/>
                <w:sz w:val="21"/>
                <w:szCs w:val="21"/>
              </w:rPr>
              <w:t>表</w:t>
            </w:r>
            <w:r>
              <w:rPr>
                <w:rFonts w:hint="eastAsia" w:cs="Times New Roman"/>
                <w:b/>
                <w:bCs w:val="0"/>
                <w:color w:val="000000"/>
                <w:sz w:val="21"/>
                <w:szCs w:val="21"/>
                <w:lang w:val="en-US" w:eastAsia="zh-CN"/>
              </w:rPr>
              <w:t>1-5</w:t>
            </w:r>
            <w:r>
              <w:rPr>
                <w:rFonts w:hint="default" w:ascii="Times New Roman" w:hAnsi="Times New Roman" w:eastAsia="宋体" w:cs="Times New Roman"/>
                <w:b/>
                <w:bCs w:val="0"/>
                <w:color w:val="000000"/>
                <w:sz w:val="21"/>
                <w:szCs w:val="21"/>
              </w:rPr>
              <w:t xml:space="preserve">  </w:t>
            </w:r>
            <w:r>
              <w:rPr>
                <w:rFonts w:hint="default" w:ascii="Times New Roman" w:hAnsi="Times New Roman" w:eastAsia="宋体" w:cs="Times New Roman"/>
                <w:b/>
                <w:bCs w:val="0"/>
                <w:color w:val="000000"/>
                <w:sz w:val="21"/>
                <w:szCs w:val="21"/>
                <w:lang w:eastAsia="zh-CN"/>
              </w:rPr>
              <w:t>与</w:t>
            </w:r>
            <w:r>
              <w:rPr>
                <w:rFonts w:hint="default" w:ascii="Times New Roman" w:hAnsi="Times New Roman" w:cs="Times New Roman"/>
                <w:b/>
                <w:bCs/>
                <w:color w:val="auto"/>
                <w:kern w:val="2"/>
                <w:sz w:val="21"/>
                <w:szCs w:val="21"/>
                <w:lang w:val="en-US" w:eastAsia="zh-CN" w:bidi="ar-SA"/>
              </w:rPr>
              <w:t>《江苏省生物质电厂与锅炉综合治理实施方案》</w:t>
            </w:r>
            <w:r>
              <w:rPr>
                <w:rFonts w:hint="default" w:ascii="Times New Roman" w:hAnsi="Times New Roman" w:eastAsia="宋体" w:cs="Times New Roman"/>
                <w:b/>
                <w:bCs w:val="0"/>
                <w:color w:val="000000"/>
                <w:sz w:val="21"/>
                <w:szCs w:val="21"/>
                <w:lang w:eastAsia="zh-CN"/>
              </w:rPr>
              <w:t>相符性</w:t>
            </w:r>
          </w:p>
          <w:tbl>
            <w:tblPr>
              <w:tblStyle w:val="23"/>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922"/>
              <w:gridCol w:w="2247"/>
              <w:gridCol w:w="787"/>
            </w:tblGrid>
            <w:tr w14:paraId="606E58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pct"/>
                  <w:noWrap w:val="0"/>
                  <w:vAlign w:val="center"/>
                </w:tcPr>
                <w:p w14:paraId="653B4675">
                  <w:pPr>
                    <w:adjustRightInd w:val="0"/>
                    <w:snapToGrid w:val="0"/>
                    <w:spacing w:line="240" w:lineRule="auto"/>
                    <w:jc w:val="center"/>
                    <w:rPr>
                      <w:rFonts w:hint="eastAsia" w:ascii="Times New Roman" w:hAnsi="Times New Roman" w:eastAsia="宋体" w:cs="Times New Roman"/>
                      <w:b/>
                      <w:bCs/>
                      <w:color w:val="000000"/>
                      <w:sz w:val="21"/>
                      <w:szCs w:val="21"/>
                      <w:lang w:eastAsia="zh-CN"/>
                    </w:rPr>
                  </w:pPr>
                  <w:r>
                    <w:rPr>
                      <w:rFonts w:hint="eastAsia" w:ascii="Times New Roman" w:hAnsi="Times New Roman" w:eastAsia="宋体" w:cs="Times New Roman"/>
                      <w:b/>
                      <w:bCs/>
                      <w:color w:val="000000"/>
                      <w:sz w:val="21"/>
                      <w:szCs w:val="21"/>
                      <w:lang w:eastAsia="zh-CN"/>
                    </w:rPr>
                    <w:t>文件内容</w:t>
                  </w:r>
                </w:p>
              </w:tc>
              <w:tc>
                <w:tcPr>
                  <w:tcW w:w="1615" w:type="pct"/>
                  <w:noWrap w:val="0"/>
                  <w:vAlign w:val="center"/>
                </w:tcPr>
                <w:p w14:paraId="38741220">
                  <w:pPr>
                    <w:adjustRightInd w:val="0"/>
                    <w:snapToGrid w:val="0"/>
                    <w:spacing w:line="240" w:lineRule="auto"/>
                    <w:jc w:val="center"/>
                    <w:rPr>
                      <w:rFonts w:hint="eastAsia" w:ascii="Times New Roman" w:hAnsi="Times New Roman" w:eastAsia="宋体" w:cs="Times New Roman"/>
                      <w:b/>
                      <w:bCs/>
                      <w:color w:val="000000"/>
                      <w:sz w:val="21"/>
                      <w:szCs w:val="21"/>
                      <w:lang w:eastAsia="zh-CN"/>
                    </w:rPr>
                  </w:pPr>
                  <w:r>
                    <w:rPr>
                      <w:rFonts w:hint="eastAsia" w:ascii="Times New Roman" w:hAnsi="Times New Roman" w:eastAsia="宋体" w:cs="Times New Roman"/>
                      <w:b/>
                      <w:bCs/>
                      <w:color w:val="000000"/>
                      <w:sz w:val="21"/>
                      <w:szCs w:val="21"/>
                      <w:lang w:eastAsia="zh-CN"/>
                    </w:rPr>
                    <w:t>本项目情况</w:t>
                  </w:r>
                </w:p>
              </w:tc>
              <w:tc>
                <w:tcPr>
                  <w:tcW w:w="565" w:type="pct"/>
                  <w:noWrap w:val="0"/>
                  <w:vAlign w:val="center"/>
                </w:tcPr>
                <w:p w14:paraId="00BE9ABA">
                  <w:pPr>
                    <w:adjustRightInd w:val="0"/>
                    <w:snapToGrid w:val="0"/>
                    <w:spacing w:line="240" w:lineRule="auto"/>
                    <w:jc w:val="center"/>
                    <w:rPr>
                      <w:rFonts w:hint="default" w:ascii="Times New Roman" w:hAnsi="Times New Roman" w:eastAsia="宋体" w:cs="Times New Roman"/>
                      <w:b/>
                      <w:bCs/>
                      <w:color w:val="000000"/>
                      <w:sz w:val="21"/>
                      <w:szCs w:val="21"/>
                      <w:lang w:eastAsia="zh-CN"/>
                    </w:rPr>
                  </w:pPr>
                  <w:r>
                    <w:rPr>
                      <w:rFonts w:hint="eastAsia" w:ascii="Times New Roman" w:hAnsi="Times New Roman" w:eastAsia="宋体" w:cs="Times New Roman"/>
                      <w:b/>
                      <w:bCs/>
                      <w:color w:val="000000"/>
                      <w:sz w:val="21"/>
                      <w:szCs w:val="21"/>
                      <w:lang w:eastAsia="zh-CN"/>
                    </w:rPr>
                    <w:t>是否相符</w:t>
                  </w:r>
                </w:p>
              </w:tc>
            </w:tr>
            <w:tr w14:paraId="4CE8E8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3"/>
                  <w:noWrap w:val="0"/>
                  <w:vAlign w:val="center"/>
                </w:tcPr>
                <w:p w14:paraId="0DF21CE5">
                  <w:pPr>
                    <w:numPr>
                      <w:ilvl w:val="-1"/>
                      <w:numId w:val="0"/>
                    </w:numPr>
                    <w:adjustRightInd w:val="0"/>
                    <w:snapToGrid w:val="0"/>
                    <w:spacing w:line="240" w:lineRule="auto"/>
                    <w:ind w:firstLine="0"/>
                    <w:jc w:val="both"/>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一、总体要求</w:t>
                  </w:r>
                </w:p>
              </w:tc>
            </w:tr>
            <w:tr w14:paraId="4B78ED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pct"/>
                  <w:noWrap w:val="0"/>
                  <w:vAlign w:val="center"/>
                </w:tcPr>
                <w:p w14:paraId="5C36881D">
                  <w:pPr>
                    <w:adjustRightInd w:val="0"/>
                    <w:snapToGrid w:val="0"/>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color w:val="000000"/>
                      <w:szCs w:val="21"/>
                    </w:rPr>
                    <w:t>（一）主要目标2023年6月30日前，所有生物质电厂完成超低排放改造，稳定达到江苏省《燃煤电厂大气污染物排放标准》（DB32/ 4148—2021）相关要求。2023年6月26日前，综合运用</w:t>
                  </w:r>
                  <w:r>
                    <w:rPr>
                      <w:rFonts w:hint="eastAsia" w:cs="Times New Roman"/>
                      <w:color w:val="000000"/>
                      <w:szCs w:val="21"/>
                      <w:lang w:eastAsia="zh-CN"/>
                    </w:rPr>
                    <w:t>“</w:t>
                  </w:r>
                  <w:r>
                    <w:rPr>
                      <w:rFonts w:hint="default" w:ascii="Times New Roman" w:hAnsi="Times New Roman" w:eastAsia="宋体" w:cs="Times New Roman"/>
                      <w:color w:val="000000"/>
                      <w:szCs w:val="21"/>
                    </w:rPr>
                    <w:t>生物质改气、改电”等清洁能源替代、集中供热等措施推进生物质锅炉淘汰，保留的生物质锅炉达到江苏省《锅炉大气污染物排放标准》（DB32/ 4385—2022）相关要求。</w:t>
                  </w:r>
                </w:p>
              </w:tc>
              <w:tc>
                <w:tcPr>
                  <w:tcW w:w="1615" w:type="pct"/>
                  <w:vMerge w:val="restart"/>
                  <w:noWrap w:val="0"/>
                  <w:vAlign w:val="center"/>
                </w:tcPr>
                <w:p w14:paraId="71A8C608">
                  <w:pPr>
                    <w:widowControl w:val="0"/>
                    <w:autoSpaceDE/>
                    <w:autoSpaceDN/>
                    <w:adjustRightInd w:val="0"/>
                    <w:snapToGrid w:val="0"/>
                    <w:spacing w:line="240" w:lineRule="auto"/>
                    <w:ind w:firstLine="0"/>
                    <w:jc w:val="center"/>
                    <w:rPr>
                      <w:rFonts w:hint="eastAsia" w:ascii="Times New Roman" w:hAnsi="Times New Roman" w:eastAsia="宋体" w:cs="Times New Roman"/>
                      <w:b w:val="0"/>
                      <w:bCs w:val="0"/>
                      <w:color w:val="000000"/>
                      <w:sz w:val="21"/>
                      <w:szCs w:val="21"/>
                      <w:lang w:eastAsia="zh-CN"/>
                    </w:rPr>
                  </w:pPr>
                  <w:r>
                    <w:rPr>
                      <w:rFonts w:hint="eastAsia" w:ascii="Times New Roman" w:hAnsi="Times New Roman" w:eastAsia="宋体" w:cs="Times New Roman"/>
                      <w:b w:val="0"/>
                      <w:bCs w:val="0"/>
                      <w:color w:val="000000"/>
                      <w:sz w:val="21"/>
                      <w:szCs w:val="21"/>
                      <w:lang w:eastAsia="zh-CN"/>
                    </w:rPr>
                    <w:t>本项目新增备用锅炉为生物质热解气锅炉，对照</w:t>
                  </w:r>
                  <w:r>
                    <w:rPr>
                      <w:rFonts w:hint="default" w:ascii="Times New Roman" w:hAnsi="Times New Roman" w:eastAsia="宋体" w:cs="Times New Roman"/>
                      <w:color w:val="000000"/>
                      <w:szCs w:val="21"/>
                    </w:rPr>
                    <w:t>《锅炉大气污染物排放标准》（DB32/4385—2022）</w:t>
                  </w:r>
                  <w:r>
                    <w:rPr>
                      <w:rFonts w:hint="eastAsia" w:ascii="Times New Roman" w:hAnsi="Times New Roman" w:eastAsia="宋体" w:cs="Times New Roman"/>
                      <w:color w:val="000000"/>
                      <w:szCs w:val="21"/>
                      <w:lang w:eastAsia="zh-CN"/>
                    </w:rPr>
                    <w:t>为燃气锅炉，非生物质锅炉</w:t>
                  </w:r>
                </w:p>
              </w:tc>
              <w:tc>
                <w:tcPr>
                  <w:tcW w:w="565" w:type="pct"/>
                  <w:vMerge w:val="restart"/>
                  <w:noWrap w:val="0"/>
                  <w:vAlign w:val="center"/>
                </w:tcPr>
                <w:p w14:paraId="0CC0D0CC">
                  <w:pPr>
                    <w:numPr>
                      <w:ilvl w:val="-1"/>
                      <w:numId w:val="0"/>
                    </w:numPr>
                    <w:adjustRightInd w:val="0"/>
                    <w:snapToGrid w:val="0"/>
                    <w:spacing w:line="240" w:lineRule="auto"/>
                    <w:ind w:firstLine="0"/>
                    <w:jc w:val="center"/>
                    <w:rPr>
                      <w:rFonts w:hint="default" w:ascii="Times New Roman" w:hAnsi="Times New Roman" w:eastAsia="宋体" w:cs="Times New Roman"/>
                      <w:b w:val="0"/>
                      <w:bCs w:val="0"/>
                      <w:color w:val="000000"/>
                      <w:sz w:val="21"/>
                      <w:szCs w:val="21"/>
                      <w:lang w:eastAsia="zh-CN"/>
                    </w:rPr>
                  </w:pPr>
                  <w:r>
                    <w:rPr>
                      <w:rFonts w:hint="eastAsia" w:ascii="Times New Roman" w:hAnsi="Times New Roman" w:eastAsia="宋体" w:cs="Times New Roman"/>
                      <w:b w:val="0"/>
                      <w:bCs w:val="0"/>
                      <w:color w:val="000000"/>
                      <w:sz w:val="21"/>
                      <w:szCs w:val="21"/>
                      <w:lang w:eastAsia="zh-CN"/>
                    </w:rPr>
                    <w:t>符合</w:t>
                  </w:r>
                </w:p>
              </w:tc>
            </w:tr>
            <w:tr w14:paraId="224412B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pct"/>
                  <w:noWrap w:val="0"/>
                  <w:vAlign w:val="center"/>
                </w:tcPr>
                <w:p w14:paraId="41DBC2E2">
                  <w:pPr>
                    <w:adjustRightInd w:val="0"/>
                    <w:snapToGrid w:val="0"/>
                    <w:spacing w:line="240" w:lineRule="auto"/>
                    <w:ind w:firstLine="0"/>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color w:val="000000"/>
                      <w:szCs w:val="21"/>
                    </w:rPr>
                    <w:t>（二）基本原则坚持统筹协调，全面提升。全面梳理生物质电厂和生物质锅炉分布状况和排放特征，建立详细管理清单。采取综合措施，通过</w:t>
                  </w:r>
                  <w:r>
                    <w:rPr>
                      <w:rFonts w:hint="eastAsia" w:cs="Times New Roman"/>
                      <w:color w:val="000000"/>
                      <w:szCs w:val="21"/>
                      <w:lang w:eastAsia="zh-CN"/>
                    </w:rPr>
                    <w:t>“</w:t>
                  </w:r>
                  <w:r>
                    <w:rPr>
                      <w:rFonts w:hint="default" w:ascii="Times New Roman" w:hAnsi="Times New Roman" w:eastAsia="宋体" w:cs="Times New Roman"/>
                      <w:color w:val="000000"/>
                      <w:szCs w:val="21"/>
                    </w:rPr>
                    <w:t>落后淘汰一批、清洁替代一批、超低改造一批”，推进我省生物质电厂和生物质锅炉全面转型升级，推动企业绿色发展。坚持突出重点，有序推进。以改善大气环境质量为核心，率先推进城市建成区内生物质电厂和生物质锅炉超低排放改造、清洁能源替代和集中供热淘汰，逐步推进建成区外木材加工、农产品烘干、浴室等小型生物质锅炉采用电能、太阳能等清洁能源替代。坚持超低排放，友好减排。严格执行生物质电厂、生物质锅炉超低排放要求，强化全过程管理，鼓励相关企业在超低排放基础上提标改造，进一步开展友好减排。坚持企业主体，政府引导。强化企业主体责任，加大资金投入，严把工程质量，加强运行管理。发挥政府引导作用，形成有效约束和激励，增强服务意识，加大资金支持，帮助企业制定综合治理方案。</w:t>
                  </w:r>
                </w:p>
              </w:tc>
              <w:tc>
                <w:tcPr>
                  <w:tcW w:w="1615" w:type="pct"/>
                  <w:vMerge w:val="continue"/>
                  <w:noWrap w:val="0"/>
                  <w:vAlign w:val="center"/>
                </w:tcPr>
                <w:p w14:paraId="35F0D49E">
                  <w:pPr>
                    <w:numPr>
                      <w:ilvl w:val="-1"/>
                      <w:numId w:val="0"/>
                    </w:numPr>
                    <w:adjustRightInd w:val="0"/>
                    <w:snapToGrid w:val="0"/>
                    <w:spacing w:line="240" w:lineRule="auto"/>
                    <w:ind w:firstLine="0" w:firstLineChars="0"/>
                    <w:jc w:val="center"/>
                    <w:rPr>
                      <w:rFonts w:hint="default" w:ascii="Times New Roman" w:hAnsi="Times New Roman" w:eastAsia="宋体" w:cs="Times New Roman"/>
                      <w:b w:val="0"/>
                      <w:bCs w:val="0"/>
                      <w:color w:val="000000"/>
                      <w:sz w:val="21"/>
                      <w:szCs w:val="21"/>
                      <w:lang w:val="en-US" w:eastAsia="zh-CN"/>
                    </w:rPr>
                  </w:pPr>
                </w:p>
              </w:tc>
              <w:tc>
                <w:tcPr>
                  <w:tcW w:w="565" w:type="pct"/>
                  <w:vMerge w:val="continue"/>
                  <w:noWrap w:val="0"/>
                  <w:vAlign w:val="center"/>
                </w:tcPr>
                <w:p w14:paraId="29B5EB0F">
                  <w:pPr>
                    <w:adjustRightInd w:val="0"/>
                    <w:snapToGrid w:val="0"/>
                    <w:spacing w:line="240" w:lineRule="auto"/>
                    <w:ind w:firstLine="0"/>
                    <w:jc w:val="center"/>
                    <w:rPr>
                      <w:rFonts w:hint="default" w:ascii="Times New Roman" w:hAnsi="Times New Roman" w:eastAsia="宋体" w:cs="Times New Roman"/>
                      <w:b w:val="0"/>
                      <w:bCs w:val="0"/>
                      <w:color w:val="000000"/>
                      <w:sz w:val="21"/>
                      <w:szCs w:val="21"/>
                      <w:lang w:eastAsia="zh-CN"/>
                    </w:rPr>
                  </w:pPr>
                </w:p>
              </w:tc>
            </w:tr>
            <w:tr w14:paraId="7F5664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00" w:type="pct"/>
                  <w:gridSpan w:val="3"/>
                  <w:noWrap w:val="0"/>
                  <w:vAlign w:val="center"/>
                </w:tcPr>
                <w:p w14:paraId="44A74A54">
                  <w:pPr>
                    <w:adjustRightInd w:val="0"/>
                    <w:snapToGrid w:val="0"/>
                    <w:spacing w:line="240" w:lineRule="auto"/>
                    <w:ind w:firstLine="0"/>
                    <w:jc w:val="center"/>
                    <w:rPr>
                      <w:rFonts w:hint="eastAsia" w:ascii="Times New Roman" w:hAnsi="Times New Roman" w:eastAsia="宋体" w:cs="Times New Roman"/>
                      <w:b w:val="0"/>
                      <w:bCs w:val="0"/>
                      <w:color w:val="000000"/>
                      <w:sz w:val="21"/>
                      <w:szCs w:val="21"/>
                      <w:lang w:eastAsia="zh-CN"/>
                    </w:rPr>
                  </w:pPr>
                  <w:r>
                    <w:rPr>
                      <w:rFonts w:hint="eastAsia" w:ascii="Times New Roman" w:hAnsi="Times New Roman" w:eastAsia="宋体" w:cs="Times New Roman"/>
                      <w:b w:val="0"/>
                      <w:bCs w:val="0"/>
                      <w:color w:val="000000"/>
                      <w:sz w:val="21"/>
                      <w:szCs w:val="21"/>
                      <w:lang w:eastAsia="zh-CN"/>
                    </w:rPr>
                    <w:t>二、重点任务</w:t>
                  </w:r>
                </w:p>
              </w:tc>
            </w:tr>
            <w:tr w14:paraId="28FA89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pct"/>
                  <w:noWrap w:val="0"/>
                  <w:vAlign w:val="center"/>
                </w:tcPr>
                <w:p w14:paraId="145482C8">
                  <w:pPr>
                    <w:adjustRightInd w:val="0"/>
                    <w:snapToGrid w:val="0"/>
                    <w:spacing w:line="240" w:lineRule="auto"/>
                    <w:ind w:firstLine="0"/>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color w:val="000000"/>
                      <w:szCs w:val="21"/>
                    </w:rPr>
                    <w:t>（一）依法依规制定治理方案。各地对燃生物质企业进行全面排查，全面掌握生物质电厂和生物质锅炉的规模、分布、燃料、炉型、治污设施和污染物排放情况，建立管理台账，制定专项治理方案。生物质电厂和生物质锅炉企业，应按照江苏省相关标准要求，采取治污设施升级、加强无组织排放管理等措施，确保达标排放。严格执行质量、环保、能耗、安全等法规标准，对热效率低下、装备简易落后、无组织排放问题突出、无治理设施、治理设施工艺落后、整改后达不到标准要求的生物质电厂和生物质锅炉企业，依法依规实施停产整治或责令关停。加快推进4蒸吨/小时以下生物质锅炉淘汰工作，优先淘汰由燃煤改烧生物质的锅炉、难以稳定达到标准要求且技术改造成本较高的炉排炉（层燃炉），推广使用燃气锅炉、电锅炉等清洁能源锅炉。</w:t>
                  </w:r>
                </w:p>
              </w:tc>
              <w:tc>
                <w:tcPr>
                  <w:tcW w:w="1615" w:type="pct"/>
                  <w:noWrap w:val="0"/>
                  <w:vAlign w:val="center"/>
                </w:tcPr>
                <w:p w14:paraId="067F6966">
                  <w:pPr>
                    <w:numPr>
                      <w:ilvl w:val="-1"/>
                      <w:numId w:val="0"/>
                    </w:numPr>
                    <w:adjustRightInd w:val="0"/>
                    <w:snapToGrid w:val="0"/>
                    <w:spacing w:line="240" w:lineRule="auto"/>
                    <w:ind w:firstLine="0" w:firstLineChars="0"/>
                    <w:jc w:val="center"/>
                    <w:rPr>
                      <w:rFonts w:hint="default"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lang w:eastAsia="zh-CN"/>
                    </w:rPr>
                    <w:t>本项目新增备用锅炉为</w:t>
                  </w:r>
                  <w:r>
                    <w:rPr>
                      <w:rFonts w:hint="eastAsia" w:ascii="Times New Roman" w:hAnsi="Times New Roman" w:eastAsia="宋体" w:cs="Times New Roman"/>
                      <w:b w:val="0"/>
                      <w:bCs w:val="0"/>
                      <w:color w:val="000000"/>
                      <w:sz w:val="21"/>
                      <w:szCs w:val="21"/>
                      <w:lang w:val="en-US" w:eastAsia="zh-CN"/>
                    </w:rPr>
                    <w:t>10t/h</w:t>
                  </w:r>
                  <w:r>
                    <w:rPr>
                      <w:rFonts w:hint="eastAsia" w:ascii="Times New Roman" w:hAnsi="Times New Roman" w:eastAsia="宋体" w:cs="Times New Roman"/>
                      <w:b w:val="0"/>
                      <w:bCs w:val="0"/>
                      <w:color w:val="000000"/>
                      <w:sz w:val="21"/>
                      <w:szCs w:val="21"/>
                      <w:lang w:eastAsia="zh-CN"/>
                    </w:rPr>
                    <w:t>生物质热解气锅炉，对照</w:t>
                  </w:r>
                  <w:r>
                    <w:rPr>
                      <w:rFonts w:hint="default" w:ascii="Times New Roman" w:hAnsi="Times New Roman" w:eastAsia="宋体" w:cs="Times New Roman"/>
                      <w:color w:val="000000"/>
                      <w:szCs w:val="21"/>
                    </w:rPr>
                    <w:t>《锅炉大气污染物排放标准》（DB32/4385—2022）</w:t>
                  </w:r>
                  <w:r>
                    <w:rPr>
                      <w:rFonts w:hint="eastAsia" w:ascii="Times New Roman" w:hAnsi="Times New Roman" w:eastAsia="宋体" w:cs="Times New Roman"/>
                      <w:color w:val="000000"/>
                      <w:szCs w:val="21"/>
                      <w:lang w:eastAsia="zh-CN"/>
                    </w:rPr>
                    <w:t>为燃气锅炉，非生物质锅炉</w:t>
                  </w:r>
                </w:p>
              </w:tc>
              <w:tc>
                <w:tcPr>
                  <w:tcW w:w="565" w:type="pct"/>
                  <w:noWrap w:val="0"/>
                  <w:vAlign w:val="center"/>
                </w:tcPr>
                <w:p w14:paraId="0703CFD2">
                  <w:pPr>
                    <w:adjustRightInd w:val="0"/>
                    <w:snapToGrid w:val="0"/>
                    <w:spacing w:line="240" w:lineRule="auto"/>
                    <w:ind w:firstLine="0"/>
                    <w:jc w:val="center"/>
                    <w:rPr>
                      <w:rFonts w:hint="default" w:ascii="Times New Roman" w:hAnsi="Times New Roman" w:eastAsia="宋体" w:cs="Times New Roman"/>
                      <w:b w:val="0"/>
                      <w:bCs w:val="0"/>
                      <w:color w:val="000000"/>
                      <w:sz w:val="21"/>
                      <w:szCs w:val="21"/>
                      <w:lang w:eastAsia="zh-CN"/>
                    </w:rPr>
                  </w:pPr>
                  <w:r>
                    <w:rPr>
                      <w:rFonts w:hint="eastAsia" w:ascii="Times New Roman" w:hAnsi="Times New Roman" w:eastAsia="宋体" w:cs="Times New Roman"/>
                      <w:b w:val="0"/>
                      <w:bCs w:val="0"/>
                      <w:color w:val="000000"/>
                      <w:sz w:val="21"/>
                      <w:szCs w:val="21"/>
                      <w:lang w:eastAsia="zh-CN"/>
                    </w:rPr>
                    <w:t>符合</w:t>
                  </w:r>
                </w:p>
              </w:tc>
            </w:tr>
            <w:tr w14:paraId="7CAC511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pct"/>
                  <w:noWrap w:val="0"/>
                  <w:vAlign w:val="center"/>
                </w:tcPr>
                <w:p w14:paraId="722145FF">
                  <w:pPr>
                    <w:adjustRightInd w:val="0"/>
                    <w:snapToGrid w:val="0"/>
                    <w:spacing w:line="240" w:lineRule="auto"/>
                    <w:ind w:firstLine="0"/>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color w:val="000000"/>
                      <w:szCs w:val="21"/>
                    </w:rPr>
                    <w:t>（二）积极有序推进超低排放。引导树立生物质电厂和生物质锅炉企业标杆，加强对企业服务和指导，帮助企业合理选择改造技术路线，分区域、分时段科学有序推进生物质电厂和锅炉超低排放改造，确保2023年6月底前全部完成综合治理任务。使用生物锅炉企业应以农林生物质燃料为燃料，采用专用生物质成型燃料锅炉燃烧。烟气脱硝推荐采用选择性非催化还原（SNCR）+低氮燃烧等高效脱硝工艺，全面淘汰</w:t>
                  </w:r>
                  <w:r>
                    <w:rPr>
                      <w:rFonts w:hint="eastAsia" w:cs="Times New Roman"/>
                      <w:color w:val="000000"/>
                      <w:szCs w:val="21"/>
                      <w:lang w:eastAsia="zh-CN"/>
                    </w:rPr>
                    <w:t>“</w:t>
                  </w:r>
                  <w:r>
                    <w:rPr>
                      <w:rFonts w:hint="default" w:ascii="Times New Roman" w:hAnsi="Times New Roman" w:eastAsia="宋体" w:cs="Times New Roman"/>
                      <w:color w:val="000000"/>
                      <w:szCs w:val="21"/>
                    </w:rPr>
                    <w:t>氧化脱硝”工艺；烟气除尘推荐采用覆膜滤料袋式除尘器、滤筒除尘器等先进工艺；烟气脱硫推荐采用干法或半干法脱硫。严格控制风量配比，避免或消除漏风现象。产尘点应按照</w:t>
                  </w:r>
                  <w:r>
                    <w:rPr>
                      <w:rFonts w:hint="eastAsia" w:cs="Times New Roman"/>
                      <w:color w:val="000000"/>
                      <w:szCs w:val="21"/>
                      <w:lang w:eastAsia="zh-CN"/>
                    </w:rPr>
                    <w:t>“</w:t>
                  </w:r>
                  <w:r>
                    <w:rPr>
                      <w:rFonts w:hint="default" w:ascii="Times New Roman" w:hAnsi="Times New Roman" w:eastAsia="宋体" w:cs="Times New Roman"/>
                      <w:color w:val="000000"/>
                      <w:szCs w:val="21"/>
                    </w:rPr>
                    <w:t>应收尽收”原则配置废气收集设施，确保收集治理设施与生产工艺设备同步运转。</w:t>
                  </w:r>
                </w:p>
              </w:tc>
              <w:tc>
                <w:tcPr>
                  <w:tcW w:w="1615" w:type="pct"/>
                  <w:noWrap w:val="0"/>
                  <w:vAlign w:val="center"/>
                </w:tcPr>
                <w:p w14:paraId="6D980258">
                  <w:pPr>
                    <w:numPr>
                      <w:ilvl w:val="-1"/>
                      <w:numId w:val="0"/>
                    </w:numPr>
                    <w:adjustRightInd w:val="0"/>
                    <w:snapToGrid w:val="0"/>
                    <w:spacing w:line="240" w:lineRule="auto"/>
                    <w:ind w:firstLine="0" w:firstLineChars="0"/>
                    <w:jc w:val="center"/>
                    <w:rPr>
                      <w:rFonts w:hint="default" w:ascii="Times New Roman" w:hAnsi="Times New Roman" w:eastAsia="宋体" w:cs="Times New Roman"/>
                      <w:b w:val="0"/>
                      <w:bCs w:val="0"/>
                      <w:color w:val="000000"/>
                      <w:sz w:val="21"/>
                      <w:szCs w:val="21"/>
                      <w:lang w:val="en-US"/>
                    </w:rPr>
                  </w:pPr>
                  <w:r>
                    <w:rPr>
                      <w:rFonts w:hint="eastAsia" w:ascii="Times New Roman" w:hAnsi="Times New Roman" w:eastAsia="宋体" w:cs="Times New Roman"/>
                      <w:b w:val="0"/>
                      <w:bCs w:val="0"/>
                      <w:color w:val="000000"/>
                      <w:sz w:val="21"/>
                      <w:szCs w:val="21"/>
                      <w:lang w:eastAsia="zh-CN"/>
                    </w:rPr>
                    <w:t>本项目新增备用锅炉为</w:t>
                  </w:r>
                  <w:r>
                    <w:rPr>
                      <w:rFonts w:hint="eastAsia" w:ascii="Times New Roman" w:hAnsi="Times New Roman" w:eastAsia="宋体" w:cs="Times New Roman"/>
                      <w:b w:val="0"/>
                      <w:bCs w:val="0"/>
                      <w:color w:val="000000"/>
                      <w:sz w:val="21"/>
                      <w:szCs w:val="21"/>
                      <w:lang w:val="en-US" w:eastAsia="zh-CN"/>
                    </w:rPr>
                    <w:t>10t/h</w:t>
                  </w:r>
                  <w:r>
                    <w:rPr>
                      <w:rFonts w:hint="eastAsia" w:ascii="Times New Roman" w:hAnsi="Times New Roman" w:eastAsia="宋体" w:cs="Times New Roman"/>
                      <w:b w:val="0"/>
                      <w:bCs w:val="0"/>
                      <w:color w:val="000000"/>
                      <w:sz w:val="21"/>
                      <w:szCs w:val="21"/>
                      <w:lang w:eastAsia="zh-CN"/>
                    </w:rPr>
                    <w:t>生物质热解气锅炉，对照</w:t>
                  </w:r>
                  <w:r>
                    <w:rPr>
                      <w:rFonts w:hint="default" w:ascii="Times New Roman" w:hAnsi="Times New Roman" w:eastAsia="宋体" w:cs="Times New Roman"/>
                      <w:color w:val="000000"/>
                      <w:szCs w:val="21"/>
                    </w:rPr>
                    <w:t>《锅炉大气污染物排放标准》（DB32/4385—2022）</w:t>
                  </w:r>
                  <w:r>
                    <w:rPr>
                      <w:rFonts w:hint="eastAsia" w:ascii="Times New Roman" w:hAnsi="Times New Roman" w:eastAsia="宋体" w:cs="Times New Roman"/>
                      <w:color w:val="000000"/>
                      <w:szCs w:val="21"/>
                      <w:lang w:eastAsia="zh-CN"/>
                    </w:rPr>
                    <w:t>为燃气锅炉，非生物质锅炉。燃烧废气经低氮燃烧</w:t>
                  </w:r>
                  <w:r>
                    <w:rPr>
                      <w:rFonts w:hint="eastAsia" w:ascii="Times New Roman" w:hAnsi="Times New Roman" w:eastAsia="宋体" w:cs="Times New Roman"/>
                      <w:color w:val="000000"/>
                      <w:szCs w:val="21"/>
                      <w:lang w:val="en-US" w:eastAsia="zh-CN"/>
                    </w:rPr>
                    <w:t>+SCR+袋式除尘器+SDA旋转喷雾干燥法处理后通过15m排气筒达标排放</w:t>
                  </w:r>
                </w:p>
              </w:tc>
              <w:tc>
                <w:tcPr>
                  <w:tcW w:w="565" w:type="pct"/>
                  <w:noWrap w:val="0"/>
                  <w:vAlign w:val="center"/>
                </w:tcPr>
                <w:p w14:paraId="7F5378C8">
                  <w:pPr>
                    <w:adjustRightInd w:val="0"/>
                    <w:snapToGrid w:val="0"/>
                    <w:spacing w:line="240" w:lineRule="auto"/>
                    <w:ind w:firstLine="0"/>
                    <w:jc w:val="center"/>
                    <w:rPr>
                      <w:rFonts w:hint="default" w:ascii="Times New Roman" w:hAnsi="Times New Roman" w:eastAsia="宋体" w:cs="Times New Roman"/>
                      <w:b w:val="0"/>
                      <w:bCs w:val="0"/>
                      <w:color w:val="000000"/>
                      <w:sz w:val="21"/>
                      <w:szCs w:val="21"/>
                      <w:lang w:eastAsia="zh-CN"/>
                    </w:rPr>
                  </w:pPr>
                  <w:r>
                    <w:rPr>
                      <w:rFonts w:hint="eastAsia" w:ascii="Times New Roman" w:hAnsi="Times New Roman" w:eastAsia="宋体" w:cs="Times New Roman"/>
                      <w:b w:val="0"/>
                      <w:bCs w:val="0"/>
                      <w:color w:val="000000"/>
                      <w:sz w:val="21"/>
                      <w:szCs w:val="21"/>
                      <w:lang w:eastAsia="zh-CN"/>
                    </w:rPr>
                    <w:t>符合</w:t>
                  </w:r>
                </w:p>
              </w:tc>
            </w:tr>
            <w:tr w14:paraId="5A9AB1C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pct"/>
                  <w:noWrap w:val="0"/>
                  <w:vAlign w:val="center"/>
                </w:tcPr>
                <w:p w14:paraId="70CCC0F9">
                  <w:pPr>
                    <w:adjustRightInd w:val="0"/>
                    <w:snapToGrid w:val="0"/>
                    <w:spacing w:line="240" w:lineRule="auto"/>
                    <w:ind w:firstLine="0"/>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color w:val="000000"/>
                      <w:szCs w:val="21"/>
                    </w:rPr>
                    <w:t>（三）全面加强无组织管控。企业应严格控制生产工艺过程及相关物料储存、输送等无组织排放，在保障生产安全的前提下，采取密闭、封闭等有效措施，有效提高废气收集率，产尘点及车间不得有可见烟粉尘外逸。生产工艺产尘点（装置）应采取密闭、封闭或设置集气罩等措施。除尘灰、</w:t>
                  </w:r>
                  <w:r>
                    <w:rPr>
                      <w:rFonts w:hint="eastAsia" w:cs="Times New Roman"/>
                      <w:color w:val="000000"/>
                      <w:szCs w:val="21"/>
                      <w:lang w:eastAsia="zh-CN"/>
                    </w:rPr>
                    <w:t>炉渣</w:t>
                  </w:r>
                  <w:r>
                    <w:rPr>
                      <w:rFonts w:hint="default" w:ascii="Times New Roman" w:hAnsi="Times New Roman" w:eastAsia="宋体" w:cs="Times New Roman"/>
                      <w:color w:val="000000"/>
                      <w:szCs w:val="21"/>
                    </w:rPr>
                    <w:t>等粉状物料应密闭或封闭储存，采用密闭皮带、封闭通廊、管状带式输送机或密闭车厢、真空罐车、气力输送等方式输送。</w:t>
                  </w:r>
                  <w:r>
                    <w:rPr>
                      <w:rFonts w:hint="eastAsia" w:cs="Times New Roman"/>
                      <w:color w:val="000000"/>
                      <w:szCs w:val="21"/>
                      <w:lang w:eastAsia="zh-CN"/>
                    </w:rPr>
                    <w:t>生物质燃料</w:t>
                  </w:r>
                  <w:r>
                    <w:rPr>
                      <w:rFonts w:hint="default" w:ascii="Times New Roman" w:hAnsi="Times New Roman" w:eastAsia="宋体" w:cs="Times New Roman"/>
                      <w:color w:val="000000"/>
                      <w:szCs w:val="21"/>
                    </w:rPr>
                    <w:t>等粒状、块状物料应采用入棚入仓或建设防风抑尘网等方式进行储存，粒状物料采用密闭、封闭等方式输送。在保障生产安全的前提下，通风口、进料口、出渣口等产尘点及车间应采取密闭、封闭等有效措施，不得有可见烟粉尘外逸。如因安全生产等要求无法密闭、封闭的，应采取其他污染控制措施。物料输送过程中产尘点应采取有效抑尘措施。生产现场出口应设置车轮清洗和车身清洁设施，或采取其他有效抑尘措施。</w:t>
                  </w:r>
                </w:p>
              </w:tc>
              <w:tc>
                <w:tcPr>
                  <w:tcW w:w="1615" w:type="pct"/>
                  <w:noWrap w:val="0"/>
                  <w:vAlign w:val="center"/>
                </w:tcPr>
                <w:p w14:paraId="33E5160C">
                  <w:pPr>
                    <w:numPr>
                      <w:ilvl w:val="-1"/>
                      <w:numId w:val="0"/>
                    </w:numPr>
                    <w:adjustRightInd w:val="0"/>
                    <w:snapToGrid w:val="0"/>
                    <w:spacing w:line="240" w:lineRule="auto"/>
                    <w:ind w:firstLine="0" w:firstLineChars="0"/>
                    <w:jc w:val="center"/>
                    <w:rPr>
                      <w:rFonts w:hint="eastAsia" w:ascii="Times New Roman" w:hAnsi="Times New Roman" w:eastAsia="宋体" w:cs="Times New Roman"/>
                      <w:b w:val="0"/>
                      <w:bCs w:val="0"/>
                      <w:color w:val="000000"/>
                      <w:sz w:val="21"/>
                      <w:szCs w:val="21"/>
                      <w:lang w:eastAsia="zh-CN"/>
                    </w:rPr>
                  </w:pPr>
                  <w:r>
                    <w:rPr>
                      <w:rFonts w:hint="eastAsia" w:ascii="Times New Roman" w:hAnsi="Times New Roman" w:eastAsia="宋体" w:cs="Times New Roman"/>
                      <w:b w:val="0"/>
                      <w:bCs w:val="0"/>
                      <w:color w:val="000000"/>
                      <w:sz w:val="21"/>
                      <w:szCs w:val="21"/>
                      <w:lang w:eastAsia="zh-CN"/>
                    </w:rPr>
                    <w:t>热解过程产生的</w:t>
                  </w:r>
                  <w:r>
                    <w:rPr>
                      <w:rFonts w:hint="eastAsia" w:cs="Times New Roman"/>
                      <w:b w:val="0"/>
                      <w:bCs w:val="0"/>
                      <w:color w:val="000000"/>
                      <w:sz w:val="21"/>
                      <w:szCs w:val="21"/>
                      <w:lang w:eastAsia="zh-CN"/>
                    </w:rPr>
                    <w:t>炉渣</w:t>
                  </w:r>
                  <w:r>
                    <w:rPr>
                      <w:rFonts w:hint="eastAsia" w:ascii="Times New Roman" w:hAnsi="Times New Roman" w:eastAsia="宋体" w:cs="Times New Roman"/>
                      <w:b w:val="0"/>
                      <w:bCs w:val="0"/>
                      <w:color w:val="000000"/>
                      <w:sz w:val="21"/>
                      <w:szCs w:val="21"/>
                      <w:lang w:eastAsia="zh-CN"/>
                    </w:rPr>
                    <w:t>经排渣口排出后密闭收集，存储与固废仓库中；生物质颗粒储存过程中上方铺设防风抑尘网，投料过程中，由于粒径较大，投料粉尘忽略不计。</w:t>
                  </w:r>
                </w:p>
              </w:tc>
              <w:tc>
                <w:tcPr>
                  <w:tcW w:w="565" w:type="pct"/>
                  <w:noWrap w:val="0"/>
                  <w:vAlign w:val="center"/>
                </w:tcPr>
                <w:p w14:paraId="5DBD346D">
                  <w:pPr>
                    <w:adjustRightInd w:val="0"/>
                    <w:snapToGrid w:val="0"/>
                    <w:spacing w:line="240" w:lineRule="auto"/>
                    <w:ind w:firstLine="0"/>
                    <w:jc w:val="center"/>
                    <w:rPr>
                      <w:rFonts w:hint="default" w:ascii="Times New Roman" w:hAnsi="Times New Roman" w:eastAsia="宋体" w:cs="Times New Roman"/>
                      <w:b w:val="0"/>
                      <w:bCs w:val="0"/>
                      <w:color w:val="000000"/>
                      <w:sz w:val="21"/>
                      <w:szCs w:val="21"/>
                      <w:lang w:eastAsia="zh-CN"/>
                    </w:rPr>
                  </w:pPr>
                  <w:r>
                    <w:rPr>
                      <w:rFonts w:hint="eastAsia" w:ascii="Times New Roman" w:hAnsi="Times New Roman" w:eastAsia="宋体" w:cs="Times New Roman"/>
                      <w:b w:val="0"/>
                      <w:bCs w:val="0"/>
                      <w:color w:val="000000"/>
                      <w:sz w:val="21"/>
                      <w:szCs w:val="21"/>
                      <w:lang w:eastAsia="zh-CN"/>
                    </w:rPr>
                    <w:t>符合</w:t>
                  </w:r>
                </w:p>
              </w:tc>
            </w:tr>
            <w:tr w14:paraId="3B16E7F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pct"/>
                  <w:noWrap w:val="0"/>
                  <w:vAlign w:val="center"/>
                </w:tcPr>
                <w:p w14:paraId="311F7F33">
                  <w:pPr>
                    <w:adjustRightInd w:val="0"/>
                    <w:snapToGrid w:val="0"/>
                    <w:spacing w:line="240" w:lineRule="auto"/>
                    <w:ind w:firstLine="0"/>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四）开展掺烧专项整治。生物质电厂和生物质锅炉，严禁掺烧沥青、油毡、橡胶、塑料、皮革、城镇生活垃圾、工业固体废物及其他有害废弃物，以及煤炭、煤矸石等化石燃料。生物质燃料的原料须为农林剩余物，包括农作物秸秆（玉米秆、水稻秆、小麦秆、棉花秆、油料作物秸秆等）、农产品加工剩余物（花生壳、稻谷壳、果壳、甘蔗渣、糠醛渣等）及林业</w:t>
                  </w:r>
                  <w:r>
                    <w:rPr>
                      <w:rFonts w:hint="eastAsia" w:cs="Times New Roman"/>
                      <w:color w:val="000000"/>
                      <w:szCs w:val="21"/>
                      <w:lang w:eastAsia="zh-CN"/>
                    </w:rPr>
                    <w:t>“</w:t>
                  </w:r>
                  <w:r>
                    <w:rPr>
                      <w:rFonts w:hint="default" w:ascii="Times New Roman" w:hAnsi="Times New Roman" w:eastAsia="宋体" w:cs="Times New Roman"/>
                      <w:color w:val="000000"/>
                      <w:szCs w:val="21"/>
                    </w:rPr>
                    <w:t>三剩物”（抚育剩余物、采伐剩余物、加工剩余物）。推广使用破碎率不超过5％、水分不超过18％、灰分不超过8％、硫含量不超过0.1％、氮含量不超过0.5％的生物质成型燃料。各地应结合烟气在线监测异常数据，对生物质电厂和锅炉企业的送料、料仓、上料、进料、</w:t>
                  </w:r>
                  <w:r>
                    <w:rPr>
                      <w:rFonts w:hint="eastAsia" w:cs="Times New Roman"/>
                      <w:color w:val="000000"/>
                      <w:szCs w:val="21"/>
                      <w:lang w:eastAsia="zh-CN"/>
                    </w:rPr>
                    <w:t>炉渣</w:t>
                  </w:r>
                  <w:r>
                    <w:rPr>
                      <w:rFonts w:hint="default" w:ascii="Times New Roman" w:hAnsi="Times New Roman" w:eastAsia="宋体" w:cs="Times New Roman"/>
                      <w:color w:val="000000"/>
                      <w:szCs w:val="21"/>
                    </w:rPr>
                    <w:t>、污染物排放等关键环节开展现场检查，检查企业运行台账记录，重点核查燃料进货、燃料库存、燃料入炉、发电量、供热量等情况。对查实存在掺烧其他物料的企业，由生态环境主管部门责令改正，并将相关情况通报发改等部门。</w:t>
                  </w:r>
                </w:p>
              </w:tc>
              <w:tc>
                <w:tcPr>
                  <w:tcW w:w="1615" w:type="pct"/>
                  <w:noWrap w:val="0"/>
                  <w:vAlign w:val="center"/>
                </w:tcPr>
                <w:p w14:paraId="3F25B430">
                  <w:pPr>
                    <w:numPr>
                      <w:ilvl w:val="-1"/>
                      <w:numId w:val="0"/>
                    </w:numPr>
                    <w:adjustRightInd w:val="0"/>
                    <w:snapToGrid w:val="0"/>
                    <w:spacing w:line="240" w:lineRule="auto"/>
                    <w:ind w:firstLine="0" w:firstLineChars="0"/>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eastAsia="zh-CN"/>
                    </w:rPr>
                    <w:t>本项目采用成型林业生物质颗粒作为燃料，根据附件</w:t>
                  </w:r>
                  <w:r>
                    <w:rPr>
                      <w:rFonts w:hint="eastAsia" w:ascii="Times New Roman" w:hAnsi="Times New Roman" w:eastAsia="宋体" w:cs="Times New Roman"/>
                      <w:b w:val="0"/>
                      <w:bCs w:val="0"/>
                      <w:color w:val="000000"/>
                      <w:sz w:val="21"/>
                      <w:szCs w:val="21"/>
                      <w:lang w:val="en-US" w:eastAsia="zh-CN"/>
                    </w:rPr>
                    <w:t>10，本项目生物质颗粒符合</w:t>
                  </w:r>
                  <w:r>
                    <w:rPr>
                      <w:rFonts w:hint="eastAsia" w:cs="Times New Roman"/>
                      <w:b w:val="0"/>
                      <w:bCs w:val="0"/>
                      <w:color w:val="000000"/>
                      <w:sz w:val="21"/>
                      <w:szCs w:val="21"/>
                      <w:lang w:val="en-US" w:eastAsia="zh-CN"/>
                    </w:rPr>
                    <w:t>“</w:t>
                  </w:r>
                  <w:r>
                    <w:rPr>
                      <w:rFonts w:hint="eastAsia"/>
                      <w:color w:val="000000"/>
                      <w:szCs w:val="21"/>
                    </w:rPr>
                    <w:t>破碎率不超过5％、水分不超过18％、灰分不超过8％、硫含量不超过0.1％、氮含量不超过0.5％的生物质成型燃料</w:t>
                  </w:r>
                  <w:r>
                    <w:rPr>
                      <w:rFonts w:hint="eastAsia" w:ascii="Times New Roman" w:hAnsi="Times New Roman" w:eastAsia="宋体" w:cs="Times New Roman"/>
                      <w:b w:val="0"/>
                      <w:bCs w:val="0"/>
                      <w:color w:val="000000"/>
                      <w:sz w:val="21"/>
                      <w:szCs w:val="21"/>
                      <w:lang w:val="en-US" w:eastAsia="zh-CN"/>
                    </w:rPr>
                    <w:t>”</w:t>
                  </w:r>
                </w:p>
              </w:tc>
              <w:tc>
                <w:tcPr>
                  <w:tcW w:w="565" w:type="pct"/>
                  <w:noWrap w:val="0"/>
                  <w:vAlign w:val="center"/>
                </w:tcPr>
                <w:p w14:paraId="62531B38">
                  <w:pPr>
                    <w:adjustRightInd w:val="0"/>
                    <w:snapToGrid w:val="0"/>
                    <w:spacing w:line="240" w:lineRule="auto"/>
                    <w:ind w:firstLine="0"/>
                    <w:jc w:val="center"/>
                    <w:rPr>
                      <w:rFonts w:hint="default" w:ascii="Times New Roman" w:hAnsi="Times New Roman" w:eastAsia="宋体" w:cs="Times New Roman"/>
                      <w:b w:val="0"/>
                      <w:bCs w:val="0"/>
                      <w:color w:val="000000"/>
                      <w:sz w:val="21"/>
                      <w:szCs w:val="21"/>
                      <w:lang w:eastAsia="zh-CN"/>
                    </w:rPr>
                  </w:pPr>
                  <w:r>
                    <w:rPr>
                      <w:rFonts w:hint="eastAsia" w:ascii="Times New Roman" w:hAnsi="Times New Roman" w:eastAsia="宋体" w:cs="Times New Roman"/>
                      <w:b w:val="0"/>
                      <w:bCs w:val="0"/>
                      <w:color w:val="000000"/>
                      <w:sz w:val="21"/>
                      <w:szCs w:val="21"/>
                      <w:lang w:eastAsia="zh-CN"/>
                    </w:rPr>
                    <w:t>符合</w:t>
                  </w:r>
                </w:p>
              </w:tc>
            </w:tr>
            <w:tr w14:paraId="54830E8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pct"/>
                  <w:noWrap w:val="0"/>
                  <w:vAlign w:val="center"/>
                </w:tcPr>
                <w:p w14:paraId="39066E5E">
                  <w:pPr>
                    <w:adjustRightInd w:val="0"/>
                    <w:snapToGrid w:val="0"/>
                    <w:spacing w:line="240" w:lineRule="auto"/>
                    <w:ind w:firstLine="0"/>
                    <w:jc w:val="center"/>
                    <w:rPr>
                      <w:rFonts w:hint="default" w:ascii="Times New Roman" w:hAnsi="Times New Roman" w:eastAsia="宋体" w:cs="Times New Roman"/>
                      <w:color w:val="000000"/>
                      <w:szCs w:val="21"/>
                    </w:rPr>
                  </w:pPr>
                  <w:r>
                    <w:rPr>
                      <w:rFonts w:hint="default"/>
                      <w:color w:val="000000"/>
                      <w:szCs w:val="21"/>
                    </w:rPr>
                    <w:t>（五）建立健全监测监控。严格按照排污许可管理规定和环评批复要求等安装和运行自动监控设施。加快推进4蒸吨/小时及以上生物质锅炉安装大气污染物自动监控设施，并与当地生态环境主管部门联网。具备条件的生物质电厂和生物质锅炉企业，应通过分布式控制系统（DCS）等，记录设施运行及相关生产过程主要参数。生物质电厂和生物质锅炉企业料场堆场、进料口、出渣口、</w:t>
                  </w:r>
                  <w:r>
                    <w:rPr>
                      <w:rFonts w:hint="eastAsia"/>
                      <w:color w:val="000000"/>
                      <w:szCs w:val="21"/>
                      <w:lang w:eastAsia="zh-CN"/>
                    </w:rPr>
                    <w:t>炉渣</w:t>
                  </w:r>
                  <w:r>
                    <w:rPr>
                      <w:rFonts w:hint="default"/>
                      <w:color w:val="000000"/>
                      <w:szCs w:val="21"/>
                    </w:rPr>
                    <w:t>厂等应安装视频监控设施。自动监控数据至少保存3年以上，视频监控数据至少保存6个月以上。强化监测数据质量控制，重点加大对浓度长期无明显波动、数据长期处于低位、相关参数发生突变等异常数据的核实及调查处理。</w:t>
                  </w:r>
                </w:p>
              </w:tc>
              <w:tc>
                <w:tcPr>
                  <w:tcW w:w="1615" w:type="pct"/>
                  <w:noWrap w:val="0"/>
                  <w:vAlign w:val="center"/>
                </w:tcPr>
                <w:p w14:paraId="2704B81E">
                  <w:pPr>
                    <w:numPr>
                      <w:ilvl w:val="-1"/>
                      <w:numId w:val="0"/>
                    </w:numPr>
                    <w:adjustRightInd w:val="0"/>
                    <w:snapToGrid w:val="0"/>
                    <w:spacing w:line="240" w:lineRule="auto"/>
                    <w:ind w:firstLine="0" w:firstLineChars="0"/>
                    <w:jc w:val="center"/>
                    <w:rPr>
                      <w:rFonts w:hint="default"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lang w:eastAsia="zh-CN"/>
                    </w:rPr>
                    <w:t>本项目新增备用锅炉为</w:t>
                  </w:r>
                  <w:r>
                    <w:rPr>
                      <w:rFonts w:hint="eastAsia" w:ascii="Times New Roman" w:hAnsi="Times New Roman" w:eastAsia="宋体" w:cs="Times New Roman"/>
                      <w:b w:val="0"/>
                      <w:bCs w:val="0"/>
                      <w:color w:val="000000"/>
                      <w:sz w:val="21"/>
                      <w:szCs w:val="21"/>
                      <w:lang w:val="en-US" w:eastAsia="zh-CN"/>
                    </w:rPr>
                    <w:t>10t/h</w:t>
                  </w:r>
                  <w:r>
                    <w:rPr>
                      <w:rFonts w:hint="eastAsia" w:ascii="Times New Roman" w:hAnsi="Times New Roman" w:eastAsia="宋体" w:cs="Times New Roman"/>
                      <w:b w:val="0"/>
                      <w:bCs w:val="0"/>
                      <w:color w:val="000000"/>
                      <w:sz w:val="21"/>
                      <w:szCs w:val="21"/>
                      <w:lang w:eastAsia="zh-CN"/>
                    </w:rPr>
                    <w:t>生物质热解气锅炉，对照</w:t>
                  </w:r>
                  <w:r>
                    <w:rPr>
                      <w:rFonts w:hint="default" w:ascii="Times New Roman" w:hAnsi="Times New Roman" w:eastAsia="宋体" w:cs="Times New Roman"/>
                      <w:color w:val="000000"/>
                      <w:szCs w:val="21"/>
                    </w:rPr>
                    <w:t>《锅炉大气污染物排放标准》（DB32/4385—2022）</w:t>
                  </w:r>
                  <w:r>
                    <w:rPr>
                      <w:rFonts w:hint="eastAsia" w:ascii="Times New Roman" w:hAnsi="Times New Roman" w:eastAsia="宋体" w:cs="Times New Roman"/>
                      <w:color w:val="000000"/>
                      <w:szCs w:val="21"/>
                      <w:lang w:eastAsia="zh-CN"/>
                    </w:rPr>
                    <w:t>为燃气锅炉，非生物质锅炉。燃烧废气经低氮燃烧</w:t>
                  </w:r>
                  <w:r>
                    <w:rPr>
                      <w:rFonts w:hint="eastAsia" w:ascii="Times New Roman" w:hAnsi="Times New Roman" w:eastAsia="宋体" w:cs="Times New Roman"/>
                      <w:color w:val="000000"/>
                      <w:szCs w:val="21"/>
                      <w:lang w:val="en-US" w:eastAsia="zh-CN"/>
                    </w:rPr>
                    <w:t>+SCR+袋式除尘器+SDA旋转喷雾干燥法处理后通过15m排气筒达标排放</w:t>
                  </w:r>
                </w:p>
              </w:tc>
              <w:tc>
                <w:tcPr>
                  <w:tcW w:w="565" w:type="pct"/>
                  <w:noWrap w:val="0"/>
                  <w:vAlign w:val="center"/>
                </w:tcPr>
                <w:p w14:paraId="054198F7">
                  <w:pPr>
                    <w:adjustRightInd w:val="0"/>
                    <w:snapToGrid w:val="0"/>
                    <w:spacing w:line="240" w:lineRule="auto"/>
                    <w:ind w:firstLine="0"/>
                    <w:jc w:val="center"/>
                    <w:rPr>
                      <w:rFonts w:hint="default" w:ascii="Times New Roman" w:hAnsi="Times New Roman" w:eastAsia="宋体" w:cs="Times New Roman"/>
                      <w:b w:val="0"/>
                      <w:bCs w:val="0"/>
                      <w:color w:val="000000"/>
                      <w:sz w:val="21"/>
                      <w:szCs w:val="21"/>
                      <w:lang w:eastAsia="zh-CN"/>
                    </w:rPr>
                  </w:pPr>
                  <w:r>
                    <w:rPr>
                      <w:rFonts w:hint="eastAsia" w:ascii="Times New Roman" w:hAnsi="Times New Roman" w:eastAsia="宋体" w:cs="Times New Roman"/>
                      <w:b w:val="0"/>
                      <w:bCs w:val="0"/>
                      <w:color w:val="000000"/>
                      <w:sz w:val="21"/>
                      <w:szCs w:val="21"/>
                      <w:lang w:eastAsia="zh-CN"/>
                    </w:rPr>
                    <w:t>符合</w:t>
                  </w:r>
                </w:p>
              </w:tc>
            </w:tr>
            <w:tr w14:paraId="66908A6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3"/>
                  <w:noWrap w:val="0"/>
                  <w:vAlign w:val="center"/>
                </w:tcPr>
                <w:p w14:paraId="06D6666B">
                  <w:pPr>
                    <w:adjustRightInd w:val="0"/>
                    <w:snapToGrid w:val="0"/>
                    <w:spacing w:line="240" w:lineRule="auto"/>
                    <w:ind w:firstLine="0"/>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eastAsia="zh-CN"/>
                    </w:rPr>
                    <w:t>三、政策措施……</w:t>
                  </w:r>
                </w:p>
              </w:tc>
            </w:tr>
          </w:tbl>
          <w:p w14:paraId="1102F850">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cs="Times New Roman"/>
                <w:b/>
                <w:bCs/>
                <w:color w:val="auto"/>
                <w:sz w:val="21"/>
                <w:szCs w:val="21"/>
                <w:lang w:val="en-US" w:eastAsia="zh-CN"/>
              </w:rPr>
            </w:pPr>
            <w:r>
              <w:rPr>
                <w:rFonts w:hint="eastAsia"/>
                <w:lang w:eastAsia="zh-CN"/>
              </w:rPr>
              <w:t>综上，本项目符合</w:t>
            </w:r>
            <w:r>
              <w:rPr>
                <w:rFonts w:hint="eastAsia"/>
              </w:rPr>
              <w:t>《江苏省生物质电厂与锅炉综合治理实施方案</w:t>
            </w:r>
            <w:r>
              <w:rPr>
                <w:rFonts w:hint="eastAsia"/>
                <w:lang w:eastAsia="zh-CN"/>
              </w:rPr>
              <w:t>》文件的相关要求。</w:t>
            </w:r>
          </w:p>
          <w:p w14:paraId="17D75ED9">
            <w:pPr>
              <w:keepNext w:val="0"/>
              <w:keepLines w:val="0"/>
              <w:pageBreakBefore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auto"/>
                <w:lang w:eastAsia="zh-CN"/>
              </w:rPr>
            </w:pPr>
            <w:r>
              <w:rPr>
                <w:rFonts w:hint="eastAsia" w:ascii="Times New Roman" w:hAnsi="Times New Roman" w:eastAsia="宋体" w:cs="Times New Roman"/>
                <w:b/>
                <w:bCs/>
                <w:color w:val="auto"/>
                <w:sz w:val="21"/>
                <w:szCs w:val="21"/>
                <w:lang w:val="en-US" w:eastAsia="zh-CN"/>
              </w:rPr>
              <w:t>（5）</w:t>
            </w:r>
            <w:r>
              <w:rPr>
                <w:rFonts w:hint="default" w:ascii="Times New Roman" w:hAnsi="Times New Roman" w:eastAsia="宋体" w:cs="Times New Roman"/>
                <w:b/>
                <w:bCs/>
                <w:color w:val="auto"/>
                <w:lang w:eastAsia="zh-CN"/>
              </w:rPr>
              <w:t>与</w:t>
            </w:r>
            <w:r>
              <w:rPr>
                <w:rFonts w:hint="default" w:ascii="Times New Roman" w:hAnsi="Times New Roman" w:eastAsia="宋体" w:cs="Times New Roman"/>
                <w:b/>
                <w:bCs/>
                <w:color w:val="auto"/>
              </w:rPr>
              <w:t>《市政府办公室印发《关于进一步促进全市乡镇工业集聚区高质量发展的实施意见》的通知》（通政办发〔2022〕70号）</w:t>
            </w:r>
            <w:r>
              <w:rPr>
                <w:rFonts w:hint="default" w:ascii="Times New Roman" w:hAnsi="Times New Roman" w:eastAsia="宋体" w:cs="Times New Roman"/>
                <w:b/>
                <w:bCs/>
                <w:color w:val="auto"/>
                <w:lang w:eastAsia="zh-CN"/>
              </w:rPr>
              <w:t>相符性分析</w:t>
            </w:r>
          </w:p>
          <w:p w14:paraId="359FAA6A">
            <w:pPr>
              <w:numPr>
                <w:ilvl w:val="0"/>
                <w:numId w:val="0"/>
              </w:numPr>
              <w:bidi w:val="0"/>
              <w:spacing w:line="360" w:lineRule="auto"/>
              <w:ind w:firstLine="420" w:firstLineChars="200"/>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b w:val="0"/>
                <w:bCs/>
                <w:color w:val="auto"/>
                <w:szCs w:val="22"/>
                <w:lang w:eastAsia="zh-CN"/>
              </w:rPr>
              <w:t>本项目位于</w:t>
            </w:r>
            <w:r>
              <w:rPr>
                <w:rFonts w:hint="default" w:ascii="Times New Roman" w:hAnsi="Times New Roman" w:eastAsia="宋体" w:cs="Times New Roman"/>
                <w:b w:val="0"/>
                <w:bCs/>
                <w:color w:val="auto"/>
                <w:szCs w:val="22"/>
                <w:lang w:val="en-US" w:eastAsia="zh-CN"/>
              </w:rPr>
              <w:t>如皋市</w:t>
            </w:r>
            <w:r>
              <w:rPr>
                <w:rFonts w:hint="eastAsia" w:cs="Times New Roman"/>
                <w:b w:val="0"/>
                <w:bCs/>
                <w:color w:val="auto"/>
                <w:szCs w:val="22"/>
                <w:lang w:val="en-US" w:eastAsia="zh-CN"/>
              </w:rPr>
              <w:t>如城镇中山东路58号</w:t>
            </w:r>
            <w:r>
              <w:rPr>
                <w:rFonts w:hint="default" w:ascii="Times New Roman" w:hAnsi="Times New Roman" w:eastAsia="宋体" w:cs="Times New Roman"/>
                <w:b w:val="0"/>
                <w:bCs/>
                <w:color w:val="auto"/>
                <w:szCs w:val="22"/>
                <w:lang w:eastAsia="zh-CN"/>
              </w:rPr>
              <w:t>，</w:t>
            </w:r>
            <w:r>
              <w:rPr>
                <w:rFonts w:hint="default" w:ascii="Times New Roman" w:hAnsi="Times New Roman" w:eastAsia="宋体" w:cs="Times New Roman"/>
                <w:b w:val="0"/>
                <w:bCs/>
                <w:color w:val="auto"/>
                <w:szCs w:val="22"/>
                <w:lang w:val="en-US" w:eastAsia="zh-CN"/>
              </w:rPr>
              <w:t>用地为工业用地</w:t>
            </w:r>
            <w:r>
              <w:rPr>
                <w:rFonts w:hint="default" w:ascii="Times New Roman" w:hAnsi="Times New Roman" w:cs="Times New Roman"/>
                <w:b w:val="0"/>
                <w:bCs/>
                <w:color w:val="auto"/>
                <w:szCs w:val="22"/>
                <w:lang w:val="en-US" w:eastAsia="zh-CN"/>
              </w:rPr>
              <w:t>，在</w:t>
            </w:r>
            <w:r>
              <w:rPr>
                <w:rFonts w:hint="eastAsia" w:cs="Times New Roman"/>
                <w:b w:val="0"/>
                <w:bCs/>
                <w:color w:val="auto"/>
                <w:szCs w:val="22"/>
                <w:lang w:val="en-US" w:eastAsia="zh-CN"/>
              </w:rPr>
              <w:t>如皋工业园区东部工业区（大殷、双群）</w:t>
            </w:r>
            <w:r>
              <w:rPr>
                <w:rFonts w:hint="default" w:ascii="Times New Roman" w:hAnsi="Times New Roman" w:eastAsia="宋体" w:cs="Times New Roman"/>
                <w:b w:val="0"/>
                <w:bCs/>
                <w:color w:val="auto"/>
                <w:szCs w:val="22"/>
                <w:lang w:val="en-US" w:eastAsia="zh-CN"/>
              </w:rPr>
              <w:t>；</w:t>
            </w:r>
            <w:r>
              <w:rPr>
                <w:rFonts w:hint="default" w:ascii="Times New Roman" w:hAnsi="Times New Roman" w:eastAsia="宋体" w:cs="Times New Roman"/>
                <w:color w:val="auto"/>
                <w:kern w:val="2"/>
                <w:sz w:val="21"/>
                <w:szCs w:val="21"/>
                <w:lang w:val="en-US" w:eastAsia="zh-CN" w:bidi="ar"/>
              </w:rPr>
              <w:t>项目开工前依据流程，登记备案。因此本项目符合《市政府办公室印发</w:t>
            </w:r>
            <w:r>
              <w:rPr>
                <w:rFonts w:hint="default" w:ascii="Times New Roman" w:hAnsi="Times New Roman" w:cs="Times New Roman"/>
                <w:color w:val="auto"/>
                <w:kern w:val="2"/>
                <w:sz w:val="21"/>
                <w:szCs w:val="21"/>
                <w:lang w:val="en-US" w:eastAsia="zh-CN" w:bidi="ar"/>
              </w:rPr>
              <w:t>〈</w:t>
            </w:r>
            <w:r>
              <w:rPr>
                <w:rFonts w:hint="default" w:ascii="Times New Roman" w:hAnsi="Times New Roman" w:eastAsia="宋体" w:cs="Times New Roman"/>
                <w:color w:val="auto"/>
                <w:kern w:val="2"/>
                <w:sz w:val="21"/>
                <w:szCs w:val="21"/>
                <w:lang w:val="en-US" w:eastAsia="zh-CN" w:bidi="ar"/>
              </w:rPr>
              <w:t>关于进一步促进全市乡镇工业集聚区高质量发展的实施意见</w:t>
            </w:r>
            <w:r>
              <w:rPr>
                <w:rFonts w:hint="default" w:ascii="Times New Roman" w:hAnsi="Times New Roman" w:cs="Times New Roman"/>
                <w:color w:val="auto"/>
                <w:kern w:val="2"/>
                <w:sz w:val="21"/>
                <w:szCs w:val="21"/>
                <w:lang w:val="en-US" w:eastAsia="zh-CN" w:bidi="ar"/>
              </w:rPr>
              <w:t>〉</w:t>
            </w:r>
            <w:r>
              <w:rPr>
                <w:rFonts w:hint="default" w:ascii="Times New Roman" w:hAnsi="Times New Roman" w:eastAsia="宋体" w:cs="Times New Roman"/>
                <w:color w:val="auto"/>
                <w:kern w:val="2"/>
                <w:sz w:val="21"/>
                <w:szCs w:val="21"/>
                <w:lang w:val="en-US" w:eastAsia="zh-CN" w:bidi="ar"/>
              </w:rPr>
              <w:t>的通知》。</w:t>
            </w:r>
          </w:p>
          <w:p w14:paraId="7F39EA8C">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firstLine="422" w:firstLineChars="200"/>
              <w:jc w:val="both"/>
              <w:textAlignment w:val="auto"/>
              <w:rPr>
                <w:rFonts w:hint="eastAsia" w:ascii="Times New Roman" w:hAnsi="Times New Roman"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与</w:t>
            </w:r>
            <w:r>
              <w:rPr>
                <w:rFonts w:hint="eastAsia" w:cs="Times New Roman"/>
                <w:b/>
                <w:bCs/>
                <w:color w:val="auto"/>
                <w:sz w:val="21"/>
                <w:szCs w:val="21"/>
                <w:lang w:val="en-US" w:eastAsia="zh-CN"/>
              </w:rPr>
              <w:t>“</w:t>
            </w:r>
            <w:r>
              <w:rPr>
                <w:rFonts w:hint="eastAsia" w:ascii="Times New Roman" w:hAnsi="Times New Roman" w:cs="Times New Roman"/>
                <w:b/>
                <w:bCs/>
                <w:color w:val="auto"/>
                <w:sz w:val="21"/>
                <w:szCs w:val="21"/>
                <w:lang w:val="en-US" w:eastAsia="zh-CN"/>
              </w:rPr>
              <w:t>两高”项目有关文件相符性</w:t>
            </w:r>
          </w:p>
          <w:p w14:paraId="42345718">
            <w:pPr>
              <w:adjustRightInd w:val="0"/>
              <w:snapToGrid w:val="0"/>
              <w:spacing w:line="360" w:lineRule="auto"/>
              <w:ind w:firstLine="482"/>
              <w:rPr>
                <w:rFonts w:hint="default" w:ascii="Times New Roman" w:hAnsi="Times New Roman" w:eastAsia="宋体" w:cs="Times New Roman"/>
                <w:b/>
                <w:bCs/>
                <w:color w:val="auto"/>
                <w:szCs w:val="21"/>
                <w:lang w:eastAsia="zh-CN"/>
              </w:rPr>
            </w:pPr>
            <w:r>
              <w:rPr>
                <w:rFonts w:hint="eastAsia" w:ascii="Times New Roman" w:hAnsi="Times New Roman" w:cs="Times New Roman"/>
                <w:b/>
                <w:bCs/>
                <w:color w:val="auto"/>
                <w:sz w:val="21"/>
                <w:szCs w:val="21"/>
                <w:lang w:val="en-US" w:eastAsia="zh-CN"/>
              </w:rPr>
              <w:t>（1）</w:t>
            </w:r>
            <w:r>
              <w:rPr>
                <w:rFonts w:hint="default" w:ascii="Times New Roman" w:hAnsi="Times New Roman" w:eastAsia="宋体" w:cs="Times New Roman"/>
                <w:b/>
                <w:bCs/>
                <w:color w:val="auto"/>
                <w:szCs w:val="21"/>
                <w:lang w:eastAsia="zh-CN"/>
              </w:rPr>
              <w:t>与《环境保护综合名录（2021版）》相符性</w:t>
            </w:r>
          </w:p>
          <w:p w14:paraId="7A3F7F36">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cs="Times New Roman"/>
                <w:b/>
                <w:bCs/>
                <w:color w:val="auto"/>
                <w:sz w:val="21"/>
                <w:szCs w:val="21"/>
                <w:lang w:val="en-US" w:eastAsia="zh-CN"/>
              </w:rPr>
            </w:pPr>
            <w:r>
              <w:rPr>
                <w:rFonts w:hint="default" w:ascii="Times New Roman" w:hAnsi="Times New Roman" w:eastAsia="宋体" w:cs="Times New Roman"/>
                <w:b w:val="0"/>
                <w:bCs w:val="0"/>
                <w:color w:val="auto"/>
                <w:szCs w:val="21"/>
                <w:highlight w:val="none"/>
                <w:lang w:eastAsia="zh-CN"/>
              </w:rPr>
              <w:t>对照《环境保护综合名录（2021版）》（环办综合</w:t>
            </w:r>
            <w:r>
              <w:rPr>
                <w:rFonts w:hint="default" w:ascii="Times New Roman" w:hAnsi="Times New Roman" w:eastAsia="宋体" w:cs="Times New Roman"/>
                <w:b w:val="0"/>
                <w:bCs w:val="0"/>
                <w:i w:val="0"/>
                <w:iCs w:val="0"/>
                <w:color w:val="auto"/>
                <w:szCs w:val="21"/>
                <w:highlight w:val="none"/>
                <w:lang w:eastAsia="zh-CN"/>
              </w:rPr>
              <w:t>函</w:t>
            </w:r>
            <w:r>
              <w:rPr>
                <w:rFonts w:hint="default" w:ascii="Times New Roman" w:hAnsi="Times New Roman" w:eastAsia="宋体" w:cs="Times New Roman"/>
                <w:color w:val="auto"/>
                <w:szCs w:val="21"/>
              </w:rPr>
              <w:t>〔</w:t>
            </w:r>
            <w:r>
              <w:rPr>
                <w:rFonts w:hint="default" w:ascii="Times New Roman" w:hAnsi="Times New Roman" w:eastAsia="宋体" w:cs="Times New Roman"/>
                <w:b w:val="0"/>
                <w:bCs w:val="0"/>
                <w:i w:val="0"/>
                <w:iCs w:val="0"/>
                <w:color w:val="auto"/>
                <w:szCs w:val="21"/>
              </w:rPr>
              <w:t>2021</w:t>
            </w:r>
            <w:r>
              <w:rPr>
                <w:rFonts w:hint="default" w:ascii="Times New Roman" w:hAnsi="Times New Roman" w:eastAsia="宋体" w:cs="Times New Roman"/>
                <w:color w:val="auto"/>
                <w:szCs w:val="21"/>
              </w:rPr>
              <w:t>〕</w:t>
            </w:r>
            <w:r>
              <w:rPr>
                <w:rFonts w:hint="default" w:ascii="Times New Roman" w:hAnsi="Times New Roman" w:eastAsia="宋体" w:cs="Times New Roman"/>
                <w:b w:val="0"/>
                <w:bCs w:val="0"/>
                <w:i w:val="0"/>
                <w:iCs w:val="0"/>
                <w:color w:val="auto"/>
                <w:szCs w:val="21"/>
                <w:highlight w:val="none"/>
                <w:lang w:eastAsia="zh-CN"/>
              </w:rPr>
              <w:t>495号</w:t>
            </w:r>
            <w:r>
              <w:rPr>
                <w:rFonts w:hint="default" w:ascii="Times New Roman" w:hAnsi="Times New Roman" w:eastAsia="宋体" w:cs="Times New Roman"/>
                <w:b w:val="0"/>
                <w:bCs w:val="0"/>
                <w:color w:val="auto"/>
                <w:szCs w:val="21"/>
                <w:highlight w:val="none"/>
                <w:lang w:eastAsia="zh-CN"/>
              </w:rPr>
              <w:t>），</w:t>
            </w:r>
            <w:r>
              <w:rPr>
                <w:rFonts w:hint="default" w:ascii="Times New Roman" w:hAnsi="Times New Roman" w:eastAsia="宋体" w:cs="Times New Roman"/>
                <w:color w:val="auto"/>
                <w:szCs w:val="21"/>
                <w:highlight w:val="none"/>
              </w:rPr>
              <w:t>本项目</w:t>
            </w:r>
            <w:r>
              <w:rPr>
                <w:rFonts w:hint="default" w:ascii="Times New Roman" w:hAnsi="Times New Roman" w:eastAsia="宋体" w:cs="Times New Roman"/>
                <w:color w:val="auto"/>
                <w:szCs w:val="21"/>
                <w:highlight w:val="none"/>
                <w:lang w:eastAsia="zh-CN"/>
              </w:rPr>
              <w:t>属于</w:t>
            </w:r>
            <w:r>
              <w:rPr>
                <w:rFonts w:hint="default" w:ascii="Times New Roman" w:hAnsi="Times New Roman" w:eastAsia="宋体" w:cs="Times New Roman"/>
                <w:color w:val="auto"/>
                <w:szCs w:val="21"/>
              </w:rPr>
              <w:t>〔</w:t>
            </w:r>
            <w:r>
              <w:rPr>
                <w:rFonts w:hint="eastAsia" w:cs="Times New Roman"/>
                <w:color w:val="auto"/>
                <w:szCs w:val="21"/>
                <w:lang w:eastAsia="zh-CN"/>
              </w:rPr>
              <w:t>D4430</w:t>
            </w:r>
            <w:r>
              <w:rPr>
                <w:rFonts w:hint="default" w:ascii="Times New Roman" w:hAnsi="Times New Roman" w:eastAsia="宋体" w:cs="Times New Roman"/>
                <w:color w:val="auto"/>
                <w:szCs w:val="21"/>
              </w:rPr>
              <w:t>〕</w:t>
            </w:r>
            <w:r>
              <w:rPr>
                <w:rFonts w:hint="eastAsia" w:cs="Times New Roman"/>
                <w:color w:val="auto"/>
                <w:szCs w:val="21"/>
                <w:lang w:eastAsia="zh-CN"/>
              </w:rPr>
              <w:t>热力生产和供应</w:t>
            </w:r>
            <w:r>
              <w:rPr>
                <w:rFonts w:hint="default" w:ascii="Times New Roman" w:hAnsi="Times New Roman" w:eastAsia="宋体" w:cs="Times New Roman"/>
                <w:color w:val="auto"/>
                <w:szCs w:val="21"/>
                <w:lang w:val="en-US" w:eastAsia="zh-CN"/>
              </w:rPr>
              <w:t>，</w:t>
            </w:r>
            <w:r>
              <w:rPr>
                <w:rFonts w:hint="default" w:ascii="Times New Roman" w:hAnsi="Times New Roman" w:eastAsia="宋体" w:cs="Times New Roman"/>
                <w:b w:val="0"/>
                <w:bCs w:val="0"/>
                <w:color w:val="auto"/>
                <w:szCs w:val="21"/>
                <w:highlight w:val="none"/>
                <w:lang w:eastAsia="zh-CN"/>
              </w:rPr>
              <w:t>不属于高污染、高环境风险产品</w:t>
            </w:r>
            <w:r>
              <w:rPr>
                <w:rFonts w:hint="eastAsia" w:ascii="Times New Roman" w:hAnsi="Times New Roman" w:eastAsia="宋体" w:cs="Times New Roman"/>
                <w:b w:val="0"/>
                <w:bCs w:val="0"/>
                <w:color w:val="auto"/>
                <w:szCs w:val="21"/>
                <w:highlight w:val="none"/>
                <w:lang w:eastAsia="zh-CN"/>
              </w:rPr>
              <w:t>。</w:t>
            </w:r>
          </w:p>
          <w:p w14:paraId="389CA959">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2" w:firstLineChars="200"/>
              <w:jc w:val="both"/>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lang w:val="en-US" w:eastAsia="zh-CN"/>
              </w:rPr>
              <w:t>与生态环境部</w:t>
            </w:r>
            <w:r>
              <w:rPr>
                <w:rFonts w:hint="default" w:ascii="Times New Roman" w:hAnsi="Times New Roman" w:cs="Times New Roman"/>
                <w:b/>
                <w:bCs/>
                <w:snapToGrid w:val="0"/>
                <w:color w:val="auto"/>
                <w:kern w:val="0"/>
                <w:sz w:val="21"/>
                <w:szCs w:val="21"/>
              </w:rPr>
              <w:t>《关于加强高耗能、高排放建设项目生态环境源头防控的指导意见》（环环评</w:t>
            </w:r>
            <w:r>
              <w:rPr>
                <w:rFonts w:hint="default" w:ascii="Times New Roman" w:hAnsi="Times New Roman" w:eastAsia="宋体" w:cs="Times New Roman"/>
                <w:b/>
                <w:bCs/>
                <w:snapToGrid w:val="0"/>
                <w:color w:val="auto"/>
                <w:kern w:val="0"/>
                <w:sz w:val="21"/>
                <w:szCs w:val="21"/>
              </w:rPr>
              <w:t>〔</w:t>
            </w:r>
            <w:r>
              <w:rPr>
                <w:rFonts w:hint="default" w:ascii="Times New Roman" w:hAnsi="Times New Roman" w:cs="Times New Roman"/>
                <w:b/>
                <w:bCs/>
                <w:snapToGrid w:val="0"/>
                <w:color w:val="auto"/>
                <w:kern w:val="0"/>
                <w:sz w:val="21"/>
                <w:szCs w:val="21"/>
              </w:rPr>
              <w:t>2021</w:t>
            </w:r>
            <w:r>
              <w:rPr>
                <w:rFonts w:hint="default" w:ascii="Times New Roman" w:hAnsi="Times New Roman" w:eastAsia="宋体" w:cs="Times New Roman"/>
                <w:b/>
                <w:bCs/>
                <w:snapToGrid w:val="0"/>
                <w:color w:val="auto"/>
                <w:kern w:val="0"/>
                <w:sz w:val="21"/>
                <w:szCs w:val="21"/>
              </w:rPr>
              <w:t>〕</w:t>
            </w:r>
            <w:r>
              <w:rPr>
                <w:rFonts w:hint="default" w:ascii="Times New Roman" w:hAnsi="Times New Roman" w:cs="Times New Roman"/>
                <w:b/>
                <w:bCs/>
                <w:snapToGrid w:val="0"/>
                <w:color w:val="auto"/>
                <w:kern w:val="0"/>
                <w:sz w:val="21"/>
                <w:szCs w:val="21"/>
              </w:rPr>
              <w:t>45号）</w:t>
            </w:r>
            <w:r>
              <w:rPr>
                <w:rFonts w:hint="default" w:ascii="Times New Roman" w:hAnsi="Times New Roman" w:cs="Times New Roman"/>
                <w:b/>
                <w:bCs/>
                <w:snapToGrid w:val="0"/>
                <w:color w:val="auto"/>
                <w:kern w:val="0"/>
                <w:sz w:val="21"/>
                <w:szCs w:val="21"/>
                <w:lang w:eastAsia="zh-CN"/>
              </w:rPr>
              <w:t>相符性分析</w:t>
            </w:r>
          </w:p>
          <w:p w14:paraId="5B3B9B1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b/>
                <w:bCs w:val="0"/>
                <w:color w:val="auto"/>
                <w:sz w:val="21"/>
                <w:szCs w:val="21"/>
              </w:rPr>
              <w:t>表1-</w:t>
            </w:r>
            <w:r>
              <w:rPr>
                <w:rFonts w:hint="eastAsia" w:cs="Times New Roman"/>
                <w:b/>
                <w:bCs w:val="0"/>
                <w:color w:val="auto"/>
                <w:sz w:val="21"/>
                <w:szCs w:val="21"/>
                <w:lang w:val="en-US" w:eastAsia="zh-CN"/>
              </w:rPr>
              <w:t>6</w:t>
            </w:r>
            <w:r>
              <w:rPr>
                <w:rFonts w:hint="default" w:ascii="Times New Roman" w:hAnsi="Times New Roman" w:cs="Times New Roman"/>
                <w:b/>
                <w:bCs w:val="0"/>
                <w:color w:val="auto"/>
                <w:sz w:val="21"/>
                <w:szCs w:val="21"/>
                <w:lang w:val="en-US" w:eastAsia="zh-CN"/>
              </w:rPr>
              <w:t xml:space="preserve">  </w:t>
            </w:r>
            <w:r>
              <w:rPr>
                <w:rFonts w:hint="default" w:ascii="Times New Roman" w:hAnsi="Times New Roman" w:cs="Times New Roman"/>
                <w:b/>
                <w:bCs w:val="0"/>
                <w:color w:val="auto"/>
                <w:sz w:val="21"/>
                <w:szCs w:val="21"/>
              </w:rPr>
              <w:t>与</w:t>
            </w:r>
            <w:r>
              <w:rPr>
                <w:rFonts w:hint="default" w:ascii="Times New Roman" w:hAnsi="Times New Roman" w:cs="Times New Roman"/>
                <w:b/>
                <w:bCs/>
                <w:snapToGrid w:val="0"/>
                <w:color w:val="auto"/>
                <w:kern w:val="0"/>
                <w:sz w:val="21"/>
                <w:szCs w:val="21"/>
              </w:rPr>
              <w:t>（环环评</w:t>
            </w:r>
            <w:r>
              <w:rPr>
                <w:rFonts w:hint="default" w:ascii="Times New Roman" w:hAnsi="Times New Roman" w:eastAsia="宋体" w:cs="Times New Roman"/>
                <w:b/>
                <w:bCs/>
                <w:snapToGrid w:val="0"/>
                <w:color w:val="auto"/>
                <w:kern w:val="0"/>
                <w:sz w:val="21"/>
                <w:szCs w:val="21"/>
              </w:rPr>
              <w:t>〔</w:t>
            </w:r>
            <w:r>
              <w:rPr>
                <w:rFonts w:hint="default" w:ascii="Times New Roman" w:hAnsi="Times New Roman" w:cs="Times New Roman"/>
                <w:b/>
                <w:bCs/>
                <w:snapToGrid w:val="0"/>
                <w:color w:val="auto"/>
                <w:kern w:val="0"/>
                <w:sz w:val="21"/>
                <w:szCs w:val="21"/>
              </w:rPr>
              <w:t>2021</w:t>
            </w:r>
            <w:r>
              <w:rPr>
                <w:rFonts w:hint="default" w:ascii="Times New Roman" w:hAnsi="Times New Roman" w:eastAsia="宋体" w:cs="Times New Roman"/>
                <w:b/>
                <w:bCs/>
                <w:snapToGrid w:val="0"/>
                <w:color w:val="auto"/>
                <w:kern w:val="0"/>
                <w:sz w:val="21"/>
                <w:szCs w:val="21"/>
              </w:rPr>
              <w:t>〕</w:t>
            </w:r>
            <w:r>
              <w:rPr>
                <w:rFonts w:hint="default" w:ascii="Times New Roman" w:hAnsi="Times New Roman" w:cs="Times New Roman"/>
                <w:b/>
                <w:bCs/>
                <w:snapToGrid w:val="0"/>
                <w:color w:val="auto"/>
                <w:kern w:val="0"/>
                <w:sz w:val="21"/>
                <w:szCs w:val="21"/>
              </w:rPr>
              <w:t>45号）</w:t>
            </w:r>
            <w:r>
              <w:rPr>
                <w:rFonts w:hint="default" w:ascii="Times New Roman" w:hAnsi="Times New Roman" w:cs="Times New Roman"/>
                <w:b/>
                <w:bCs w:val="0"/>
                <w:color w:val="auto"/>
                <w:sz w:val="21"/>
                <w:szCs w:val="21"/>
              </w:rPr>
              <w:t>相符性</w:t>
            </w:r>
            <w:r>
              <w:rPr>
                <w:rFonts w:hint="default" w:ascii="Times New Roman" w:hAnsi="Times New Roman" w:cs="Times New Roman"/>
                <w:b/>
                <w:bCs w:val="0"/>
                <w:color w:val="auto"/>
                <w:sz w:val="21"/>
                <w:szCs w:val="21"/>
                <w:lang w:eastAsia="zh-CN"/>
              </w:rPr>
              <w:t>分析</w:t>
            </w:r>
          </w:p>
          <w:tbl>
            <w:tblPr>
              <w:tblStyle w:val="24"/>
              <w:tblW w:w="4924"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309"/>
              <w:gridCol w:w="1528"/>
              <w:gridCol w:w="1014"/>
            </w:tblGrid>
            <w:tr w14:paraId="1519EF0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145" w:type="pct"/>
                  <w:tcBorders>
                    <w:tl2br w:val="nil"/>
                    <w:tr2bl w:val="nil"/>
                  </w:tcBorders>
                  <w:noWrap w:val="0"/>
                  <w:vAlign w:val="center"/>
                </w:tcPr>
                <w:p w14:paraId="22753F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sz w:val="21"/>
                      <w:szCs w:val="21"/>
                      <w:vertAlign w:val="baseline"/>
                      <w:lang w:eastAsia="zh-CN"/>
                    </w:rPr>
                    <w:t>文件内容</w:t>
                  </w:r>
                </w:p>
              </w:tc>
              <w:tc>
                <w:tcPr>
                  <w:tcW w:w="1115" w:type="pct"/>
                  <w:tcBorders>
                    <w:tl2br w:val="nil"/>
                    <w:tr2bl w:val="nil"/>
                  </w:tcBorders>
                  <w:noWrap w:val="0"/>
                  <w:vAlign w:val="center"/>
                </w:tcPr>
                <w:p w14:paraId="00029A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sz w:val="21"/>
                      <w:szCs w:val="21"/>
                      <w:vertAlign w:val="baseline"/>
                      <w:lang w:eastAsia="zh-CN"/>
                    </w:rPr>
                    <w:t>本项目情况</w:t>
                  </w:r>
                </w:p>
              </w:tc>
              <w:tc>
                <w:tcPr>
                  <w:tcW w:w="739" w:type="pct"/>
                  <w:tcBorders>
                    <w:tl2br w:val="nil"/>
                    <w:tr2bl w:val="nil"/>
                  </w:tcBorders>
                  <w:noWrap w:val="0"/>
                  <w:vAlign w:val="center"/>
                </w:tcPr>
                <w:p w14:paraId="6A5FB7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sz w:val="21"/>
                      <w:szCs w:val="21"/>
                      <w:vertAlign w:val="baseline"/>
                      <w:lang w:eastAsia="zh-CN"/>
                    </w:rPr>
                    <w:t>是否相符</w:t>
                  </w:r>
                </w:p>
              </w:tc>
            </w:tr>
            <w:tr w14:paraId="257CBED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0" w:type="pct"/>
                  <w:gridSpan w:val="3"/>
                  <w:tcBorders>
                    <w:tl2br w:val="nil"/>
                    <w:tr2bl w:val="nil"/>
                  </w:tcBorders>
                  <w:noWrap w:val="0"/>
                  <w:vAlign w:val="center"/>
                </w:tcPr>
                <w:p w14:paraId="4D90FD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left"/>
                    <w:textAlignment w:val="auto"/>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sz w:val="21"/>
                      <w:szCs w:val="21"/>
                      <w:vertAlign w:val="baseline"/>
                      <w:lang w:eastAsia="zh-CN"/>
                    </w:rPr>
                    <w:t>一、加强生态环境分区管控和规划约束</w:t>
                  </w:r>
                </w:p>
              </w:tc>
            </w:tr>
            <w:tr w14:paraId="539E8AE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145" w:type="pct"/>
                  <w:tcBorders>
                    <w:tl2br w:val="nil"/>
                    <w:tr2bl w:val="nil"/>
                  </w:tcBorders>
                  <w:noWrap w:val="0"/>
                  <w:vAlign w:val="center"/>
                </w:tcPr>
                <w:p w14:paraId="161F3AE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kern w:val="0"/>
                      <w:sz w:val="21"/>
                      <w:szCs w:val="21"/>
                      <w:lang w:val="en-US" w:eastAsia="zh-CN" w:bidi="ar"/>
                    </w:rPr>
                    <w:t>（一）深入实施</w:t>
                  </w:r>
                  <w:r>
                    <w:rPr>
                      <w:rFonts w:hint="eastAsia"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三线一单”。各级生态环境部门应加快推进</w:t>
                  </w:r>
                  <w:r>
                    <w:rPr>
                      <w:rFonts w:hint="eastAsia"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三线一单”成果在</w:t>
                  </w:r>
                  <w:r>
                    <w:rPr>
                      <w:rFonts w:hint="eastAsia"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两高”行业产业布局和结构调整、重大项目选址中的应用。地方生态环境部门组织</w:t>
                  </w:r>
                  <w:r>
                    <w:rPr>
                      <w:rFonts w:hint="eastAsia"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三线一单”地市落地细化及后续更新调整时，应在生态环境准入清单中深化</w:t>
                  </w:r>
                  <w:r>
                    <w:rPr>
                      <w:rFonts w:hint="eastAsia"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两高”项目环境准入及管控要求；承接钢铁、电解铝等产业转移地区应严格落实生态环境分区管控要求，将环境质量底线作为硬约束。</w:t>
                  </w:r>
                </w:p>
              </w:tc>
              <w:tc>
                <w:tcPr>
                  <w:tcW w:w="1535" w:type="dxa"/>
                  <w:tcBorders>
                    <w:tl2br w:val="nil"/>
                    <w:tr2bl w:val="nil"/>
                  </w:tcBorders>
                  <w:noWrap w:val="0"/>
                  <w:vAlign w:val="center"/>
                </w:tcPr>
                <w:p w14:paraId="763527F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kern w:val="0"/>
                      <w:sz w:val="21"/>
                      <w:szCs w:val="21"/>
                      <w:lang w:val="en-US" w:eastAsia="zh-CN" w:bidi="ar"/>
                    </w:rPr>
                    <w:t>本项目对照</w:t>
                  </w:r>
                  <w:r>
                    <w:rPr>
                      <w:rFonts w:hint="eastAsia"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三线一单”管控方案属于重点管控单元。本项目不属于两高行业。</w:t>
                  </w:r>
                </w:p>
              </w:tc>
              <w:tc>
                <w:tcPr>
                  <w:tcW w:w="739" w:type="pct"/>
                  <w:tcBorders>
                    <w:tl2br w:val="nil"/>
                    <w:tr2bl w:val="nil"/>
                  </w:tcBorders>
                  <w:noWrap w:val="0"/>
                  <w:vAlign w:val="center"/>
                </w:tcPr>
                <w:p w14:paraId="210CAE5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kern w:val="0"/>
                      <w:sz w:val="21"/>
                      <w:szCs w:val="21"/>
                      <w:lang w:val="en-US" w:eastAsia="zh-CN" w:bidi="ar"/>
                    </w:rPr>
                    <w:t>相符</w:t>
                  </w:r>
                </w:p>
              </w:tc>
            </w:tr>
            <w:tr w14:paraId="1AF0B55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0" w:type="pct"/>
                  <w:gridSpan w:val="3"/>
                  <w:tcBorders>
                    <w:tl2br w:val="nil"/>
                    <w:tr2bl w:val="nil"/>
                  </w:tcBorders>
                  <w:noWrap w:val="0"/>
                  <w:vAlign w:val="center"/>
                </w:tcPr>
                <w:p w14:paraId="0A80D16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auto"/>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kern w:val="0"/>
                      <w:sz w:val="21"/>
                      <w:szCs w:val="21"/>
                      <w:lang w:val="en-US" w:eastAsia="zh-CN" w:bidi="ar"/>
                    </w:rPr>
                    <w:t>二、严格</w:t>
                  </w:r>
                  <w:r>
                    <w:rPr>
                      <w:rFonts w:hint="eastAsia" w:cs="Times New Roman"/>
                      <w:b/>
                      <w:bCs/>
                      <w:color w:val="auto"/>
                      <w:kern w:val="0"/>
                      <w:sz w:val="21"/>
                      <w:szCs w:val="21"/>
                      <w:lang w:val="en-US" w:eastAsia="zh-CN" w:bidi="ar"/>
                    </w:rPr>
                    <w:t>“</w:t>
                  </w:r>
                  <w:r>
                    <w:rPr>
                      <w:rFonts w:hint="default" w:ascii="Times New Roman" w:hAnsi="Times New Roman" w:eastAsia="宋体" w:cs="Times New Roman"/>
                      <w:b/>
                      <w:bCs/>
                      <w:color w:val="auto"/>
                      <w:kern w:val="0"/>
                      <w:sz w:val="21"/>
                      <w:szCs w:val="21"/>
                      <w:lang w:val="en-US" w:eastAsia="zh-CN" w:bidi="ar"/>
                    </w:rPr>
                    <w:t>两高”项目环评审批</w:t>
                  </w:r>
                </w:p>
              </w:tc>
            </w:tr>
            <w:tr w14:paraId="39DB4C8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145" w:type="pct"/>
                  <w:tcBorders>
                    <w:tl2br w:val="nil"/>
                    <w:tr2bl w:val="nil"/>
                  </w:tcBorders>
                  <w:noWrap w:val="0"/>
                  <w:vAlign w:val="center"/>
                </w:tcPr>
                <w:p w14:paraId="5DDF9F0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kern w:val="0"/>
                      <w:sz w:val="21"/>
                      <w:szCs w:val="21"/>
                      <w:lang w:val="en-US" w:eastAsia="zh-CN" w:bidi="ar"/>
                    </w:rPr>
                    <w:t>（三）严把建设项目环境准入关。新建、改建、扩建</w:t>
                  </w:r>
                  <w:r>
                    <w:rPr>
                      <w:rFonts w:hint="eastAsia"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两高”项目须符合生态环境保护法律法规和相关法定规划，满足重点污染物排放总量控制、碳排放达峰目标、生态环境准入清单、相关规划环评和相应行业建设项目环境准入条件、环评文件审批原则要求。石化、现代煤化工项目应纳入国家产业规划。新建、扩建石化、化工、焦化、有色金属冶炼、平板玻璃项目应布设在依法合规设立并经规划环评的产业园区。各级生态环境部门和行政审批部门要严格把关，对于不符合相关法律法规的，依法不予审批。</w:t>
                  </w:r>
                </w:p>
              </w:tc>
              <w:tc>
                <w:tcPr>
                  <w:tcW w:w="1115" w:type="pct"/>
                  <w:tcBorders>
                    <w:tl2br w:val="nil"/>
                    <w:tr2bl w:val="nil"/>
                  </w:tcBorders>
                  <w:noWrap w:val="0"/>
                  <w:vAlign w:val="center"/>
                </w:tcPr>
                <w:p w14:paraId="2E574EF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kern w:val="0"/>
                      <w:sz w:val="21"/>
                      <w:szCs w:val="21"/>
                      <w:lang w:val="en-US" w:eastAsia="zh-CN" w:bidi="ar"/>
                    </w:rPr>
                    <w:t>本项目不属于化工、现代煤化工项目；不属于新建、扩建石化、化工、焦化、有色金属冶炼、平板玻璃项目。</w:t>
                  </w:r>
                </w:p>
              </w:tc>
              <w:tc>
                <w:tcPr>
                  <w:tcW w:w="739" w:type="pct"/>
                  <w:tcBorders>
                    <w:tl2br w:val="nil"/>
                    <w:tr2bl w:val="nil"/>
                  </w:tcBorders>
                  <w:noWrap w:val="0"/>
                  <w:vAlign w:val="center"/>
                </w:tcPr>
                <w:p w14:paraId="2530B1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kern w:val="0"/>
                      <w:sz w:val="21"/>
                      <w:szCs w:val="21"/>
                      <w:lang w:val="en-US" w:eastAsia="zh-CN" w:bidi="ar"/>
                    </w:rPr>
                    <w:t>相符</w:t>
                  </w:r>
                </w:p>
              </w:tc>
            </w:tr>
            <w:tr w14:paraId="7011052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0" w:type="pct"/>
                  <w:gridSpan w:val="3"/>
                  <w:tcBorders>
                    <w:tl2br w:val="nil"/>
                    <w:tr2bl w:val="nil"/>
                  </w:tcBorders>
                  <w:noWrap w:val="0"/>
                  <w:vAlign w:val="center"/>
                </w:tcPr>
                <w:p w14:paraId="35A0098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auto"/>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kern w:val="0"/>
                      <w:sz w:val="21"/>
                      <w:szCs w:val="21"/>
                      <w:lang w:val="en-US" w:eastAsia="zh-CN" w:bidi="ar"/>
                    </w:rPr>
                    <w:t>三、推进</w:t>
                  </w:r>
                  <w:r>
                    <w:rPr>
                      <w:rFonts w:hint="eastAsia" w:cs="Times New Roman"/>
                      <w:b/>
                      <w:bCs/>
                      <w:color w:val="auto"/>
                      <w:kern w:val="0"/>
                      <w:sz w:val="21"/>
                      <w:szCs w:val="21"/>
                      <w:lang w:val="en-US" w:eastAsia="zh-CN" w:bidi="ar"/>
                    </w:rPr>
                    <w:t>“</w:t>
                  </w:r>
                  <w:r>
                    <w:rPr>
                      <w:rFonts w:hint="default" w:ascii="Times New Roman" w:hAnsi="Times New Roman" w:eastAsia="宋体" w:cs="Times New Roman"/>
                      <w:b/>
                      <w:bCs/>
                      <w:color w:val="auto"/>
                      <w:kern w:val="0"/>
                      <w:sz w:val="21"/>
                      <w:szCs w:val="21"/>
                      <w:lang w:val="en-US" w:eastAsia="zh-CN" w:bidi="ar"/>
                    </w:rPr>
                    <w:t>两高”行业减污降碳协同控制</w:t>
                  </w:r>
                </w:p>
              </w:tc>
            </w:tr>
            <w:tr w14:paraId="313B759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145" w:type="pct"/>
                  <w:tcBorders>
                    <w:tl2br w:val="nil"/>
                    <w:tr2bl w:val="nil"/>
                  </w:tcBorders>
                  <w:noWrap w:val="0"/>
                  <w:vAlign w:val="center"/>
                </w:tcPr>
                <w:p w14:paraId="43EC38C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kern w:val="0"/>
                      <w:sz w:val="21"/>
                      <w:szCs w:val="21"/>
                      <w:lang w:val="en-US" w:eastAsia="zh-CN" w:bidi="ar"/>
                    </w:rPr>
                    <w:t>（六）提升清洁生产和污染防治水平。新建、扩建</w:t>
                  </w:r>
                  <w:r>
                    <w:rPr>
                      <w:rFonts w:hint="eastAsia"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两高”项目应采用先进适用的工艺技术和装备，单位产品物耗、能耗、水耗等达到清洁生产先进水平，依法制定并严格落实防治土壤与地下水污染的措施。国家或地方已出台超低排放要求的</w:t>
                  </w:r>
                  <w:r>
                    <w:rPr>
                      <w:rFonts w:hint="eastAsia"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两高”行业建设项目应满足超低排放要求。鼓励使用清洁燃料，重点区域建设项目原则上不新建燃煤自备锅炉。鼓励重点区域高炉</w:t>
                  </w:r>
                  <w:r>
                    <w:rPr>
                      <w:rFonts w:hint="default" w:ascii="Times New Roman" w:hAnsi="Times New Roman"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转炉长流程钢铁企业转型为电炉短流程企业。大宗物料优先采用铁路、管道或水路运输，短途接驳优先使用新能源车辆运输。</w:t>
                  </w:r>
                </w:p>
              </w:tc>
              <w:tc>
                <w:tcPr>
                  <w:tcW w:w="1115" w:type="pct"/>
                  <w:tcBorders>
                    <w:tl2br w:val="nil"/>
                    <w:tr2bl w:val="nil"/>
                  </w:tcBorders>
                  <w:noWrap w:val="0"/>
                  <w:vAlign w:val="center"/>
                </w:tcPr>
                <w:p w14:paraId="2540FD7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kern w:val="0"/>
                      <w:sz w:val="21"/>
                      <w:szCs w:val="21"/>
                      <w:lang w:val="en-US" w:eastAsia="zh-CN" w:bidi="ar"/>
                    </w:rPr>
                    <w:t>本项目不属于两高行业；本项目</w:t>
                  </w:r>
                  <w:r>
                    <w:rPr>
                      <w:rFonts w:hint="eastAsia" w:cs="Times New Roman"/>
                      <w:color w:val="auto"/>
                      <w:kern w:val="0"/>
                      <w:sz w:val="21"/>
                      <w:szCs w:val="21"/>
                      <w:lang w:val="en-US" w:eastAsia="zh-CN" w:bidi="ar"/>
                    </w:rPr>
                    <w:t>使用生物质燃料</w:t>
                  </w:r>
                </w:p>
              </w:tc>
              <w:tc>
                <w:tcPr>
                  <w:tcW w:w="739" w:type="pct"/>
                  <w:tcBorders>
                    <w:tl2br w:val="nil"/>
                    <w:tr2bl w:val="nil"/>
                  </w:tcBorders>
                  <w:noWrap w:val="0"/>
                  <w:vAlign w:val="center"/>
                </w:tcPr>
                <w:p w14:paraId="23B9F6E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kern w:val="0"/>
                      <w:sz w:val="21"/>
                      <w:szCs w:val="21"/>
                      <w:lang w:val="en-US" w:eastAsia="zh-CN" w:bidi="ar"/>
                    </w:rPr>
                    <w:t>相符</w:t>
                  </w:r>
                </w:p>
              </w:tc>
            </w:tr>
          </w:tbl>
          <w:p w14:paraId="7F20C2C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200"/>
              <w:jc w:val="both"/>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根据表1-</w:t>
            </w:r>
            <w:r>
              <w:rPr>
                <w:rFonts w:hint="default" w:ascii="Times New Roman" w:hAnsi="Times New Roman" w:cs="Times New Roman"/>
                <w:color w:val="auto"/>
                <w:kern w:val="0"/>
                <w:sz w:val="21"/>
                <w:szCs w:val="21"/>
                <w:lang w:val="en-US" w:eastAsia="zh-CN" w:bidi="ar"/>
              </w:rPr>
              <w:t>6</w:t>
            </w:r>
            <w:r>
              <w:rPr>
                <w:rFonts w:hint="default" w:ascii="Times New Roman" w:hAnsi="Times New Roman" w:eastAsia="宋体" w:cs="Times New Roman"/>
                <w:color w:val="auto"/>
                <w:kern w:val="0"/>
                <w:sz w:val="21"/>
                <w:szCs w:val="21"/>
                <w:lang w:val="en-US" w:eastAsia="zh-CN" w:bidi="ar"/>
              </w:rPr>
              <w:t>，本项目符合《关于加强高耗能、高排放建设项目生态环境源头防控的指导意见》（环环评〔2021〕45号）的相关要求。</w:t>
            </w:r>
          </w:p>
          <w:p w14:paraId="71ADA417">
            <w:pPr>
              <w:adjustRightInd w:val="0"/>
              <w:snapToGrid w:val="0"/>
              <w:spacing w:line="360" w:lineRule="auto"/>
              <w:ind w:firstLine="482"/>
              <w:rPr>
                <w:rFonts w:hint="default" w:ascii="Times New Roman" w:hAnsi="Times New Roman" w:eastAsia="宋体" w:cs="Times New Roman"/>
                <w:b/>
                <w:bCs/>
                <w:color w:val="auto"/>
                <w:szCs w:val="21"/>
              </w:rPr>
            </w:pPr>
            <w:r>
              <w:rPr>
                <w:rFonts w:hint="eastAsia" w:ascii="Times New Roman" w:hAnsi="Times New Roman" w:eastAsia="宋体" w:cs="Times New Roman"/>
                <w:b/>
                <w:bCs/>
                <w:color w:val="auto"/>
                <w:szCs w:val="21"/>
                <w:lang w:eastAsia="zh-CN"/>
              </w:rPr>
              <w:t>（</w:t>
            </w:r>
            <w:r>
              <w:rPr>
                <w:rFonts w:hint="eastAsia" w:ascii="Times New Roman" w:hAnsi="Times New Roman" w:eastAsia="宋体" w:cs="Times New Roman"/>
                <w:b/>
                <w:bCs/>
                <w:color w:val="auto"/>
                <w:szCs w:val="21"/>
                <w:lang w:val="en-US" w:eastAsia="zh-CN"/>
              </w:rPr>
              <w:t>3</w:t>
            </w:r>
            <w:r>
              <w:rPr>
                <w:rFonts w:hint="eastAsia" w:ascii="Times New Roman" w:hAnsi="Times New Roman" w:eastAsia="宋体" w:cs="Times New Roman"/>
                <w:b/>
                <w:bCs/>
                <w:color w:val="auto"/>
                <w:szCs w:val="21"/>
                <w:lang w:eastAsia="zh-CN"/>
              </w:rPr>
              <w:t>）</w:t>
            </w:r>
            <w:r>
              <w:rPr>
                <w:rFonts w:hint="default" w:ascii="Times New Roman" w:hAnsi="Times New Roman" w:eastAsia="宋体" w:cs="Times New Roman"/>
                <w:b/>
                <w:bCs/>
                <w:color w:val="auto"/>
                <w:szCs w:val="21"/>
              </w:rPr>
              <w:t>与《江苏省</w:t>
            </w:r>
            <w:r>
              <w:rPr>
                <w:rFonts w:hint="eastAsia" w:cs="Times New Roman"/>
                <w:b/>
                <w:bCs/>
                <w:color w:val="auto"/>
                <w:szCs w:val="21"/>
                <w:lang w:eastAsia="zh-CN"/>
              </w:rPr>
              <w:t>“</w:t>
            </w:r>
            <w:r>
              <w:rPr>
                <w:rFonts w:hint="default" w:ascii="Times New Roman" w:hAnsi="Times New Roman" w:eastAsia="宋体" w:cs="Times New Roman"/>
                <w:b/>
                <w:bCs/>
                <w:color w:val="auto"/>
                <w:szCs w:val="21"/>
              </w:rPr>
              <w:t>两高”项目管理目录（2024年版）》（苏发改规发[2024]4号）相符性</w:t>
            </w:r>
          </w:p>
          <w:p w14:paraId="1747EA0E">
            <w:pPr>
              <w:adjustRightInd w:val="0"/>
              <w:snapToGrid w:val="0"/>
              <w:spacing w:line="360" w:lineRule="auto"/>
              <w:ind w:firstLine="482" w:firstLineChars="0"/>
              <w:rPr>
                <w:rFonts w:hint="eastAsia"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szCs w:val="21"/>
              </w:rPr>
              <w:t>对照《江苏省</w:t>
            </w:r>
            <w:r>
              <w:rPr>
                <w:rFonts w:hint="eastAsia" w:cs="Times New Roman"/>
                <w:color w:val="auto"/>
                <w:szCs w:val="21"/>
                <w:lang w:eastAsia="zh-CN"/>
              </w:rPr>
              <w:t>“</w:t>
            </w:r>
            <w:r>
              <w:rPr>
                <w:rFonts w:hint="default" w:ascii="Times New Roman" w:hAnsi="Times New Roman" w:eastAsia="宋体" w:cs="Times New Roman"/>
                <w:color w:val="auto"/>
                <w:szCs w:val="21"/>
              </w:rPr>
              <w:t>两高”项目管理目录（2024年版）》（苏发改规发[2024]4号），本项目属于〔</w:t>
            </w:r>
            <w:r>
              <w:rPr>
                <w:rFonts w:hint="eastAsia" w:cs="Times New Roman"/>
                <w:color w:val="auto"/>
                <w:szCs w:val="21"/>
                <w:lang w:eastAsia="zh-CN"/>
              </w:rPr>
              <w:t>D4430</w:t>
            </w:r>
            <w:r>
              <w:rPr>
                <w:rFonts w:hint="default" w:ascii="Times New Roman" w:hAnsi="Times New Roman" w:eastAsia="宋体" w:cs="Times New Roman"/>
                <w:color w:val="auto"/>
                <w:szCs w:val="21"/>
              </w:rPr>
              <w:t>〕</w:t>
            </w:r>
            <w:r>
              <w:rPr>
                <w:rFonts w:hint="eastAsia" w:cs="Times New Roman"/>
                <w:color w:val="auto"/>
                <w:szCs w:val="21"/>
                <w:lang w:eastAsia="zh-CN"/>
              </w:rPr>
              <w:t>热力生产和供应</w:t>
            </w:r>
            <w:r>
              <w:rPr>
                <w:rFonts w:hint="default" w:ascii="Times New Roman" w:hAnsi="Times New Roman" w:eastAsia="宋体" w:cs="Times New Roman"/>
                <w:color w:val="auto"/>
                <w:szCs w:val="21"/>
              </w:rPr>
              <w:t>，本项目不属于目录中两高项目行业范畴。</w:t>
            </w:r>
          </w:p>
        </w:tc>
      </w:tr>
    </w:tbl>
    <w:p w14:paraId="57610EFB">
      <w:pPr>
        <w:spacing w:line="360" w:lineRule="auto"/>
        <w:outlineLvl w:val="0"/>
        <w:rPr>
          <w:rFonts w:eastAsia="黑体"/>
          <w:color w:val="auto"/>
          <w:sz w:val="30"/>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14:paraId="42EF3A98">
      <w:pPr>
        <w:pStyle w:val="19"/>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二、建设项目工程分析</w:t>
      </w:r>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634"/>
      </w:tblGrid>
      <w:tr w14:paraId="167D87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06" w:hRule="atLeast"/>
          <w:jc w:val="center"/>
        </w:trPr>
        <w:tc>
          <w:tcPr>
            <w:tcW w:w="349" w:type="dxa"/>
            <w:noWrap w:val="0"/>
            <w:vAlign w:val="center"/>
          </w:tcPr>
          <w:p w14:paraId="6A5059C1">
            <w:pPr>
              <w:pStyle w:val="19"/>
              <w:keepNext w:val="0"/>
              <w:keepLines w:val="0"/>
              <w:pageBreakBefore w:val="0"/>
              <w:kinsoku/>
              <w:topLinePunct w:val="0"/>
              <w:autoSpaceDE/>
              <w:autoSpaceDN/>
              <w:bidi w:val="0"/>
              <w:adjustRightInd w:val="0"/>
              <w:snapToGrid w:val="0"/>
              <w:spacing w:before="0" w:beforeAutospacing="0" w:after="0" w:afterAutospacing="0" w:line="32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建设内容</w:t>
            </w:r>
          </w:p>
        </w:tc>
        <w:tc>
          <w:tcPr>
            <w:tcW w:w="8711" w:type="dxa"/>
            <w:noWrap w:val="0"/>
            <w:vAlign w:val="top"/>
          </w:tcPr>
          <w:p w14:paraId="21BB55AD">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jc w:val="left"/>
              <w:textAlignment w:val="auto"/>
              <w:rPr>
                <w:rFonts w:hint="default"/>
                <w:b/>
                <w:bCs/>
                <w:lang w:val="en-US" w:eastAsia="zh-CN"/>
              </w:rPr>
            </w:pPr>
            <w:r>
              <w:rPr>
                <w:rFonts w:hint="eastAsia"/>
                <w:b/>
                <w:bCs/>
                <w:lang w:val="en-US" w:eastAsia="zh-CN"/>
              </w:rPr>
              <w:t>任务由来</w:t>
            </w:r>
          </w:p>
          <w:p w14:paraId="1B8A0491">
            <w:pPr>
              <w:bidi w:val="0"/>
              <w:jc w:val="center"/>
              <w:rPr>
                <w:rFonts w:hint="default"/>
                <w:lang w:val="en-US" w:eastAsia="zh-CN"/>
              </w:rPr>
            </w:pPr>
          </w:p>
        </w:tc>
      </w:tr>
      <w:tr w14:paraId="1E8AB8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1" w:hRule="atLeast"/>
          <w:jc w:val="center"/>
        </w:trPr>
        <w:tc>
          <w:tcPr>
            <w:tcW w:w="349" w:type="dxa"/>
            <w:noWrap w:val="0"/>
            <w:vAlign w:val="center"/>
          </w:tcPr>
          <w:p w14:paraId="1660D717">
            <w:pPr>
              <w:pStyle w:val="19"/>
              <w:keepNext w:val="0"/>
              <w:keepLines w:val="0"/>
              <w:pageBreakBefore w:val="0"/>
              <w:kinsoku/>
              <w:topLinePunct w:val="0"/>
              <w:autoSpaceDE/>
              <w:autoSpaceDN/>
              <w:bidi w:val="0"/>
              <w:adjustRightInd w:val="0"/>
              <w:snapToGrid w:val="0"/>
              <w:spacing w:before="0" w:beforeAutospacing="0" w:after="0" w:afterAutospacing="0" w:line="32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工艺流程和产排污环节</w:t>
            </w:r>
          </w:p>
        </w:tc>
        <w:tc>
          <w:tcPr>
            <w:tcW w:w="8711" w:type="dxa"/>
            <w:noWrap w:val="0"/>
            <w:vAlign w:val="top"/>
          </w:tcPr>
          <w:p w14:paraId="4D67B5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Times New Roman" w:hAnsi="Times New Roman" w:cs="Times New Roman"/>
                <w:bCs/>
                <w:color w:val="auto"/>
                <w:sz w:val="21"/>
                <w:szCs w:val="21"/>
                <w:lang w:val="en-US" w:eastAsia="zh-CN"/>
              </w:rPr>
            </w:pPr>
          </w:p>
        </w:tc>
      </w:tr>
      <w:tr w14:paraId="34153C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80" w:hRule="atLeast"/>
          <w:jc w:val="center"/>
        </w:trPr>
        <w:tc>
          <w:tcPr>
            <w:tcW w:w="349" w:type="dxa"/>
            <w:noWrap w:val="0"/>
            <w:vAlign w:val="center"/>
          </w:tcPr>
          <w:p w14:paraId="7949768E">
            <w:pPr>
              <w:pStyle w:val="19"/>
              <w:keepNext w:val="0"/>
              <w:keepLines w:val="0"/>
              <w:pageBreakBefore w:val="0"/>
              <w:kinsoku/>
              <w:topLinePunct w:val="0"/>
              <w:autoSpaceDE/>
              <w:autoSpaceDN/>
              <w:bidi w:val="0"/>
              <w:adjustRightInd w:val="0"/>
              <w:snapToGrid w:val="0"/>
              <w:spacing w:before="0" w:beforeAutospacing="0" w:after="0" w:afterAutospacing="0" w:line="320" w:lineRule="exact"/>
              <w:jc w:val="center"/>
              <w:rPr>
                <w:rFonts w:hint="default" w:ascii="Times New Roman" w:hAnsi="Times New Roman" w:cs="Times New Roman"/>
                <w:color w:val="auto"/>
                <w:sz w:val="21"/>
                <w:szCs w:val="21"/>
              </w:rPr>
            </w:pPr>
            <w:r>
              <w:rPr>
                <w:rFonts w:hint="default" w:ascii="Times New Roman" w:hAnsi="Times New Roman" w:cs="Times New Roman"/>
                <w:bCs/>
                <w:color w:val="auto"/>
                <w:kern w:val="2"/>
                <w:sz w:val="21"/>
                <w:szCs w:val="21"/>
              </w:rPr>
              <w:t>与项目有关的原有环境污染问题</w:t>
            </w:r>
          </w:p>
        </w:tc>
        <w:tc>
          <w:tcPr>
            <w:tcW w:w="8711" w:type="dxa"/>
            <w:noWrap w:val="0"/>
            <w:vAlign w:val="top"/>
          </w:tcPr>
          <w:p w14:paraId="7F9BBAD4">
            <w:pPr>
              <w:bidi w:val="0"/>
              <w:spacing w:line="360" w:lineRule="auto"/>
              <w:ind w:firstLine="420" w:firstLineChars="200"/>
              <w:rPr>
                <w:rFonts w:hint="eastAsia"/>
                <w:color w:val="0000FF"/>
                <w:lang w:val="en-US" w:eastAsia="zh-CN"/>
              </w:rPr>
            </w:pPr>
          </w:p>
        </w:tc>
      </w:tr>
    </w:tbl>
    <w:p w14:paraId="60FD1E59">
      <w:pPr>
        <w:pStyle w:val="19"/>
        <w:jc w:val="center"/>
        <w:rPr>
          <w:rFonts w:ascii="黑体" w:hAnsi="黑体" w:eastAsia="黑体"/>
          <w:snapToGrid w:val="0"/>
          <w:color w:val="auto"/>
          <w:sz w:val="36"/>
          <w:szCs w:val="36"/>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30640B2F">
      <w:pPr>
        <w:pStyle w:val="19"/>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三、区域环境质量现状、环境保护目标及评价标准</w:t>
      </w:r>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8216"/>
      </w:tblGrid>
      <w:tr w14:paraId="502803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729" w:hRule="atLeast"/>
          <w:jc w:val="center"/>
        </w:trPr>
        <w:tc>
          <w:tcPr>
            <w:tcW w:w="800" w:type="dxa"/>
            <w:noWrap w:val="0"/>
            <w:vAlign w:val="center"/>
          </w:tcPr>
          <w:p w14:paraId="5B95BB45">
            <w:pPr>
              <w:keepNext w:val="0"/>
              <w:keepLines w:val="0"/>
              <w:pageBreakBefore w:val="0"/>
              <w:topLinePunct w:val="0"/>
              <w:autoSpaceDE/>
              <w:autoSpaceDN/>
              <w:bidi w:val="0"/>
              <w:adjustRightInd w:val="0"/>
              <w:snapToGrid w:val="0"/>
              <w:spacing w:line="320" w:lineRule="exact"/>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区域</w:t>
            </w:r>
          </w:p>
          <w:p w14:paraId="02CC477F">
            <w:pPr>
              <w:keepNext w:val="0"/>
              <w:keepLines w:val="0"/>
              <w:pageBreakBefore w:val="0"/>
              <w:topLinePunct w:val="0"/>
              <w:autoSpaceDE/>
              <w:autoSpaceDN/>
              <w:bidi w:val="0"/>
              <w:adjustRightInd w:val="0"/>
              <w:snapToGrid w:val="0"/>
              <w:spacing w:line="320" w:lineRule="exact"/>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环境</w:t>
            </w:r>
          </w:p>
          <w:p w14:paraId="484DA32A">
            <w:pPr>
              <w:keepNext w:val="0"/>
              <w:keepLines w:val="0"/>
              <w:pageBreakBefore w:val="0"/>
              <w:topLinePunct w:val="0"/>
              <w:autoSpaceDE/>
              <w:autoSpaceDN/>
              <w:bidi w:val="0"/>
              <w:adjustRightInd w:val="0"/>
              <w:snapToGrid w:val="0"/>
              <w:spacing w:line="320" w:lineRule="exact"/>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质量</w:t>
            </w:r>
          </w:p>
          <w:p w14:paraId="40CB4958">
            <w:pPr>
              <w:keepNext w:val="0"/>
              <w:keepLines w:val="0"/>
              <w:pageBreakBefore w:val="0"/>
              <w:topLinePunct w:val="0"/>
              <w:autoSpaceDE/>
              <w:autoSpaceDN/>
              <w:bidi w:val="0"/>
              <w:adjustRightInd w:val="0"/>
              <w:snapToGrid w:val="0"/>
              <w:spacing w:line="320" w:lineRule="exact"/>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现状</w:t>
            </w:r>
          </w:p>
        </w:tc>
        <w:tc>
          <w:tcPr>
            <w:tcW w:w="8216" w:type="dxa"/>
            <w:noWrap w:val="0"/>
            <w:vAlign w:val="center"/>
          </w:tcPr>
          <w:p w14:paraId="148A1A8F">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b/>
                <w:bCs/>
                <w:color w:val="auto"/>
                <w:kern w:val="0"/>
                <w:sz w:val="21"/>
                <w:szCs w:val="21"/>
                <w:lang w:val="en-US" w:eastAsia="zh-CN"/>
              </w:rPr>
            </w:pPr>
            <w:r>
              <w:rPr>
                <w:rFonts w:hint="default" w:ascii="Times New Roman" w:hAnsi="Times New Roman" w:cs="Times New Roman"/>
                <w:b/>
                <w:bCs/>
                <w:color w:val="auto"/>
                <w:kern w:val="0"/>
                <w:sz w:val="21"/>
                <w:szCs w:val="21"/>
                <w:lang w:val="en-US" w:eastAsia="zh-CN"/>
              </w:rPr>
              <w:t>大气环境</w:t>
            </w:r>
          </w:p>
          <w:p w14:paraId="7675D920">
            <w:pPr>
              <w:keepNext w:val="0"/>
              <w:keepLines w:val="0"/>
              <w:pageBreakBefore w:val="0"/>
              <w:widowControl w:val="0"/>
              <w:kinsoku/>
              <w:wordWrap/>
              <w:overflowPunct/>
              <w:topLinePunct w:val="0"/>
              <w:autoSpaceDE/>
              <w:autoSpaceDN/>
              <w:bidi w:val="0"/>
              <w:spacing w:line="360" w:lineRule="auto"/>
              <w:ind w:firstLine="480"/>
              <w:textAlignment w:val="auto"/>
              <w:rPr>
                <w:b/>
                <w:bCs/>
                <w:color w:val="auto"/>
                <w:sz w:val="21"/>
                <w:szCs w:val="21"/>
              </w:rPr>
            </w:pPr>
            <w:r>
              <w:rPr>
                <w:rFonts w:hint="eastAsia"/>
                <w:b/>
                <w:bCs/>
                <w:color w:val="auto"/>
                <w:sz w:val="21"/>
                <w:szCs w:val="21"/>
              </w:rPr>
              <w:t>（1）环境空气质量达标区判定</w:t>
            </w:r>
          </w:p>
          <w:p w14:paraId="0E56AA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本项目位于</w:t>
            </w:r>
            <w:r>
              <w:rPr>
                <w:rStyle w:val="26"/>
                <w:rFonts w:hint="eastAsia"/>
                <w:b w:val="0"/>
                <w:color w:val="auto"/>
                <w:sz w:val="21"/>
                <w:szCs w:val="21"/>
                <w:lang w:eastAsia="zh-CN"/>
              </w:rPr>
              <w:t>如皋市如城镇中山东路58号</w:t>
            </w:r>
            <w:r>
              <w:rPr>
                <w:rFonts w:hint="eastAsia" w:ascii="Times New Roman" w:hAnsi="Times New Roman" w:cs="Times New Roman"/>
                <w:color w:val="auto"/>
                <w:sz w:val="21"/>
                <w:szCs w:val="21"/>
                <w:lang w:val="en-US" w:eastAsia="zh-CN"/>
              </w:rPr>
              <w:t>，根据</w:t>
            </w:r>
            <w:r>
              <w:rPr>
                <w:color w:val="auto"/>
                <w:sz w:val="21"/>
                <w:szCs w:val="21"/>
              </w:rPr>
              <w:t>《江苏省环境空气质量功能区划》，本项目所在区域为环境空气质量功能二类区</w:t>
            </w:r>
            <w:r>
              <w:rPr>
                <w:rFonts w:hint="eastAsia"/>
                <w:color w:val="auto"/>
                <w:sz w:val="21"/>
                <w:szCs w:val="21"/>
                <w:lang w:eastAsia="zh-CN"/>
              </w:rPr>
              <w:t>。</w:t>
            </w:r>
          </w:p>
          <w:p w14:paraId="745F4A2D">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color w:val="auto"/>
                <w:sz w:val="21"/>
                <w:szCs w:val="21"/>
              </w:rPr>
            </w:pPr>
            <w:r>
              <w:rPr>
                <w:rFonts w:hint="eastAsia" w:ascii="Times New Roman" w:hAnsi="Times New Roman" w:cs="Times New Roman"/>
                <w:color w:val="auto"/>
                <w:sz w:val="21"/>
                <w:szCs w:val="21"/>
                <w:lang w:val="en-US" w:eastAsia="zh-CN"/>
              </w:rPr>
              <w:t>本项目引用</w:t>
            </w:r>
            <w:r>
              <w:rPr>
                <w:rFonts w:hint="eastAsia"/>
                <w:color w:val="auto"/>
                <w:sz w:val="21"/>
                <w:szCs w:val="21"/>
              </w:rPr>
              <w:t>根据《</w:t>
            </w:r>
            <w:r>
              <w:rPr>
                <w:rFonts w:hint="eastAsia"/>
                <w:color w:val="auto"/>
                <w:sz w:val="21"/>
                <w:szCs w:val="21"/>
                <w:lang w:eastAsia="zh-CN"/>
              </w:rPr>
              <w:t>南通</w:t>
            </w:r>
            <w:r>
              <w:rPr>
                <w:rFonts w:hint="eastAsia"/>
                <w:color w:val="auto"/>
                <w:sz w:val="21"/>
                <w:szCs w:val="21"/>
              </w:rPr>
              <w:t>市环境质量状况公报》（20</w:t>
            </w:r>
            <w:r>
              <w:rPr>
                <w:rFonts w:hint="eastAsia"/>
                <w:color w:val="auto"/>
                <w:sz w:val="21"/>
                <w:szCs w:val="21"/>
                <w:lang w:val="en-US" w:eastAsia="zh-CN"/>
              </w:rPr>
              <w:t>23</w:t>
            </w:r>
            <w:r>
              <w:rPr>
                <w:rFonts w:hint="eastAsia"/>
                <w:color w:val="auto"/>
                <w:sz w:val="21"/>
                <w:szCs w:val="21"/>
              </w:rPr>
              <w:t>），如皋市主要空气污染物指标监测结果见表3-1。</w:t>
            </w:r>
          </w:p>
          <w:p w14:paraId="3DE0306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imes New Roman" w:hAnsi="Times New Roman" w:cs="Times New Roman"/>
                <w:b/>
                <w:bCs/>
                <w:snapToGrid w:val="0"/>
                <w:color w:val="auto"/>
                <w:kern w:val="0"/>
                <w:sz w:val="21"/>
                <w:szCs w:val="21"/>
                <w:vertAlign w:val="superscript"/>
              </w:rPr>
            </w:pPr>
            <w:r>
              <w:rPr>
                <w:rFonts w:ascii="Times New Roman" w:hAnsi="Times New Roman" w:cs="Times New Roman"/>
                <w:b/>
                <w:bCs/>
                <w:snapToGrid w:val="0"/>
                <w:color w:val="auto"/>
                <w:kern w:val="0"/>
                <w:sz w:val="21"/>
                <w:szCs w:val="21"/>
              </w:rPr>
              <w:t>表3-</w:t>
            </w:r>
            <w:r>
              <w:rPr>
                <w:rFonts w:hint="eastAsia" w:ascii="Times New Roman" w:hAnsi="Times New Roman" w:cs="Times New Roman"/>
                <w:b/>
                <w:bCs/>
                <w:snapToGrid w:val="0"/>
                <w:color w:val="auto"/>
                <w:kern w:val="0"/>
                <w:sz w:val="21"/>
                <w:szCs w:val="21"/>
                <w:lang w:val="en-US" w:eastAsia="zh-CN"/>
              </w:rPr>
              <w:t>1</w:t>
            </w:r>
            <w:r>
              <w:rPr>
                <w:rFonts w:ascii="Times New Roman" w:hAnsi="Times New Roman" w:cs="Times New Roman"/>
                <w:b/>
                <w:bCs/>
                <w:snapToGrid w:val="0"/>
                <w:color w:val="auto"/>
                <w:kern w:val="0"/>
                <w:sz w:val="21"/>
                <w:szCs w:val="21"/>
              </w:rPr>
              <w:t xml:space="preserve">  </w:t>
            </w:r>
            <w:r>
              <w:rPr>
                <w:rFonts w:hint="eastAsia" w:ascii="Times New Roman" w:hAnsi="Times New Roman" w:cs="Times New Roman"/>
                <w:b/>
                <w:bCs/>
                <w:snapToGrid w:val="0"/>
                <w:color w:val="auto"/>
                <w:kern w:val="0"/>
                <w:sz w:val="21"/>
                <w:szCs w:val="21"/>
                <w:lang w:eastAsia="zh-CN"/>
              </w:rPr>
              <w:t>如皋市</w:t>
            </w:r>
            <w:r>
              <w:rPr>
                <w:rFonts w:hint="eastAsia" w:ascii="Times New Roman" w:hAnsi="Times New Roman" w:cs="Times New Roman"/>
                <w:b/>
                <w:bCs/>
                <w:snapToGrid w:val="0"/>
                <w:color w:val="auto"/>
                <w:kern w:val="0"/>
                <w:sz w:val="21"/>
                <w:szCs w:val="21"/>
              </w:rPr>
              <w:t>区域空气质量</w:t>
            </w:r>
            <w:r>
              <w:rPr>
                <w:rFonts w:ascii="Times New Roman" w:hAnsi="Times New Roman" w:cs="Times New Roman"/>
                <w:b/>
                <w:bCs/>
                <w:snapToGrid w:val="0"/>
                <w:color w:val="auto"/>
                <w:kern w:val="0"/>
                <w:sz w:val="21"/>
                <w:szCs w:val="21"/>
              </w:rPr>
              <w:t>状况</w:t>
            </w:r>
          </w:p>
          <w:tbl>
            <w:tblPr>
              <w:tblStyle w:val="23"/>
              <w:tblpPr w:leftFromText="180" w:rightFromText="180" w:vertAnchor="text" w:horzAnchor="margin" w:tblpY="10"/>
              <w:tblOverlap w:val="never"/>
              <w:tblW w:w="4994"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44"/>
              <w:gridCol w:w="1735"/>
              <w:gridCol w:w="1187"/>
              <w:gridCol w:w="1359"/>
              <w:gridCol w:w="1116"/>
              <w:gridCol w:w="1149"/>
            </w:tblGrid>
            <w:tr w14:paraId="0103D44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3" w:type="pct"/>
                  <w:noWrap w:val="0"/>
                  <w:vAlign w:val="center"/>
                </w:tcPr>
                <w:p w14:paraId="54C92B59">
                  <w:pPr>
                    <w:spacing w:line="240" w:lineRule="auto"/>
                    <w:ind w:firstLine="0" w:firstLineChars="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污染物</w:t>
                  </w:r>
                </w:p>
              </w:tc>
              <w:tc>
                <w:tcPr>
                  <w:tcW w:w="1085" w:type="pct"/>
                  <w:noWrap w:val="0"/>
                  <w:vAlign w:val="center"/>
                </w:tcPr>
                <w:p w14:paraId="1AFB4BB3">
                  <w:pPr>
                    <w:spacing w:line="240" w:lineRule="auto"/>
                    <w:ind w:firstLine="0" w:firstLineChars="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年评价指标</w:t>
                  </w:r>
                </w:p>
              </w:tc>
              <w:tc>
                <w:tcPr>
                  <w:tcW w:w="742" w:type="pct"/>
                  <w:noWrap w:val="0"/>
                  <w:vAlign w:val="center"/>
                </w:tcPr>
                <w:p w14:paraId="2A24A050">
                  <w:pPr>
                    <w:autoSpaceDE w:val="0"/>
                    <w:autoSpaceDN w:val="0"/>
                    <w:adjustRightInd w:val="0"/>
                    <w:spacing w:line="240" w:lineRule="auto"/>
                    <w:ind w:firstLine="0" w:firstLineChars="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现状浓度/（μg/m</w:t>
                  </w:r>
                  <w:r>
                    <w:rPr>
                      <w:rFonts w:hint="default" w:ascii="Times New Roman" w:hAnsi="Times New Roman" w:cs="Times New Roman"/>
                      <w:b/>
                      <w:color w:val="auto"/>
                      <w:sz w:val="21"/>
                      <w:szCs w:val="21"/>
                      <w:vertAlign w:val="superscript"/>
                    </w:rPr>
                    <w:t>3</w:t>
                  </w:r>
                  <w:r>
                    <w:rPr>
                      <w:rFonts w:hint="default" w:ascii="Times New Roman" w:hAnsi="Times New Roman" w:cs="Times New Roman"/>
                      <w:b/>
                      <w:color w:val="auto"/>
                      <w:sz w:val="21"/>
                      <w:szCs w:val="21"/>
                    </w:rPr>
                    <w:t>）</w:t>
                  </w:r>
                </w:p>
              </w:tc>
              <w:tc>
                <w:tcPr>
                  <w:tcW w:w="850" w:type="pct"/>
                  <w:noWrap w:val="0"/>
                  <w:vAlign w:val="center"/>
                </w:tcPr>
                <w:p w14:paraId="1A230268">
                  <w:pPr>
                    <w:spacing w:line="240" w:lineRule="auto"/>
                    <w:ind w:firstLine="0" w:firstLineChars="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标准值/（μg/m</w:t>
                  </w:r>
                  <w:r>
                    <w:rPr>
                      <w:rFonts w:hint="default" w:ascii="Times New Roman" w:hAnsi="Times New Roman" w:cs="Times New Roman"/>
                      <w:b/>
                      <w:color w:val="auto"/>
                      <w:sz w:val="21"/>
                      <w:szCs w:val="21"/>
                      <w:vertAlign w:val="superscript"/>
                    </w:rPr>
                    <w:t>3</w:t>
                  </w:r>
                  <w:r>
                    <w:rPr>
                      <w:rFonts w:hint="default" w:ascii="Times New Roman" w:hAnsi="Times New Roman" w:cs="Times New Roman"/>
                      <w:b/>
                      <w:color w:val="auto"/>
                      <w:sz w:val="21"/>
                      <w:szCs w:val="21"/>
                    </w:rPr>
                    <w:t>）</w:t>
                  </w:r>
                </w:p>
              </w:tc>
              <w:tc>
                <w:tcPr>
                  <w:tcW w:w="698" w:type="pct"/>
                  <w:noWrap w:val="0"/>
                  <w:vAlign w:val="center"/>
                </w:tcPr>
                <w:p w14:paraId="2A18B064">
                  <w:pPr>
                    <w:spacing w:line="240" w:lineRule="auto"/>
                    <w:ind w:firstLine="0" w:firstLineChars="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占标率/</w:t>
                  </w:r>
                </w:p>
                <w:p w14:paraId="25C61168">
                  <w:pPr>
                    <w:spacing w:line="240" w:lineRule="auto"/>
                    <w:ind w:firstLine="0" w:firstLineChars="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w:t>
                  </w:r>
                </w:p>
              </w:tc>
              <w:tc>
                <w:tcPr>
                  <w:tcW w:w="718" w:type="pct"/>
                  <w:noWrap w:val="0"/>
                  <w:vAlign w:val="center"/>
                </w:tcPr>
                <w:p w14:paraId="7BE658D9">
                  <w:pPr>
                    <w:spacing w:line="240" w:lineRule="auto"/>
                    <w:ind w:firstLine="0" w:firstLineChars="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达标情况</w:t>
                  </w:r>
                </w:p>
              </w:tc>
            </w:tr>
            <w:tr w14:paraId="76A563D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3" w:type="pct"/>
                  <w:noWrap w:val="0"/>
                  <w:vAlign w:val="center"/>
                </w:tcPr>
                <w:p w14:paraId="4DBFF5AD">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SO</w:t>
                  </w:r>
                  <w:r>
                    <w:rPr>
                      <w:rFonts w:hint="default" w:ascii="Times New Roman" w:hAnsi="Times New Roman" w:cs="Times New Roman"/>
                      <w:color w:val="auto"/>
                      <w:sz w:val="21"/>
                      <w:szCs w:val="21"/>
                      <w:vertAlign w:val="subscript"/>
                    </w:rPr>
                    <w:t>2</w:t>
                  </w:r>
                </w:p>
              </w:tc>
              <w:tc>
                <w:tcPr>
                  <w:tcW w:w="1085" w:type="pct"/>
                  <w:noWrap w:val="0"/>
                  <w:vAlign w:val="center"/>
                </w:tcPr>
                <w:p w14:paraId="6272A201">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年平均质量浓度</w:t>
                  </w:r>
                </w:p>
              </w:tc>
              <w:tc>
                <w:tcPr>
                  <w:tcW w:w="742" w:type="pct"/>
                  <w:noWrap w:val="0"/>
                  <w:vAlign w:val="center"/>
                </w:tcPr>
                <w:p w14:paraId="74622625">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rPr>
                    <w:t>9</w:t>
                  </w:r>
                </w:p>
              </w:tc>
              <w:tc>
                <w:tcPr>
                  <w:tcW w:w="850" w:type="pct"/>
                  <w:noWrap w:val="0"/>
                  <w:vAlign w:val="center"/>
                </w:tcPr>
                <w:p w14:paraId="3FB512AD">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60</w:t>
                  </w:r>
                </w:p>
              </w:tc>
              <w:tc>
                <w:tcPr>
                  <w:tcW w:w="698" w:type="pct"/>
                  <w:noWrap w:val="0"/>
                  <w:vAlign w:val="center"/>
                </w:tcPr>
                <w:p w14:paraId="6AE6A4B9">
                  <w:pPr>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lang w:val="en-US" w:eastAsia="zh-CN"/>
                    </w:rPr>
                    <w:t>15</w:t>
                  </w:r>
                </w:p>
              </w:tc>
              <w:tc>
                <w:tcPr>
                  <w:tcW w:w="718" w:type="pct"/>
                  <w:noWrap w:val="0"/>
                  <w:vAlign w:val="center"/>
                </w:tcPr>
                <w:p w14:paraId="36E288B6">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达标</w:t>
                  </w:r>
                </w:p>
              </w:tc>
            </w:tr>
            <w:tr w14:paraId="1DF5B47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3" w:type="pct"/>
                  <w:noWrap w:val="0"/>
                  <w:vAlign w:val="center"/>
                </w:tcPr>
                <w:p w14:paraId="04240B74">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NO</w:t>
                  </w:r>
                  <w:r>
                    <w:rPr>
                      <w:rFonts w:hint="default" w:ascii="Times New Roman" w:hAnsi="Times New Roman" w:cs="Times New Roman"/>
                      <w:color w:val="auto"/>
                      <w:sz w:val="21"/>
                      <w:szCs w:val="21"/>
                      <w:vertAlign w:val="subscript"/>
                    </w:rPr>
                    <w:t>2</w:t>
                  </w:r>
                </w:p>
              </w:tc>
              <w:tc>
                <w:tcPr>
                  <w:tcW w:w="1085" w:type="pct"/>
                  <w:noWrap w:val="0"/>
                  <w:vAlign w:val="center"/>
                </w:tcPr>
                <w:p w14:paraId="2D1EA371">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年平均质量浓度</w:t>
                  </w:r>
                </w:p>
              </w:tc>
              <w:tc>
                <w:tcPr>
                  <w:tcW w:w="742" w:type="pct"/>
                  <w:noWrap w:val="0"/>
                  <w:vAlign w:val="center"/>
                </w:tcPr>
                <w:p w14:paraId="794E932C">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rPr>
                    <w:t>22</w:t>
                  </w:r>
                </w:p>
              </w:tc>
              <w:tc>
                <w:tcPr>
                  <w:tcW w:w="850" w:type="pct"/>
                  <w:noWrap w:val="0"/>
                  <w:vAlign w:val="center"/>
                </w:tcPr>
                <w:p w14:paraId="5779AAEE">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40</w:t>
                  </w:r>
                </w:p>
              </w:tc>
              <w:tc>
                <w:tcPr>
                  <w:tcW w:w="698" w:type="pct"/>
                  <w:noWrap w:val="0"/>
                  <w:vAlign w:val="center"/>
                </w:tcPr>
                <w:p w14:paraId="28F172AC">
                  <w:pPr>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lang w:val="en-US" w:eastAsia="zh-CN"/>
                    </w:rPr>
                    <w:t>55</w:t>
                  </w:r>
                </w:p>
              </w:tc>
              <w:tc>
                <w:tcPr>
                  <w:tcW w:w="718" w:type="pct"/>
                  <w:noWrap w:val="0"/>
                  <w:vAlign w:val="center"/>
                </w:tcPr>
                <w:p w14:paraId="32193754">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达标</w:t>
                  </w:r>
                </w:p>
              </w:tc>
            </w:tr>
            <w:tr w14:paraId="4E5394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3" w:type="pct"/>
                  <w:noWrap w:val="0"/>
                  <w:vAlign w:val="center"/>
                </w:tcPr>
                <w:p w14:paraId="0CF1564B">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PM</w:t>
                  </w:r>
                  <w:r>
                    <w:rPr>
                      <w:rFonts w:hint="default" w:ascii="Times New Roman" w:hAnsi="Times New Roman" w:cs="Times New Roman"/>
                      <w:color w:val="auto"/>
                      <w:sz w:val="21"/>
                      <w:szCs w:val="21"/>
                      <w:vertAlign w:val="subscript"/>
                    </w:rPr>
                    <w:t>10</w:t>
                  </w:r>
                </w:p>
              </w:tc>
              <w:tc>
                <w:tcPr>
                  <w:tcW w:w="1085" w:type="pct"/>
                  <w:noWrap w:val="0"/>
                  <w:vAlign w:val="center"/>
                </w:tcPr>
                <w:p w14:paraId="7511CBE5">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年平均质量浓度</w:t>
                  </w:r>
                </w:p>
              </w:tc>
              <w:tc>
                <w:tcPr>
                  <w:tcW w:w="742" w:type="pct"/>
                  <w:noWrap w:val="0"/>
                  <w:vAlign w:val="center"/>
                </w:tcPr>
                <w:p w14:paraId="3ABA9B7C">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rPr>
                    <w:t>51</w:t>
                  </w:r>
                </w:p>
              </w:tc>
              <w:tc>
                <w:tcPr>
                  <w:tcW w:w="850" w:type="pct"/>
                  <w:noWrap w:val="0"/>
                  <w:vAlign w:val="center"/>
                </w:tcPr>
                <w:p w14:paraId="76E58058">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70</w:t>
                  </w:r>
                </w:p>
              </w:tc>
              <w:tc>
                <w:tcPr>
                  <w:tcW w:w="698" w:type="pct"/>
                  <w:noWrap w:val="0"/>
                  <w:vAlign w:val="center"/>
                </w:tcPr>
                <w:p w14:paraId="20A8082B">
                  <w:pPr>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72.9</w:t>
                  </w:r>
                </w:p>
              </w:tc>
              <w:tc>
                <w:tcPr>
                  <w:tcW w:w="718" w:type="pct"/>
                  <w:noWrap w:val="0"/>
                  <w:vAlign w:val="center"/>
                </w:tcPr>
                <w:p w14:paraId="15B65F08">
                  <w:pPr>
                    <w:spacing w:line="240" w:lineRule="auto"/>
                    <w:ind w:firstLine="0" w:firstLineChars="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达标</w:t>
                  </w:r>
                </w:p>
              </w:tc>
            </w:tr>
            <w:tr w14:paraId="57DF5ED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3" w:type="pct"/>
                  <w:noWrap w:val="0"/>
                  <w:vAlign w:val="center"/>
                </w:tcPr>
                <w:p w14:paraId="58EAA639">
                  <w:pPr>
                    <w:spacing w:line="240" w:lineRule="auto"/>
                    <w:ind w:firstLine="0" w:firstLineChars="0"/>
                    <w:jc w:val="center"/>
                    <w:rPr>
                      <w:rFonts w:hint="default" w:ascii="Times New Roman" w:hAnsi="Times New Roman" w:cs="Times New Roman"/>
                      <w:color w:val="auto"/>
                      <w:sz w:val="21"/>
                      <w:szCs w:val="21"/>
                      <w:vertAlign w:val="subscript"/>
                    </w:rPr>
                  </w:pPr>
                  <w:r>
                    <w:rPr>
                      <w:rFonts w:hint="default" w:ascii="Times New Roman" w:hAnsi="Times New Roman" w:cs="Times New Roman"/>
                      <w:color w:val="auto"/>
                      <w:sz w:val="21"/>
                      <w:szCs w:val="21"/>
                    </w:rPr>
                    <w:t>PM</w:t>
                  </w:r>
                  <w:r>
                    <w:rPr>
                      <w:rFonts w:hint="default" w:ascii="Times New Roman" w:hAnsi="Times New Roman" w:cs="Times New Roman"/>
                      <w:color w:val="auto"/>
                      <w:sz w:val="21"/>
                      <w:szCs w:val="21"/>
                      <w:vertAlign w:val="subscript"/>
                    </w:rPr>
                    <w:t>2.5</w:t>
                  </w:r>
                </w:p>
              </w:tc>
              <w:tc>
                <w:tcPr>
                  <w:tcW w:w="1085" w:type="pct"/>
                  <w:noWrap w:val="0"/>
                  <w:vAlign w:val="center"/>
                </w:tcPr>
                <w:p w14:paraId="366227E9">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年平均质量浓度</w:t>
                  </w:r>
                </w:p>
              </w:tc>
              <w:tc>
                <w:tcPr>
                  <w:tcW w:w="742" w:type="pct"/>
                  <w:noWrap w:val="0"/>
                  <w:vAlign w:val="center"/>
                </w:tcPr>
                <w:p w14:paraId="683C5922">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rPr>
                    <w:t>32</w:t>
                  </w:r>
                </w:p>
              </w:tc>
              <w:tc>
                <w:tcPr>
                  <w:tcW w:w="850" w:type="pct"/>
                  <w:noWrap w:val="0"/>
                  <w:vAlign w:val="center"/>
                </w:tcPr>
                <w:p w14:paraId="01BC9B99">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35</w:t>
                  </w:r>
                </w:p>
              </w:tc>
              <w:tc>
                <w:tcPr>
                  <w:tcW w:w="698" w:type="pct"/>
                  <w:noWrap w:val="0"/>
                  <w:vAlign w:val="center"/>
                </w:tcPr>
                <w:p w14:paraId="3CB128A8">
                  <w:pPr>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91.4</w:t>
                  </w:r>
                </w:p>
              </w:tc>
              <w:tc>
                <w:tcPr>
                  <w:tcW w:w="718" w:type="pct"/>
                  <w:noWrap w:val="0"/>
                  <w:vAlign w:val="center"/>
                </w:tcPr>
                <w:p w14:paraId="5A7E75B3">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达标</w:t>
                  </w:r>
                </w:p>
              </w:tc>
            </w:tr>
            <w:tr w14:paraId="4517501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3" w:type="pct"/>
                  <w:noWrap w:val="0"/>
                  <w:vAlign w:val="center"/>
                </w:tcPr>
                <w:p w14:paraId="0BEA90F6">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CO（第95百分位数，单位mg/m</w:t>
                  </w:r>
                  <w:r>
                    <w:rPr>
                      <w:rFonts w:hint="eastAsia" w:ascii="Times New Roman" w:hAnsi="Times New Roman" w:cs="Times New Roman"/>
                      <w:color w:val="auto"/>
                      <w:sz w:val="21"/>
                      <w:szCs w:val="21"/>
                      <w:vertAlign w:val="superscript"/>
                      <w:lang w:val="en-US" w:eastAsia="zh-CN"/>
                    </w:rPr>
                    <w:t>3</w:t>
                  </w:r>
                  <w:r>
                    <w:rPr>
                      <w:rFonts w:hint="eastAsia" w:ascii="Times New Roman" w:hAnsi="Times New Roman" w:cs="Times New Roman"/>
                      <w:color w:val="auto"/>
                      <w:sz w:val="21"/>
                      <w:szCs w:val="21"/>
                      <w:lang w:val="en-US" w:eastAsia="zh-CN"/>
                    </w:rPr>
                    <w:t>）</w:t>
                  </w:r>
                </w:p>
              </w:tc>
              <w:tc>
                <w:tcPr>
                  <w:tcW w:w="1085" w:type="pct"/>
                  <w:noWrap w:val="0"/>
                  <w:vAlign w:val="center"/>
                </w:tcPr>
                <w:p w14:paraId="2F89919D">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年平均质量浓度</w:t>
                  </w:r>
                </w:p>
              </w:tc>
              <w:tc>
                <w:tcPr>
                  <w:tcW w:w="742" w:type="pct"/>
                  <w:noWrap w:val="0"/>
                  <w:vAlign w:val="center"/>
                </w:tcPr>
                <w:p w14:paraId="1E1D7665">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rPr>
                    <w:t>1.1</w:t>
                  </w:r>
                </w:p>
              </w:tc>
              <w:tc>
                <w:tcPr>
                  <w:tcW w:w="850" w:type="pct"/>
                  <w:noWrap w:val="0"/>
                  <w:vAlign w:val="center"/>
                </w:tcPr>
                <w:p w14:paraId="1A414D76">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4</w:t>
                  </w:r>
                </w:p>
              </w:tc>
              <w:tc>
                <w:tcPr>
                  <w:tcW w:w="698" w:type="pct"/>
                  <w:noWrap w:val="0"/>
                  <w:vAlign w:val="center"/>
                </w:tcPr>
                <w:p w14:paraId="68E9C030">
                  <w:pPr>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27.5</w:t>
                  </w:r>
                </w:p>
              </w:tc>
              <w:tc>
                <w:tcPr>
                  <w:tcW w:w="718" w:type="pct"/>
                  <w:noWrap w:val="0"/>
                  <w:vAlign w:val="center"/>
                </w:tcPr>
                <w:p w14:paraId="1CE094B0">
                  <w:pPr>
                    <w:spacing w:line="240" w:lineRule="auto"/>
                    <w:ind w:firstLine="0" w:firstLineChars="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达标</w:t>
                  </w:r>
                </w:p>
              </w:tc>
            </w:tr>
            <w:tr w14:paraId="2FE516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3" w:type="pct"/>
                  <w:noWrap w:val="0"/>
                  <w:vAlign w:val="center"/>
                </w:tcPr>
                <w:p w14:paraId="0CA1C2A4">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O</w:t>
                  </w:r>
                  <w:r>
                    <w:rPr>
                      <w:rFonts w:hint="eastAsia" w:ascii="Times New Roman" w:hAnsi="Times New Roman" w:cs="Times New Roman"/>
                      <w:color w:val="auto"/>
                      <w:sz w:val="21"/>
                      <w:szCs w:val="21"/>
                      <w:vertAlign w:val="subscript"/>
                      <w:lang w:val="en-US" w:eastAsia="zh-CN"/>
                    </w:rPr>
                    <w:t>3</w:t>
                  </w:r>
                  <w:r>
                    <w:rPr>
                      <w:rFonts w:hint="eastAsia" w:ascii="Times New Roman" w:hAnsi="Times New Roman" w:cs="Times New Roman"/>
                      <w:color w:val="auto"/>
                      <w:sz w:val="21"/>
                      <w:szCs w:val="21"/>
                      <w:lang w:val="en-US" w:eastAsia="zh-CN"/>
                    </w:rPr>
                    <w:t>（日最大8小时滑动平均值第90百分位数）</w:t>
                  </w:r>
                </w:p>
              </w:tc>
              <w:tc>
                <w:tcPr>
                  <w:tcW w:w="1085" w:type="pct"/>
                  <w:noWrap w:val="0"/>
                  <w:vAlign w:val="center"/>
                </w:tcPr>
                <w:p w14:paraId="0227005B">
                  <w:pPr>
                    <w:spacing w:line="240" w:lineRule="auto"/>
                    <w:ind w:firstLine="0" w:firstLineChars="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日均浓度</w:t>
                  </w:r>
                </w:p>
              </w:tc>
              <w:tc>
                <w:tcPr>
                  <w:tcW w:w="742" w:type="pct"/>
                  <w:noWrap w:val="0"/>
                  <w:vAlign w:val="center"/>
                </w:tcPr>
                <w:p w14:paraId="7978CCE6">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rPr>
                    <w:t>169</w:t>
                  </w:r>
                </w:p>
              </w:tc>
              <w:tc>
                <w:tcPr>
                  <w:tcW w:w="850" w:type="pct"/>
                  <w:noWrap w:val="0"/>
                  <w:vAlign w:val="center"/>
                </w:tcPr>
                <w:p w14:paraId="24970B50">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160</w:t>
                  </w:r>
                </w:p>
              </w:tc>
              <w:tc>
                <w:tcPr>
                  <w:tcW w:w="698" w:type="pct"/>
                  <w:noWrap w:val="0"/>
                  <w:vAlign w:val="center"/>
                </w:tcPr>
                <w:p w14:paraId="67FE1853">
                  <w:pPr>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105.6</w:t>
                  </w:r>
                </w:p>
              </w:tc>
              <w:tc>
                <w:tcPr>
                  <w:tcW w:w="718" w:type="pct"/>
                  <w:noWrap w:val="0"/>
                  <w:vAlign w:val="center"/>
                </w:tcPr>
                <w:p w14:paraId="56AEF632">
                  <w:pPr>
                    <w:spacing w:line="240" w:lineRule="auto"/>
                    <w:ind w:firstLine="0" w:firstLineChars="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不</w:t>
                  </w:r>
                  <w:r>
                    <w:rPr>
                      <w:rFonts w:hint="eastAsia" w:ascii="Times New Roman" w:hAnsi="Times New Roman" w:cs="Times New Roman"/>
                      <w:color w:val="auto"/>
                      <w:sz w:val="21"/>
                      <w:szCs w:val="21"/>
                      <w:lang w:eastAsia="zh-CN"/>
                    </w:rPr>
                    <w:t>达标</w:t>
                  </w:r>
                </w:p>
              </w:tc>
            </w:tr>
          </w:tbl>
          <w:p w14:paraId="726D1E6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color w:val="000000"/>
                <w:sz w:val="21"/>
                <w:szCs w:val="21"/>
                <w:highlight w:val="none"/>
                <w:lang w:eastAsia="zh-CN"/>
              </w:rPr>
            </w:pPr>
            <w:r>
              <w:rPr>
                <w:rFonts w:hint="default" w:ascii="Times New Roman" w:hAnsi="Times New Roman" w:eastAsia="宋体" w:cs="Times New Roman"/>
                <w:color w:val="000000"/>
                <w:sz w:val="21"/>
                <w:szCs w:val="21"/>
                <w:highlight w:val="none"/>
              </w:rPr>
              <w:t>20</w:t>
            </w:r>
            <w:r>
              <w:rPr>
                <w:rFonts w:hint="default" w:ascii="Times New Roman" w:hAnsi="Times New Roman" w:eastAsia="宋体" w:cs="Times New Roman"/>
                <w:color w:val="000000"/>
                <w:sz w:val="21"/>
                <w:szCs w:val="21"/>
                <w:highlight w:val="none"/>
                <w:lang w:val="en-US" w:eastAsia="zh-CN"/>
              </w:rPr>
              <w:t>2</w:t>
            </w:r>
            <w:r>
              <w:rPr>
                <w:rFonts w:hint="eastAsia" w:ascii="Times New Roman" w:hAnsi="Times New Roman" w:eastAsia="宋体" w:cs="Times New Roman"/>
                <w:color w:val="000000"/>
                <w:sz w:val="21"/>
                <w:szCs w:val="21"/>
                <w:highlight w:val="none"/>
                <w:lang w:val="en-US" w:eastAsia="zh-CN"/>
              </w:rPr>
              <w:t>3</w:t>
            </w:r>
            <w:r>
              <w:rPr>
                <w:rFonts w:hint="default" w:ascii="Times New Roman" w:hAnsi="Times New Roman" w:eastAsia="宋体" w:cs="Times New Roman"/>
                <w:color w:val="000000"/>
                <w:sz w:val="21"/>
                <w:szCs w:val="21"/>
                <w:highlight w:val="none"/>
              </w:rPr>
              <w:t>年如皋</w:t>
            </w:r>
            <w:r>
              <w:rPr>
                <w:rFonts w:hint="default" w:ascii="Times New Roman" w:hAnsi="Times New Roman" w:eastAsia="宋体" w:cs="Times New Roman"/>
                <w:color w:val="000000"/>
                <w:sz w:val="21"/>
                <w:szCs w:val="21"/>
                <w:highlight w:val="none"/>
                <w:lang w:eastAsia="zh-CN"/>
              </w:rPr>
              <w:t>除O</w:t>
            </w:r>
            <w:r>
              <w:rPr>
                <w:rFonts w:hint="default" w:ascii="Times New Roman" w:hAnsi="Times New Roman" w:eastAsia="宋体" w:cs="Times New Roman"/>
                <w:color w:val="000000"/>
                <w:sz w:val="21"/>
                <w:szCs w:val="21"/>
                <w:highlight w:val="none"/>
                <w:vertAlign w:val="subscript"/>
                <w:lang w:eastAsia="zh-CN"/>
              </w:rPr>
              <w:t>3</w:t>
            </w:r>
            <w:r>
              <w:rPr>
                <w:rFonts w:hint="default" w:ascii="Times New Roman" w:hAnsi="Times New Roman" w:eastAsia="宋体" w:cs="Times New Roman"/>
                <w:color w:val="000000"/>
                <w:sz w:val="21"/>
                <w:szCs w:val="21"/>
                <w:highlight w:val="none"/>
                <w:lang w:eastAsia="zh-CN"/>
              </w:rPr>
              <w:t>外基本污染物均</w:t>
            </w:r>
            <w:r>
              <w:rPr>
                <w:rFonts w:hint="default" w:ascii="Times New Roman" w:hAnsi="Times New Roman" w:eastAsia="宋体" w:cs="Times New Roman"/>
                <w:color w:val="000000"/>
                <w:sz w:val="21"/>
                <w:szCs w:val="21"/>
                <w:highlight w:val="none"/>
                <w:vertAlign w:val="baseline"/>
                <w:lang w:eastAsia="zh-CN"/>
              </w:rPr>
              <w:t>能</w:t>
            </w:r>
            <w:r>
              <w:rPr>
                <w:rFonts w:hint="default" w:ascii="Times New Roman" w:hAnsi="Times New Roman" w:eastAsia="宋体" w:cs="Times New Roman"/>
                <w:color w:val="000000"/>
                <w:sz w:val="21"/>
                <w:szCs w:val="21"/>
                <w:highlight w:val="none"/>
              </w:rPr>
              <w:t>满足《环境空气质量标准》（GB3095-2012）二级标准，</w:t>
            </w:r>
            <w:r>
              <w:rPr>
                <w:rFonts w:hint="default" w:ascii="Times New Roman" w:hAnsi="Times New Roman" w:eastAsia="宋体" w:cs="Times New Roman"/>
                <w:color w:val="000000"/>
                <w:sz w:val="21"/>
                <w:szCs w:val="21"/>
                <w:highlight w:val="none"/>
                <w:lang w:eastAsia="zh-CN"/>
              </w:rPr>
              <w:t>O</w:t>
            </w:r>
            <w:r>
              <w:rPr>
                <w:rFonts w:hint="default" w:ascii="Times New Roman" w:hAnsi="Times New Roman" w:eastAsia="宋体" w:cs="Times New Roman"/>
                <w:color w:val="000000"/>
                <w:sz w:val="21"/>
                <w:szCs w:val="21"/>
                <w:highlight w:val="none"/>
                <w:vertAlign w:val="subscript"/>
                <w:lang w:eastAsia="zh-CN"/>
              </w:rPr>
              <w:t>3</w:t>
            </w:r>
            <w:r>
              <w:rPr>
                <w:rFonts w:hint="default" w:ascii="Times New Roman" w:hAnsi="Times New Roman" w:eastAsia="宋体" w:cs="Times New Roman"/>
                <w:color w:val="000000"/>
                <w:sz w:val="21"/>
                <w:szCs w:val="21"/>
                <w:highlight w:val="none"/>
              </w:rPr>
              <w:t>8h平均第90分位质量浓度劣于二级标准</w:t>
            </w:r>
            <w:r>
              <w:rPr>
                <w:rFonts w:hint="default" w:ascii="Times New Roman" w:hAnsi="Times New Roman" w:eastAsia="宋体" w:cs="Times New Roman"/>
                <w:color w:val="000000"/>
                <w:sz w:val="21"/>
                <w:szCs w:val="21"/>
                <w:highlight w:val="none"/>
                <w:lang w:eastAsia="zh-CN"/>
              </w:rPr>
              <w:t>，综上所述，判定项目所在区域属于不达标区。</w:t>
            </w:r>
          </w:p>
          <w:p w14:paraId="3D710AE3">
            <w:pPr>
              <w:spacing w:line="360" w:lineRule="auto"/>
              <w:ind w:firstLine="420" w:firstLineChars="200"/>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highlight w:val="none"/>
                <w:lang w:val="en-US" w:eastAsia="zh-CN"/>
              </w:rPr>
              <w:t>根据《市政府关于印发南通市空气质量持续改善行动计划实施方案的通知》（通政发2024年24号）中</w:t>
            </w:r>
            <w:r>
              <w:rPr>
                <w:rFonts w:hint="eastAsia" w:cs="Times New Roman"/>
                <w:color w:val="000000"/>
                <w:sz w:val="21"/>
                <w:szCs w:val="21"/>
                <w:highlight w:val="none"/>
                <w:lang w:val="en-US" w:eastAsia="zh-CN"/>
              </w:rPr>
              <w:t>“</w:t>
            </w:r>
            <w:r>
              <w:rPr>
                <w:rFonts w:hint="eastAsia" w:ascii="Times New Roman" w:hAnsi="Times New Roman" w:eastAsia="宋体" w:cs="Times New Roman"/>
                <w:color w:val="000000"/>
                <w:sz w:val="21"/>
                <w:szCs w:val="21"/>
                <w:highlight w:val="none"/>
                <w:lang w:val="en-US" w:eastAsia="zh-CN"/>
              </w:rPr>
              <w:t>二、优化产业结构，促进产业产品绿色升级；六、强化多污染物减排，切实降低排放强度。（十二）强化 VOCs 全流程、全环节综合治理。（十三）推进重点行业超低排放与提标改造。”等实施方案要求，持续推进环境空气质量持续改善</w:t>
            </w:r>
            <w:r>
              <w:rPr>
                <w:rFonts w:hint="eastAsia" w:cs="Times New Roman"/>
                <w:color w:val="000000"/>
                <w:sz w:val="21"/>
                <w:szCs w:val="21"/>
                <w:highlight w:val="none"/>
                <w:lang w:val="en-US" w:eastAsia="zh-CN"/>
              </w:rPr>
              <w:t>。</w:t>
            </w:r>
            <w:r>
              <w:rPr>
                <w:rFonts w:hint="eastAsia" w:ascii="Times New Roman" w:hAnsi="Times New Roman" w:eastAsia="宋体" w:cs="Times New Roman"/>
                <w:color w:val="000000"/>
                <w:sz w:val="21"/>
                <w:szCs w:val="21"/>
                <w:highlight w:val="none"/>
                <w:lang w:val="en-US" w:eastAsia="zh-CN"/>
              </w:rPr>
              <w:t>如皋市将</w:t>
            </w:r>
            <w:r>
              <w:rPr>
                <w:rFonts w:hint="default" w:ascii="Times New Roman" w:hAnsi="Times New Roman" w:eastAsia="宋体" w:cs="Times New Roman"/>
                <w:color w:val="000000"/>
                <w:sz w:val="21"/>
                <w:szCs w:val="21"/>
                <w:highlight w:val="none"/>
                <w:lang w:val="en-US" w:eastAsia="zh-CN"/>
              </w:rPr>
              <w:t>加快推进清洁原料源头替代，大力实施重点工艺环节综合治理，深入推动重点行业超低排放改造及深度治理。通过上述措施，我市大气环境质量状况可以得到进一步改善。</w:t>
            </w:r>
          </w:p>
          <w:p w14:paraId="6666F71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lang w:val="en-US" w:eastAsia="zh-CN"/>
              </w:rPr>
              <w:t>2</w:t>
            </w: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snapToGrid w:val="0"/>
                <w:color w:val="000000"/>
                <w:kern w:val="0"/>
                <w:sz w:val="21"/>
                <w:szCs w:val="21"/>
                <w:lang w:val="en-US" w:eastAsia="zh-CN" w:bidi="ar-SA"/>
              </w:rPr>
              <w:t>特征污染物环境质量现状</w:t>
            </w:r>
          </w:p>
          <w:p w14:paraId="348DF84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20" w:firstLineChars="200"/>
              <w:jc w:val="left"/>
              <w:textAlignment w:val="auto"/>
              <w:rPr>
                <w:rFonts w:hint="default" w:ascii="Times New Roman" w:hAnsi="Times New Roman" w:cs="Times New Roman"/>
                <w:b/>
                <w:bCs/>
                <w:color w:val="auto"/>
                <w:kern w:val="0"/>
                <w:sz w:val="21"/>
                <w:szCs w:val="21"/>
                <w:lang w:val="en-US" w:eastAsia="zh-CN"/>
              </w:rPr>
            </w:pPr>
            <w:r>
              <w:rPr>
                <w:rFonts w:hint="eastAsia" w:ascii="Times New Roman" w:hAnsi="Times New Roman" w:eastAsia="宋体" w:cs="Times New Roman"/>
                <w:color w:val="000000"/>
                <w:sz w:val="21"/>
                <w:szCs w:val="21"/>
                <w:lang w:eastAsia="zh-CN"/>
              </w:rPr>
              <w:t>本项目特征污染物因子为</w:t>
            </w:r>
            <w:r>
              <w:rPr>
                <w:rFonts w:hint="eastAsia" w:cs="Times New Roman"/>
                <w:color w:val="000000"/>
                <w:sz w:val="21"/>
                <w:szCs w:val="21"/>
                <w:lang w:eastAsia="zh-CN"/>
              </w:rPr>
              <w:t>氨</w:t>
            </w:r>
            <w:r>
              <w:rPr>
                <w:rFonts w:hint="eastAsia" w:ascii="Times New Roman" w:hAnsi="Times New Roman" w:eastAsia="宋体" w:cs="Times New Roman"/>
                <w:color w:val="000000"/>
                <w:sz w:val="21"/>
                <w:szCs w:val="21"/>
                <w:lang w:eastAsia="zh-CN"/>
              </w:rPr>
              <w:t>，</w:t>
            </w:r>
            <w:r>
              <w:rPr>
                <w:rFonts w:hint="eastAsia"/>
                <w:color w:val="000000"/>
                <w:lang w:eastAsia="zh-CN"/>
              </w:rPr>
              <w:t>无</w:t>
            </w:r>
            <w:r>
              <w:rPr>
                <w:rFonts w:hint="default" w:ascii="Times New Roman" w:hAnsi="Times New Roman" w:eastAsia="宋体" w:cs="Times New Roman"/>
                <w:color w:val="000000"/>
                <w:sz w:val="21"/>
                <w:szCs w:val="21"/>
                <w:lang w:eastAsia="zh-CN"/>
              </w:rPr>
              <w:t>国家、地方质量标准，不开展环境空气质量现状调查。</w:t>
            </w:r>
          </w:p>
          <w:p w14:paraId="528E18EA">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0" w:firstLineChars="0"/>
              <w:jc w:val="left"/>
              <w:textAlignment w:val="auto"/>
              <w:rPr>
                <w:rFonts w:hint="default" w:ascii="Times New Roman" w:hAnsi="Times New Roman" w:cs="Times New Roman"/>
                <w:b/>
                <w:bCs/>
                <w:color w:val="auto"/>
                <w:kern w:val="0"/>
                <w:sz w:val="21"/>
                <w:szCs w:val="21"/>
                <w:lang w:val="en-US" w:eastAsia="zh-CN"/>
              </w:rPr>
            </w:pPr>
            <w:r>
              <w:rPr>
                <w:rFonts w:hint="default" w:ascii="Times New Roman" w:hAnsi="Times New Roman" w:cs="Times New Roman"/>
                <w:b/>
                <w:bCs/>
                <w:color w:val="auto"/>
                <w:kern w:val="0"/>
                <w:sz w:val="21"/>
                <w:szCs w:val="21"/>
                <w:lang w:val="en-US" w:eastAsia="zh-CN"/>
              </w:rPr>
              <w:t>地表水环境</w:t>
            </w:r>
          </w:p>
          <w:p w14:paraId="3F6DDEB1">
            <w:pPr>
              <w:spacing w:line="360" w:lineRule="auto"/>
              <w:ind w:firstLine="480"/>
              <w:rPr>
                <w:rFonts w:hint="default" w:ascii="Times New Roman" w:hAnsi="Times New Roman" w:cs="Times New Roman"/>
                <w:color w:val="auto"/>
              </w:rPr>
            </w:pPr>
            <w:r>
              <w:rPr>
                <w:rFonts w:hint="default" w:ascii="Times New Roman" w:hAnsi="Times New Roman" w:cs="Times New Roman"/>
                <w:color w:val="auto"/>
                <w:sz w:val="21"/>
                <w:szCs w:val="21"/>
              </w:rPr>
              <w:t>根据《2023年度南通市生态环境状况公报》，南通市共有16个国家考核断面，均达到或优于《地表水环境质量标准》（GB3838-2002）Ⅲ类标准。55个省考以上断面中，碾砣港闸、聚南大桥、营船港闸、通吕二号桥等19个断面水质符合Ⅱ类标准，孙窑大桥、嫩江路桥、新江海河桥、团结新大桥等36个断面水质符合Ⅲ类标准，优Ⅲ类比例100%，高于省定98.2%的考核标准；无Ⅴ类和劣Ⅴ类断面</w:t>
            </w:r>
            <w:r>
              <w:rPr>
                <w:rFonts w:hint="default" w:ascii="Times New Roman" w:hAnsi="Times New Roman" w:cs="Times New Roman"/>
                <w:color w:val="auto"/>
              </w:rPr>
              <w:t>。</w:t>
            </w:r>
          </w:p>
          <w:p w14:paraId="66FEAD9A">
            <w:pPr>
              <w:spacing w:line="360" w:lineRule="auto"/>
              <w:ind w:firstLine="480"/>
              <w:rPr>
                <w:rFonts w:hint="default" w:ascii="Times New Roman" w:hAnsi="Times New Roman" w:cs="Times New Roman"/>
                <w:color w:val="FF0000"/>
                <w:sz w:val="21"/>
                <w:szCs w:val="21"/>
              </w:rPr>
            </w:pPr>
          </w:p>
          <w:p w14:paraId="7816223E">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0" w:firstLineChars="0"/>
              <w:jc w:val="left"/>
              <w:textAlignment w:val="auto"/>
              <w:rPr>
                <w:rFonts w:hint="default" w:ascii="Times New Roman" w:hAnsi="Times New Roman" w:cs="Times New Roman"/>
                <w:b/>
                <w:bCs/>
                <w:color w:val="auto"/>
                <w:kern w:val="0"/>
                <w:sz w:val="21"/>
                <w:szCs w:val="21"/>
                <w:lang w:val="en-US" w:eastAsia="zh-CN"/>
              </w:rPr>
            </w:pPr>
            <w:r>
              <w:rPr>
                <w:rFonts w:hint="default" w:ascii="Times New Roman" w:hAnsi="Times New Roman" w:cs="Times New Roman"/>
                <w:b/>
                <w:bCs/>
                <w:color w:val="auto"/>
                <w:kern w:val="0"/>
                <w:sz w:val="21"/>
                <w:szCs w:val="21"/>
                <w:lang w:val="en-US" w:eastAsia="zh-CN"/>
              </w:rPr>
              <w:t>声环境</w:t>
            </w:r>
          </w:p>
          <w:p w14:paraId="404EC766">
            <w:pPr>
              <w:pStyle w:val="22"/>
              <w:spacing w:line="360" w:lineRule="auto"/>
              <w:ind w:left="0" w:leftChars="0" w:firstLine="420" w:firstLineChars="200"/>
              <w:rPr>
                <w:rFonts w:hint="eastAsia" w:eastAsia="宋体"/>
                <w:lang w:eastAsia="zh-CN"/>
              </w:rPr>
            </w:pPr>
            <w:r>
              <w:rPr>
                <w:rFonts w:hint="eastAsia"/>
                <w:color w:val="auto"/>
                <w:sz w:val="21"/>
                <w:szCs w:val="21"/>
              </w:rPr>
              <w:t>根据《</w:t>
            </w:r>
            <w:r>
              <w:rPr>
                <w:color w:val="auto"/>
                <w:kern w:val="0"/>
                <w:sz w:val="21"/>
                <w:szCs w:val="21"/>
                <w:lang w:bidi="ar"/>
              </w:rPr>
              <w:t>如皋市区声环境功能区划分调整方案》</w:t>
            </w:r>
            <w:r>
              <w:rPr>
                <w:rFonts w:hint="eastAsia"/>
                <w:bCs/>
                <w:color w:val="auto"/>
                <w:sz w:val="21"/>
                <w:szCs w:val="21"/>
              </w:rPr>
              <w:t>及南通市如皋市生态环境局关于对《如皋市区声环境功能区划分调整方案》部分条文的解释（通如皋环</w:t>
            </w:r>
            <w:r>
              <w:rPr>
                <w:rFonts w:hint="eastAsia"/>
                <w:color w:val="auto"/>
                <w:sz w:val="21"/>
                <w:szCs w:val="21"/>
              </w:rPr>
              <w:t>〔2020〕67号</w:t>
            </w:r>
            <w:r>
              <w:rPr>
                <w:rFonts w:hint="eastAsia"/>
                <w:bCs/>
                <w:color w:val="auto"/>
                <w:sz w:val="21"/>
                <w:szCs w:val="21"/>
              </w:rPr>
              <w:t>），</w:t>
            </w:r>
            <w:r>
              <w:rPr>
                <w:rFonts w:hint="eastAsia"/>
                <w:bCs/>
                <w:color w:val="auto"/>
                <w:sz w:val="21"/>
                <w:szCs w:val="21"/>
                <w:lang w:eastAsia="zh-CN"/>
              </w:rPr>
              <w:t>对照附图</w:t>
            </w:r>
            <w:r>
              <w:rPr>
                <w:rFonts w:hint="eastAsia"/>
                <w:bCs/>
                <w:color w:val="auto"/>
                <w:sz w:val="21"/>
                <w:szCs w:val="21"/>
                <w:lang w:val="en-US" w:eastAsia="zh-CN"/>
              </w:rPr>
              <w:t>8，</w:t>
            </w:r>
            <w:r>
              <w:rPr>
                <w:rFonts w:hint="eastAsia"/>
                <w:color w:val="auto"/>
                <w:sz w:val="21"/>
                <w:szCs w:val="21"/>
              </w:rPr>
              <w:t>本项目所在区域为3类声环境功能区。故厂界环境噪声执行《声环境质量标准》（GB3096－2008）中的3类标准</w:t>
            </w:r>
            <w:r>
              <w:rPr>
                <w:rFonts w:hint="eastAsia"/>
                <w:bCs/>
                <w:color w:val="auto"/>
                <w:sz w:val="21"/>
                <w:szCs w:val="21"/>
              </w:rPr>
              <w:t>。</w:t>
            </w:r>
            <w:r>
              <w:rPr>
                <w:rFonts w:hint="eastAsia"/>
                <w:bCs/>
                <w:color w:val="auto"/>
                <w:sz w:val="21"/>
                <w:szCs w:val="21"/>
                <w:lang w:eastAsia="zh-CN"/>
              </w:rPr>
              <w:t>本项目厂界以本项目生产厂房为边界，</w:t>
            </w:r>
            <w:r>
              <w:rPr>
                <w:rFonts w:hint="eastAsia"/>
                <w:bCs/>
                <w:color w:val="auto"/>
                <w:sz w:val="21"/>
                <w:szCs w:val="21"/>
              </w:rPr>
              <w:t>周边50米范围内</w:t>
            </w:r>
            <w:r>
              <w:rPr>
                <w:rFonts w:hint="eastAsia"/>
                <w:bCs/>
                <w:color w:val="auto"/>
                <w:sz w:val="21"/>
                <w:szCs w:val="21"/>
                <w:lang w:eastAsia="zh-CN"/>
              </w:rPr>
              <w:t>无居民敏感点</w:t>
            </w:r>
            <w:r>
              <w:rPr>
                <w:rFonts w:hint="eastAsia"/>
                <w:color w:val="auto"/>
                <w:lang w:eastAsia="zh-CN"/>
              </w:rPr>
              <w:t>。</w:t>
            </w:r>
          </w:p>
          <w:p w14:paraId="12EF08D4">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0" w:firstLineChars="0"/>
              <w:jc w:val="left"/>
              <w:textAlignment w:val="auto"/>
              <w:rPr>
                <w:rFonts w:hint="default" w:ascii="Times New Roman" w:hAnsi="Times New Roman" w:cs="Times New Roman"/>
                <w:b/>
                <w:bCs/>
                <w:color w:val="auto"/>
                <w:kern w:val="0"/>
                <w:sz w:val="21"/>
                <w:szCs w:val="21"/>
                <w:lang w:val="en-US" w:eastAsia="zh-CN"/>
              </w:rPr>
            </w:pPr>
            <w:r>
              <w:rPr>
                <w:rFonts w:hint="default" w:ascii="Times New Roman" w:hAnsi="Times New Roman" w:cs="Times New Roman"/>
                <w:b/>
                <w:bCs/>
                <w:color w:val="auto"/>
                <w:kern w:val="0"/>
                <w:sz w:val="21"/>
                <w:szCs w:val="21"/>
                <w:lang w:val="en-US" w:eastAsia="zh-CN"/>
              </w:rPr>
              <w:t>生态环境</w:t>
            </w:r>
          </w:p>
          <w:p w14:paraId="378C668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30" w:firstLineChars="3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本项目</w:t>
            </w:r>
            <w:r>
              <w:rPr>
                <w:rFonts w:hint="eastAsia" w:cs="Times New Roman"/>
                <w:color w:val="auto"/>
                <w:sz w:val="21"/>
                <w:szCs w:val="21"/>
                <w:lang w:val="en-US" w:eastAsia="zh-CN"/>
              </w:rPr>
              <w:t>利用现有</w:t>
            </w:r>
            <w:r>
              <w:rPr>
                <w:rFonts w:hint="eastAsia" w:ascii="Times New Roman" w:hAnsi="Times New Roman" w:eastAsia="宋体" w:cs="Times New Roman"/>
                <w:color w:val="auto"/>
                <w:sz w:val="21"/>
                <w:szCs w:val="21"/>
                <w:lang w:val="en-US" w:eastAsia="zh-CN"/>
              </w:rPr>
              <w:t>厂房进行建设，不新增用地</w:t>
            </w:r>
            <w:r>
              <w:rPr>
                <w:rFonts w:hint="default" w:ascii="Times New Roman" w:hAnsi="Times New Roman" w:cs="Times New Roman"/>
                <w:color w:val="auto"/>
                <w:lang w:val="en-US" w:eastAsia="zh-CN"/>
              </w:rPr>
              <w:t>且用地范围内无环境保护目标</w:t>
            </w:r>
            <w:r>
              <w:rPr>
                <w:rFonts w:hint="default" w:ascii="Times New Roman" w:hAnsi="Times New Roman" w:eastAsia="宋体" w:cs="Times New Roman"/>
                <w:color w:val="auto"/>
                <w:sz w:val="21"/>
                <w:szCs w:val="21"/>
                <w:lang w:val="en-US" w:eastAsia="zh-CN"/>
              </w:rPr>
              <w:t>，无需进行生态环境调查</w:t>
            </w:r>
            <w:r>
              <w:rPr>
                <w:rFonts w:hint="default" w:ascii="Times New Roman" w:hAnsi="Times New Roman" w:cs="Times New Roman"/>
                <w:color w:val="auto"/>
                <w:sz w:val="21"/>
                <w:szCs w:val="21"/>
                <w:lang w:val="en-US" w:eastAsia="zh-CN"/>
              </w:rPr>
              <w:t>。</w:t>
            </w:r>
          </w:p>
          <w:p w14:paraId="53ECFDC8">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0" w:firstLineChars="0"/>
              <w:jc w:val="left"/>
              <w:textAlignment w:val="auto"/>
              <w:rPr>
                <w:rFonts w:hint="default" w:ascii="Times New Roman" w:hAnsi="Times New Roman" w:cs="Times New Roman"/>
                <w:b/>
                <w:bCs/>
                <w:color w:val="auto"/>
                <w:kern w:val="0"/>
                <w:sz w:val="21"/>
                <w:szCs w:val="21"/>
                <w:lang w:val="en-US" w:eastAsia="zh-CN"/>
              </w:rPr>
            </w:pPr>
            <w:r>
              <w:rPr>
                <w:rFonts w:hint="default" w:ascii="Times New Roman" w:hAnsi="Times New Roman" w:cs="Times New Roman"/>
                <w:b/>
                <w:bCs/>
                <w:color w:val="auto"/>
                <w:kern w:val="0"/>
                <w:sz w:val="21"/>
                <w:szCs w:val="21"/>
                <w:lang w:val="en-US" w:eastAsia="zh-CN"/>
              </w:rPr>
              <w:t>电磁辐射</w:t>
            </w:r>
          </w:p>
          <w:p w14:paraId="0B4038F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30" w:firstLineChars="3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本项目不涉及电磁辐射内容。</w:t>
            </w:r>
          </w:p>
          <w:p w14:paraId="4A3E5581">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0" w:firstLineChars="0"/>
              <w:jc w:val="left"/>
              <w:textAlignment w:val="auto"/>
              <w:rPr>
                <w:rFonts w:hint="default" w:ascii="Times New Roman" w:hAnsi="Times New Roman" w:cs="Times New Roman"/>
                <w:b/>
                <w:bCs/>
                <w:color w:val="auto"/>
                <w:kern w:val="0"/>
                <w:sz w:val="21"/>
                <w:szCs w:val="21"/>
                <w:lang w:val="en-US" w:eastAsia="zh-CN"/>
              </w:rPr>
            </w:pPr>
            <w:r>
              <w:rPr>
                <w:rFonts w:hint="default" w:ascii="Times New Roman" w:hAnsi="Times New Roman" w:cs="Times New Roman"/>
                <w:b/>
                <w:bCs/>
                <w:color w:val="auto"/>
                <w:kern w:val="0"/>
                <w:sz w:val="21"/>
                <w:szCs w:val="21"/>
                <w:lang w:val="en-US" w:eastAsia="zh-CN"/>
              </w:rPr>
              <w:t>地下水、土壤环境</w:t>
            </w:r>
          </w:p>
          <w:p w14:paraId="5D6C9E9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30" w:firstLineChars="300"/>
              <w:jc w:val="left"/>
              <w:textAlignment w:val="auto"/>
              <w:rPr>
                <w:rFonts w:hint="default" w:ascii="Times New Roman" w:hAnsi="Times New Roman" w:cs="Times New Roman"/>
                <w:b/>
                <w:bCs/>
                <w:color w:val="auto"/>
                <w:kern w:val="0"/>
                <w:sz w:val="21"/>
                <w:szCs w:val="21"/>
                <w:lang w:val="en-US" w:eastAsia="zh-CN"/>
              </w:rPr>
            </w:pPr>
            <w:r>
              <w:rPr>
                <w:rFonts w:hint="eastAsia"/>
                <w:lang w:eastAsia="zh-CN"/>
              </w:rPr>
              <w:t>本项目主要产生废气污染物、固体废物</w:t>
            </w:r>
            <w:r>
              <w:rPr>
                <w:rFonts w:hint="eastAsia"/>
                <w:color w:val="auto"/>
                <w:lang w:eastAsia="zh-CN"/>
              </w:rPr>
              <w:t>，在危废仓库、生产车间等重点区域敷设环氧地坪</w:t>
            </w:r>
            <w:r>
              <w:rPr>
                <w:rFonts w:hint="eastAsia"/>
                <w:color w:val="FF0000"/>
                <w:lang w:eastAsia="zh-CN"/>
              </w:rPr>
              <w:t>，</w:t>
            </w:r>
            <w:r>
              <w:rPr>
                <w:rFonts w:hint="eastAsia"/>
                <w:lang w:eastAsia="zh-CN"/>
              </w:rPr>
              <w:t>采取防渗措施，无土壤、地下水环境污染途径。不对地下水、土壤造成污染，</w:t>
            </w:r>
            <w:r>
              <w:rPr>
                <w:rFonts w:hint="default" w:ascii="Times New Roman" w:hAnsi="Times New Roman" w:cs="Times New Roman"/>
                <w:color w:val="auto"/>
                <w:sz w:val="21"/>
                <w:szCs w:val="21"/>
                <w:lang w:val="en-US" w:eastAsia="zh-CN"/>
              </w:rPr>
              <w:t>本项目无需开展地下水、土壤环境质量现状调查。</w:t>
            </w:r>
          </w:p>
        </w:tc>
      </w:tr>
      <w:tr w14:paraId="62597F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800" w:type="dxa"/>
            <w:noWrap w:val="0"/>
            <w:vAlign w:val="center"/>
          </w:tcPr>
          <w:p w14:paraId="3B223FFC">
            <w:pPr>
              <w:keepNext w:val="0"/>
              <w:keepLines w:val="0"/>
              <w:pageBreakBefore w:val="0"/>
              <w:topLinePunct w:val="0"/>
              <w:autoSpaceDE/>
              <w:autoSpaceDN/>
              <w:bidi w:val="0"/>
              <w:adjustRightInd w:val="0"/>
              <w:snapToGrid w:val="0"/>
              <w:spacing w:line="320" w:lineRule="exact"/>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环境</w:t>
            </w:r>
          </w:p>
          <w:p w14:paraId="2231693E">
            <w:pPr>
              <w:keepNext w:val="0"/>
              <w:keepLines w:val="0"/>
              <w:pageBreakBefore w:val="0"/>
              <w:topLinePunct w:val="0"/>
              <w:autoSpaceDE/>
              <w:autoSpaceDN/>
              <w:bidi w:val="0"/>
              <w:adjustRightInd w:val="0"/>
              <w:snapToGrid w:val="0"/>
              <w:spacing w:line="320" w:lineRule="exact"/>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保护</w:t>
            </w:r>
          </w:p>
          <w:p w14:paraId="7A612429">
            <w:pPr>
              <w:keepNext w:val="0"/>
              <w:keepLines w:val="0"/>
              <w:pageBreakBefore w:val="0"/>
              <w:topLinePunct w:val="0"/>
              <w:autoSpaceDE/>
              <w:autoSpaceDN/>
              <w:bidi w:val="0"/>
              <w:adjustRightInd w:val="0"/>
              <w:snapToGrid w:val="0"/>
              <w:spacing w:line="320" w:lineRule="exact"/>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目标</w:t>
            </w:r>
          </w:p>
        </w:tc>
        <w:tc>
          <w:tcPr>
            <w:tcW w:w="8216" w:type="dxa"/>
            <w:noWrap w:val="0"/>
            <w:vAlign w:val="center"/>
          </w:tcPr>
          <w:p w14:paraId="21FCCB5B">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b/>
                <w:bCs/>
                <w:color w:val="auto"/>
                <w:kern w:val="0"/>
                <w:sz w:val="21"/>
                <w:szCs w:val="21"/>
                <w:lang w:val="en-US" w:eastAsia="zh-CN"/>
              </w:rPr>
            </w:pPr>
            <w:r>
              <w:rPr>
                <w:rFonts w:hint="default" w:ascii="Times New Roman" w:hAnsi="Times New Roman" w:cs="Times New Roman"/>
                <w:b/>
                <w:bCs/>
                <w:color w:val="auto"/>
                <w:kern w:val="0"/>
                <w:sz w:val="21"/>
                <w:szCs w:val="21"/>
                <w:lang w:val="en-US" w:eastAsia="zh-CN"/>
              </w:rPr>
              <w:t>大气环境</w:t>
            </w:r>
          </w:p>
          <w:p w14:paraId="66489472">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经现场实地调查，项目</w:t>
            </w:r>
            <w:r>
              <w:rPr>
                <w:rFonts w:hint="eastAsia" w:cs="Times New Roman"/>
                <w:color w:val="auto"/>
                <w:sz w:val="21"/>
                <w:szCs w:val="21"/>
                <w:lang w:val="en-US" w:eastAsia="zh-CN"/>
              </w:rPr>
              <w:t>500m</w:t>
            </w:r>
            <w:r>
              <w:rPr>
                <w:rFonts w:hint="default" w:ascii="Times New Roman" w:hAnsi="Times New Roman" w:cs="Times New Roman"/>
                <w:color w:val="auto"/>
                <w:sz w:val="21"/>
                <w:szCs w:val="21"/>
                <w:lang w:val="en-US" w:eastAsia="zh-CN"/>
              </w:rPr>
              <w:t>范围内居民，以厂界为中心，</w:t>
            </w:r>
            <w:r>
              <w:rPr>
                <w:rFonts w:hint="eastAsia" w:cs="Times New Roman"/>
                <w:color w:val="auto"/>
                <w:sz w:val="21"/>
                <w:szCs w:val="21"/>
                <w:lang w:val="en-US" w:eastAsia="zh-CN"/>
              </w:rPr>
              <w:t>500m</w:t>
            </w:r>
            <w:r>
              <w:rPr>
                <w:rFonts w:hint="default" w:ascii="Times New Roman" w:hAnsi="Times New Roman" w:cs="Times New Roman"/>
                <w:color w:val="auto"/>
                <w:sz w:val="21"/>
                <w:szCs w:val="21"/>
                <w:lang w:val="en-US" w:eastAsia="zh-CN"/>
              </w:rPr>
              <w:t>矩形范围内敏感点见表3-</w:t>
            </w:r>
            <w:r>
              <w:rPr>
                <w:rFonts w:hint="eastAsia" w:cs="Times New Roman"/>
                <w:color w:val="auto"/>
                <w:sz w:val="21"/>
                <w:szCs w:val="21"/>
                <w:lang w:val="en-US" w:eastAsia="zh-CN"/>
              </w:rPr>
              <w:t>2</w:t>
            </w:r>
            <w:r>
              <w:rPr>
                <w:rFonts w:hint="default" w:ascii="Times New Roman" w:hAnsi="Times New Roman" w:cs="Times New Roman"/>
                <w:color w:val="auto"/>
                <w:sz w:val="21"/>
                <w:szCs w:val="21"/>
              </w:rPr>
              <w:t>。</w:t>
            </w:r>
          </w:p>
          <w:p w14:paraId="4F2AB647">
            <w:pPr>
              <w:keepNext w:val="0"/>
              <w:keepLines w:val="0"/>
              <w:pageBreakBefore w:val="0"/>
              <w:suppressLineNumbers w:val="0"/>
              <w:topLinePunct w:val="0"/>
              <w:autoSpaceDE/>
              <w:autoSpaceDN/>
              <w:bidi w:val="0"/>
              <w:spacing w:before="0" w:beforeAutospacing="0" w:after="0" w:afterAutospacing="0" w:line="240" w:lineRule="auto"/>
              <w:ind w:left="0" w:right="0" w:firstLine="0" w:firstLineChars="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表3-</w:t>
            </w:r>
            <w:r>
              <w:rPr>
                <w:rFonts w:hint="eastAsia" w:cs="Times New Roman"/>
                <w:b/>
                <w:color w:val="auto"/>
                <w:sz w:val="21"/>
                <w:szCs w:val="21"/>
                <w:lang w:val="en-US" w:eastAsia="zh-CN"/>
              </w:rPr>
              <w:t xml:space="preserve">2  </w:t>
            </w:r>
            <w:r>
              <w:rPr>
                <w:rFonts w:hint="default" w:ascii="Times New Roman" w:hAnsi="Times New Roman" w:cs="Times New Roman"/>
                <w:b/>
                <w:color w:val="auto"/>
                <w:sz w:val="21"/>
                <w:szCs w:val="21"/>
                <w:lang w:eastAsia="zh-CN"/>
              </w:rPr>
              <w:t>本项目</w:t>
            </w:r>
            <w:r>
              <w:rPr>
                <w:rFonts w:hint="default" w:ascii="Times New Roman" w:hAnsi="Times New Roman" w:cs="Times New Roman"/>
                <w:b/>
                <w:color w:val="auto"/>
                <w:sz w:val="21"/>
                <w:szCs w:val="21"/>
                <w:lang w:val="en-US" w:eastAsia="zh-CN"/>
              </w:rPr>
              <w:t>大气</w:t>
            </w:r>
            <w:r>
              <w:rPr>
                <w:rFonts w:hint="default" w:ascii="Times New Roman" w:hAnsi="Times New Roman" w:cs="Times New Roman"/>
                <w:b/>
                <w:color w:val="auto"/>
                <w:sz w:val="21"/>
                <w:szCs w:val="21"/>
              </w:rPr>
              <w:t>环境保护目标</w:t>
            </w:r>
          </w:p>
          <w:tbl>
            <w:tblPr>
              <w:tblStyle w:val="23"/>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1583"/>
              <w:gridCol w:w="1549"/>
              <w:gridCol w:w="712"/>
              <w:gridCol w:w="680"/>
              <w:gridCol w:w="823"/>
              <w:gridCol w:w="703"/>
              <w:gridCol w:w="926"/>
            </w:tblGrid>
            <w:tr w14:paraId="25BFA8A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53" w:hRule="atLeast"/>
              </w:trPr>
              <w:tc>
                <w:tcPr>
                  <w:tcW w:w="640" w:type="pct"/>
                  <w:vMerge w:val="restart"/>
                  <w:noWrap w:val="0"/>
                  <w:vAlign w:val="center"/>
                </w:tcPr>
                <w:p w14:paraId="2A236219">
                  <w:pPr>
                    <w:keepNext w:val="0"/>
                    <w:keepLines w:val="0"/>
                    <w:pageBreakBefore w:val="0"/>
                    <w:suppressLineNumbers w:val="0"/>
                    <w:tabs>
                      <w:tab w:val="left" w:pos="1021"/>
                    </w:tabs>
                    <w:topLinePunct w:val="0"/>
                    <w:autoSpaceDE/>
                    <w:autoSpaceDN/>
                    <w:bidi w:val="0"/>
                    <w:adjustRightInd w:val="0"/>
                    <w:snapToGrid w:val="0"/>
                    <w:spacing w:before="0" w:beforeAutospacing="0" w:after="0" w:afterAutospacing="0" w:line="320" w:lineRule="exact"/>
                    <w:ind w:left="0" w:right="0" w:firstLine="0" w:firstLineChars="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名称</w:t>
                  </w:r>
                </w:p>
              </w:tc>
              <w:tc>
                <w:tcPr>
                  <w:tcW w:w="1957" w:type="pct"/>
                  <w:gridSpan w:val="2"/>
                  <w:noWrap w:val="0"/>
                  <w:vAlign w:val="center"/>
                </w:tcPr>
                <w:p w14:paraId="0F4F3479">
                  <w:pPr>
                    <w:keepNext w:val="0"/>
                    <w:keepLines w:val="0"/>
                    <w:pageBreakBefore w:val="0"/>
                    <w:suppressLineNumbers w:val="0"/>
                    <w:tabs>
                      <w:tab w:val="left" w:pos="1021"/>
                    </w:tabs>
                    <w:topLinePunct w:val="0"/>
                    <w:autoSpaceDE/>
                    <w:autoSpaceDN/>
                    <w:bidi w:val="0"/>
                    <w:adjustRightInd w:val="0"/>
                    <w:snapToGrid w:val="0"/>
                    <w:spacing w:before="0" w:beforeAutospacing="0" w:after="0" w:afterAutospacing="0" w:line="320" w:lineRule="exact"/>
                    <w:ind w:left="0" w:right="0" w:firstLine="0" w:firstLineChars="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名称</w:t>
                  </w:r>
                </w:p>
              </w:tc>
              <w:tc>
                <w:tcPr>
                  <w:tcW w:w="445" w:type="pct"/>
                  <w:vMerge w:val="restart"/>
                  <w:noWrap w:val="0"/>
                  <w:vAlign w:val="center"/>
                </w:tcPr>
                <w:p w14:paraId="5BABD003">
                  <w:pPr>
                    <w:keepNext w:val="0"/>
                    <w:keepLines w:val="0"/>
                    <w:pageBreakBefore w:val="0"/>
                    <w:suppressLineNumbers w:val="0"/>
                    <w:tabs>
                      <w:tab w:val="left" w:pos="1021"/>
                    </w:tabs>
                    <w:topLinePunct w:val="0"/>
                    <w:autoSpaceDE/>
                    <w:autoSpaceDN/>
                    <w:bidi w:val="0"/>
                    <w:adjustRightInd w:val="0"/>
                    <w:snapToGrid w:val="0"/>
                    <w:spacing w:before="0" w:beforeAutospacing="0" w:after="0" w:afterAutospacing="0" w:line="320" w:lineRule="exact"/>
                    <w:ind w:left="0" w:right="0" w:firstLine="0" w:firstLineChars="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保护对象</w:t>
                  </w:r>
                </w:p>
              </w:tc>
              <w:tc>
                <w:tcPr>
                  <w:tcW w:w="425" w:type="pct"/>
                  <w:vMerge w:val="restart"/>
                  <w:noWrap w:val="0"/>
                  <w:vAlign w:val="center"/>
                </w:tcPr>
                <w:p w14:paraId="1CB98BE9">
                  <w:pPr>
                    <w:keepNext w:val="0"/>
                    <w:keepLines w:val="0"/>
                    <w:pageBreakBefore w:val="0"/>
                    <w:suppressLineNumbers w:val="0"/>
                    <w:tabs>
                      <w:tab w:val="left" w:pos="1021"/>
                    </w:tabs>
                    <w:topLinePunct w:val="0"/>
                    <w:autoSpaceDE/>
                    <w:autoSpaceDN/>
                    <w:bidi w:val="0"/>
                    <w:adjustRightInd w:val="0"/>
                    <w:snapToGrid w:val="0"/>
                    <w:spacing w:before="0" w:beforeAutospacing="0" w:after="0" w:afterAutospacing="0" w:line="320" w:lineRule="exact"/>
                    <w:ind w:left="0" w:right="0" w:firstLine="0" w:firstLineChars="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保护内容</w:t>
                  </w:r>
                </w:p>
              </w:tc>
              <w:tc>
                <w:tcPr>
                  <w:tcW w:w="514" w:type="pct"/>
                  <w:vMerge w:val="restart"/>
                  <w:noWrap w:val="0"/>
                  <w:vAlign w:val="center"/>
                </w:tcPr>
                <w:p w14:paraId="0071569D">
                  <w:pPr>
                    <w:keepNext w:val="0"/>
                    <w:keepLines w:val="0"/>
                    <w:pageBreakBefore w:val="0"/>
                    <w:suppressLineNumbers w:val="0"/>
                    <w:tabs>
                      <w:tab w:val="left" w:pos="1021"/>
                    </w:tabs>
                    <w:topLinePunct w:val="0"/>
                    <w:autoSpaceDE/>
                    <w:autoSpaceDN/>
                    <w:bidi w:val="0"/>
                    <w:adjustRightInd w:val="0"/>
                    <w:snapToGrid w:val="0"/>
                    <w:spacing w:before="0" w:beforeAutospacing="0" w:after="0" w:afterAutospacing="0" w:line="320" w:lineRule="exact"/>
                    <w:ind w:left="0" w:right="0" w:firstLine="0" w:firstLineChars="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环境功能区</w:t>
                  </w:r>
                </w:p>
              </w:tc>
              <w:tc>
                <w:tcPr>
                  <w:tcW w:w="439" w:type="pct"/>
                  <w:vMerge w:val="restart"/>
                  <w:noWrap w:val="0"/>
                  <w:vAlign w:val="center"/>
                </w:tcPr>
                <w:p w14:paraId="3F6BB43D">
                  <w:pPr>
                    <w:keepNext w:val="0"/>
                    <w:keepLines w:val="0"/>
                    <w:pageBreakBefore w:val="0"/>
                    <w:suppressLineNumbers w:val="0"/>
                    <w:tabs>
                      <w:tab w:val="left" w:pos="1021"/>
                    </w:tabs>
                    <w:topLinePunct w:val="0"/>
                    <w:autoSpaceDE/>
                    <w:autoSpaceDN/>
                    <w:bidi w:val="0"/>
                    <w:adjustRightInd w:val="0"/>
                    <w:snapToGrid w:val="0"/>
                    <w:spacing w:before="0" w:beforeAutospacing="0" w:after="0" w:afterAutospacing="0" w:line="320" w:lineRule="exact"/>
                    <w:ind w:left="0" w:right="0" w:firstLine="0" w:firstLineChars="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相对厂址方向</w:t>
                  </w:r>
                </w:p>
              </w:tc>
              <w:tc>
                <w:tcPr>
                  <w:tcW w:w="578" w:type="pct"/>
                  <w:vMerge w:val="restart"/>
                  <w:noWrap w:val="0"/>
                  <w:vAlign w:val="center"/>
                </w:tcPr>
                <w:p w14:paraId="6F73580A">
                  <w:pPr>
                    <w:keepNext w:val="0"/>
                    <w:keepLines w:val="0"/>
                    <w:pageBreakBefore w:val="0"/>
                    <w:suppressLineNumbers w:val="0"/>
                    <w:tabs>
                      <w:tab w:val="left" w:pos="1021"/>
                    </w:tabs>
                    <w:topLinePunct w:val="0"/>
                    <w:autoSpaceDE/>
                    <w:autoSpaceDN/>
                    <w:bidi w:val="0"/>
                    <w:adjustRightInd w:val="0"/>
                    <w:snapToGrid w:val="0"/>
                    <w:spacing w:before="0" w:beforeAutospacing="0" w:after="0" w:afterAutospacing="0" w:line="320" w:lineRule="exact"/>
                    <w:ind w:left="0" w:right="0"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相对厂界距离</w:t>
                  </w:r>
                </w:p>
              </w:tc>
            </w:tr>
            <w:tr w14:paraId="4B099AF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40" w:type="pct"/>
                  <w:vMerge w:val="continue"/>
                  <w:noWrap w:val="0"/>
                  <w:vAlign w:val="center"/>
                </w:tcPr>
                <w:p w14:paraId="572EFA21">
                  <w:pPr>
                    <w:keepNext w:val="0"/>
                    <w:keepLines w:val="0"/>
                    <w:pageBreakBefore w:val="0"/>
                    <w:widowControl/>
                    <w:suppressLineNumbers w:val="0"/>
                    <w:topLinePunct w:val="0"/>
                    <w:autoSpaceDE/>
                    <w:autoSpaceDN/>
                    <w:bidi w:val="0"/>
                    <w:spacing w:before="0" w:beforeAutospacing="0" w:after="0" w:afterAutospacing="0" w:line="320" w:lineRule="exact"/>
                    <w:ind w:left="0" w:right="0" w:firstLine="0" w:firstLineChars="0"/>
                    <w:jc w:val="center"/>
                    <w:rPr>
                      <w:rFonts w:hint="default" w:ascii="Times New Roman" w:hAnsi="Times New Roman" w:cs="Times New Roman"/>
                      <w:b/>
                      <w:color w:val="auto"/>
                      <w:sz w:val="21"/>
                      <w:szCs w:val="21"/>
                    </w:rPr>
                  </w:pPr>
                </w:p>
              </w:tc>
              <w:tc>
                <w:tcPr>
                  <w:tcW w:w="989" w:type="pct"/>
                  <w:noWrap w:val="0"/>
                  <w:vAlign w:val="center"/>
                </w:tcPr>
                <w:p w14:paraId="33B09876">
                  <w:pPr>
                    <w:keepNext w:val="0"/>
                    <w:keepLines w:val="0"/>
                    <w:pageBreakBefore w:val="0"/>
                    <w:suppressLineNumbers w:val="0"/>
                    <w:tabs>
                      <w:tab w:val="left" w:pos="1021"/>
                    </w:tabs>
                    <w:topLinePunct w:val="0"/>
                    <w:autoSpaceDE/>
                    <w:autoSpaceDN/>
                    <w:bidi w:val="0"/>
                    <w:adjustRightInd w:val="0"/>
                    <w:snapToGrid w:val="0"/>
                    <w:spacing w:before="0" w:beforeAutospacing="0" w:after="0" w:afterAutospacing="0" w:line="320" w:lineRule="exact"/>
                    <w:ind w:left="0" w:right="0" w:firstLine="0" w:firstLineChars="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X</w:t>
                  </w:r>
                </w:p>
              </w:tc>
              <w:tc>
                <w:tcPr>
                  <w:tcW w:w="968" w:type="pct"/>
                  <w:noWrap w:val="0"/>
                  <w:vAlign w:val="center"/>
                </w:tcPr>
                <w:p w14:paraId="162070D7">
                  <w:pPr>
                    <w:keepNext w:val="0"/>
                    <w:keepLines w:val="0"/>
                    <w:pageBreakBefore w:val="0"/>
                    <w:suppressLineNumbers w:val="0"/>
                    <w:tabs>
                      <w:tab w:val="left" w:pos="1021"/>
                    </w:tabs>
                    <w:topLinePunct w:val="0"/>
                    <w:autoSpaceDE/>
                    <w:autoSpaceDN/>
                    <w:bidi w:val="0"/>
                    <w:adjustRightInd w:val="0"/>
                    <w:snapToGrid w:val="0"/>
                    <w:spacing w:before="0" w:beforeAutospacing="0" w:after="0" w:afterAutospacing="0" w:line="320" w:lineRule="exact"/>
                    <w:ind w:left="0" w:right="0" w:firstLine="0" w:firstLineChars="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Y</w:t>
                  </w:r>
                </w:p>
              </w:tc>
              <w:tc>
                <w:tcPr>
                  <w:tcW w:w="445" w:type="pct"/>
                  <w:vMerge w:val="continue"/>
                  <w:noWrap w:val="0"/>
                  <w:vAlign w:val="center"/>
                </w:tcPr>
                <w:p w14:paraId="18B276F7">
                  <w:pPr>
                    <w:keepNext w:val="0"/>
                    <w:keepLines w:val="0"/>
                    <w:pageBreakBefore w:val="0"/>
                    <w:widowControl/>
                    <w:suppressLineNumbers w:val="0"/>
                    <w:topLinePunct w:val="0"/>
                    <w:autoSpaceDE/>
                    <w:autoSpaceDN/>
                    <w:bidi w:val="0"/>
                    <w:spacing w:before="0" w:beforeAutospacing="0" w:after="0" w:afterAutospacing="0" w:line="320" w:lineRule="exact"/>
                    <w:ind w:left="0" w:right="0" w:firstLine="0" w:firstLineChars="0"/>
                    <w:jc w:val="center"/>
                    <w:rPr>
                      <w:rFonts w:hint="default" w:ascii="Times New Roman" w:hAnsi="Times New Roman" w:cs="Times New Roman"/>
                      <w:b/>
                      <w:color w:val="auto"/>
                      <w:sz w:val="21"/>
                      <w:szCs w:val="21"/>
                    </w:rPr>
                  </w:pPr>
                </w:p>
              </w:tc>
              <w:tc>
                <w:tcPr>
                  <w:tcW w:w="425" w:type="pct"/>
                  <w:vMerge w:val="continue"/>
                  <w:noWrap w:val="0"/>
                  <w:vAlign w:val="center"/>
                </w:tcPr>
                <w:p w14:paraId="7A7A4A74">
                  <w:pPr>
                    <w:keepNext w:val="0"/>
                    <w:keepLines w:val="0"/>
                    <w:pageBreakBefore w:val="0"/>
                    <w:widowControl/>
                    <w:suppressLineNumbers w:val="0"/>
                    <w:topLinePunct w:val="0"/>
                    <w:autoSpaceDE/>
                    <w:autoSpaceDN/>
                    <w:bidi w:val="0"/>
                    <w:spacing w:before="0" w:beforeAutospacing="0" w:after="0" w:afterAutospacing="0" w:line="320" w:lineRule="exact"/>
                    <w:ind w:left="0" w:right="0" w:firstLine="0" w:firstLineChars="0"/>
                    <w:jc w:val="center"/>
                    <w:rPr>
                      <w:rFonts w:hint="default" w:ascii="Times New Roman" w:hAnsi="Times New Roman" w:cs="Times New Roman"/>
                      <w:b/>
                      <w:color w:val="auto"/>
                      <w:sz w:val="21"/>
                      <w:szCs w:val="21"/>
                    </w:rPr>
                  </w:pPr>
                </w:p>
              </w:tc>
              <w:tc>
                <w:tcPr>
                  <w:tcW w:w="514" w:type="pct"/>
                  <w:vMerge w:val="continue"/>
                  <w:noWrap w:val="0"/>
                  <w:vAlign w:val="center"/>
                </w:tcPr>
                <w:p w14:paraId="5DD8FF1F">
                  <w:pPr>
                    <w:keepNext w:val="0"/>
                    <w:keepLines w:val="0"/>
                    <w:pageBreakBefore w:val="0"/>
                    <w:widowControl/>
                    <w:suppressLineNumbers w:val="0"/>
                    <w:topLinePunct w:val="0"/>
                    <w:autoSpaceDE/>
                    <w:autoSpaceDN/>
                    <w:bidi w:val="0"/>
                    <w:spacing w:before="0" w:beforeAutospacing="0" w:after="0" w:afterAutospacing="0" w:line="320" w:lineRule="exact"/>
                    <w:ind w:left="0" w:right="0" w:firstLine="0" w:firstLineChars="0"/>
                    <w:jc w:val="center"/>
                    <w:rPr>
                      <w:rFonts w:hint="default" w:ascii="Times New Roman" w:hAnsi="Times New Roman" w:cs="Times New Roman"/>
                      <w:b/>
                      <w:color w:val="auto"/>
                      <w:sz w:val="21"/>
                      <w:szCs w:val="21"/>
                    </w:rPr>
                  </w:pPr>
                </w:p>
              </w:tc>
              <w:tc>
                <w:tcPr>
                  <w:tcW w:w="439" w:type="pct"/>
                  <w:vMerge w:val="continue"/>
                  <w:noWrap w:val="0"/>
                  <w:vAlign w:val="center"/>
                </w:tcPr>
                <w:p w14:paraId="0D2760AA">
                  <w:pPr>
                    <w:keepNext w:val="0"/>
                    <w:keepLines w:val="0"/>
                    <w:pageBreakBefore w:val="0"/>
                    <w:widowControl/>
                    <w:suppressLineNumbers w:val="0"/>
                    <w:topLinePunct w:val="0"/>
                    <w:autoSpaceDE/>
                    <w:autoSpaceDN/>
                    <w:bidi w:val="0"/>
                    <w:spacing w:before="0" w:beforeAutospacing="0" w:after="0" w:afterAutospacing="0" w:line="320" w:lineRule="exact"/>
                    <w:ind w:left="0" w:right="0" w:firstLine="0" w:firstLineChars="0"/>
                    <w:jc w:val="center"/>
                    <w:rPr>
                      <w:rFonts w:hint="default" w:ascii="Times New Roman" w:hAnsi="Times New Roman" w:cs="Times New Roman"/>
                      <w:b/>
                      <w:color w:val="auto"/>
                      <w:sz w:val="21"/>
                      <w:szCs w:val="21"/>
                    </w:rPr>
                  </w:pPr>
                </w:p>
              </w:tc>
              <w:tc>
                <w:tcPr>
                  <w:tcW w:w="578" w:type="pct"/>
                  <w:vMerge w:val="continue"/>
                  <w:noWrap w:val="0"/>
                  <w:vAlign w:val="center"/>
                </w:tcPr>
                <w:p w14:paraId="769639B3">
                  <w:pPr>
                    <w:keepNext w:val="0"/>
                    <w:keepLines w:val="0"/>
                    <w:pageBreakBefore w:val="0"/>
                    <w:widowControl/>
                    <w:suppressLineNumbers w:val="0"/>
                    <w:topLinePunct w:val="0"/>
                    <w:autoSpaceDE/>
                    <w:autoSpaceDN/>
                    <w:bidi w:val="0"/>
                    <w:spacing w:before="0" w:beforeAutospacing="0" w:after="0" w:afterAutospacing="0" w:line="320" w:lineRule="exact"/>
                    <w:ind w:left="0" w:right="0" w:firstLine="0" w:firstLineChars="0"/>
                    <w:jc w:val="center"/>
                    <w:rPr>
                      <w:rFonts w:hint="default" w:ascii="Times New Roman" w:hAnsi="Times New Roman" w:cs="Times New Roman"/>
                      <w:b/>
                      <w:bCs/>
                      <w:color w:val="auto"/>
                      <w:sz w:val="21"/>
                      <w:szCs w:val="21"/>
                    </w:rPr>
                  </w:pPr>
                </w:p>
              </w:tc>
            </w:tr>
            <w:tr w14:paraId="10B115D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0" w:type="pct"/>
                  <w:noWrap w:val="0"/>
                  <w:vAlign w:val="center"/>
                </w:tcPr>
                <w:p w14:paraId="64AC4010">
                  <w:pPr>
                    <w:keepNext w:val="0"/>
                    <w:keepLines w:val="0"/>
                    <w:pageBreakBefore w:val="0"/>
                    <w:suppressLineNumbers w:val="0"/>
                    <w:topLinePunct w:val="0"/>
                    <w:autoSpaceDE/>
                    <w:autoSpaceDN/>
                    <w:bidi w:val="0"/>
                    <w:adjustRightInd w:val="0"/>
                    <w:snapToGrid w:val="0"/>
                    <w:spacing w:before="0" w:beforeAutospacing="0" w:after="0" w:afterAutospacing="0" w:line="320" w:lineRule="exact"/>
                    <w:ind w:left="0" w:leftChars="0" w:right="0" w:rightChars="0"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约克小镇</w:t>
                  </w:r>
                </w:p>
              </w:tc>
              <w:tc>
                <w:tcPr>
                  <w:tcW w:w="989" w:type="pct"/>
                  <w:noWrap w:val="0"/>
                  <w:vAlign w:val="center"/>
                </w:tcPr>
                <w:p w14:paraId="0607381E">
                  <w:pPr>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120°36′1</w:t>
                  </w:r>
                  <w:r>
                    <w:rPr>
                      <w:rFonts w:hint="eastAsia" w:cs="Times New Roman"/>
                      <w:color w:val="auto"/>
                      <w:sz w:val="21"/>
                      <w:szCs w:val="21"/>
                      <w:lang w:val="en-US" w:eastAsia="zh-CN"/>
                    </w:rPr>
                    <w:t>7.344</w:t>
                  </w:r>
                  <w:r>
                    <w:rPr>
                      <w:rFonts w:hint="default" w:ascii="Times New Roman" w:hAnsi="Times New Roman" w:eastAsia="宋体" w:cs="Times New Roman"/>
                      <w:color w:val="auto"/>
                      <w:sz w:val="21"/>
                      <w:szCs w:val="21"/>
                    </w:rPr>
                    <w:t>″</w:t>
                  </w:r>
                </w:p>
              </w:tc>
              <w:tc>
                <w:tcPr>
                  <w:tcW w:w="968" w:type="pct"/>
                  <w:noWrap w:val="0"/>
                  <w:vAlign w:val="center"/>
                </w:tcPr>
                <w:p w14:paraId="0D7A4497">
                  <w:pPr>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32°2</w:t>
                  </w:r>
                  <w:r>
                    <w:rPr>
                      <w:rFonts w:hint="eastAsia" w:cs="Times New Roman"/>
                      <w:color w:val="auto"/>
                      <w:sz w:val="21"/>
                      <w:szCs w:val="21"/>
                      <w:lang w:val="en-US" w:eastAsia="zh-CN"/>
                    </w:rPr>
                    <w:t>3</w:t>
                  </w:r>
                  <w:r>
                    <w:rPr>
                      <w:rFonts w:hint="default" w:ascii="Times New Roman" w:hAnsi="Times New Roman" w:eastAsia="宋体" w:cs="Times New Roman"/>
                      <w:color w:val="auto"/>
                      <w:sz w:val="21"/>
                      <w:szCs w:val="21"/>
                    </w:rPr>
                    <w:t>′</w:t>
                  </w:r>
                  <w:r>
                    <w:rPr>
                      <w:rFonts w:hint="eastAsia" w:cs="Times New Roman"/>
                      <w:color w:val="auto"/>
                      <w:sz w:val="21"/>
                      <w:szCs w:val="21"/>
                      <w:lang w:val="en-US" w:eastAsia="zh-CN"/>
                    </w:rPr>
                    <w:t>52.792</w:t>
                  </w:r>
                  <w:r>
                    <w:rPr>
                      <w:rFonts w:hint="default" w:ascii="Times New Roman" w:hAnsi="Times New Roman" w:eastAsia="宋体" w:cs="Times New Roman"/>
                      <w:color w:val="auto"/>
                      <w:sz w:val="21"/>
                      <w:szCs w:val="21"/>
                    </w:rPr>
                    <w:t>″</w:t>
                  </w:r>
                </w:p>
              </w:tc>
              <w:tc>
                <w:tcPr>
                  <w:tcW w:w="445" w:type="pct"/>
                  <w:noWrap w:val="0"/>
                  <w:vAlign w:val="center"/>
                </w:tcPr>
                <w:p w14:paraId="7261B474">
                  <w:pPr>
                    <w:keepNext w:val="0"/>
                    <w:keepLines w:val="0"/>
                    <w:pageBreakBefore w:val="0"/>
                    <w:suppressLineNumbers w:val="0"/>
                    <w:tabs>
                      <w:tab w:val="left" w:pos="1021"/>
                    </w:tabs>
                    <w:topLinePunct w:val="0"/>
                    <w:autoSpaceDE/>
                    <w:autoSpaceDN/>
                    <w:bidi w:val="0"/>
                    <w:adjustRightInd w:val="0"/>
                    <w:snapToGrid w:val="0"/>
                    <w:spacing w:before="0" w:beforeAutospacing="0" w:after="0" w:afterAutospacing="0" w:line="320" w:lineRule="exact"/>
                    <w:ind w:left="0" w:leftChars="0" w:right="0" w:rightChars="0"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居民</w:t>
                  </w:r>
                </w:p>
              </w:tc>
              <w:tc>
                <w:tcPr>
                  <w:tcW w:w="425" w:type="pct"/>
                  <w:noWrap w:val="0"/>
                  <w:vAlign w:val="center"/>
                </w:tcPr>
                <w:p w14:paraId="3A65E161">
                  <w:pPr>
                    <w:keepNext w:val="0"/>
                    <w:keepLines w:val="0"/>
                    <w:pageBreakBefore w:val="0"/>
                    <w:suppressLineNumbers w:val="0"/>
                    <w:tabs>
                      <w:tab w:val="left" w:pos="1021"/>
                    </w:tabs>
                    <w:topLinePunct w:val="0"/>
                    <w:autoSpaceDE/>
                    <w:autoSpaceDN/>
                    <w:bidi w:val="0"/>
                    <w:adjustRightInd w:val="0"/>
                    <w:snapToGrid w:val="0"/>
                    <w:spacing w:before="0" w:beforeAutospacing="0" w:after="0" w:afterAutospacing="0" w:line="320" w:lineRule="exact"/>
                    <w:ind w:left="0" w:leftChars="0" w:right="0" w:rightChars="0" w:firstLine="0" w:firstLineChars="0"/>
                    <w:jc w:val="center"/>
                    <w:rPr>
                      <w:rFonts w:hint="default" w:cs="Times New Roman"/>
                      <w:color w:val="auto"/>
                      <w:sz w:val="21"/>
                      <w:szCs w:val="21"/>
                      <w:lang w:val="en-US" w:eastAsia="zh-CN"/>
                    </w:rPr>
                  </w:pPr>
                  <w:r>
                    <w:rPr>
                      <w:rFonts w:hint="eastAsia" w:cs="Times New Roman"/>
                      <w:color w:val="auto"/>
                      <w:sz w:val="21"/>
                      <w:szCs w:val="21"/>
                      <w:lang w:val="en-US" w:eastAsia="zh-CN"/>
                    </w:rPr>
                    <w:t>70户</w:t>
                  </w:r>
                </w:p>
              </w:tc>
              <w:tc>
                <w:tcPr>
                  <w:tcW w:w="514" w:type="pct"/>
                  <w:vMerge w:val="restart"/>
                  <w:noWrap w:val="0"/>
                  <w:vAlign w:val="center"/>
                </w:tcPr>
                <w:p w14:paraId="6D936536">
                  <w:pPr>
                    <w:keepNext w:val="0"/>
                    <w:keepLines w:val="0"/>
                    <w:pageBreakBefore w:val="0"/>
                    <w:suppressLineNumbers w:val="0"/>
                    <w:topLinePunct w:val="0"/>
                    <w:autoSpaceDE/>
                    <w:autoSpaceDN/>
                    <w:bidi w:val="0"/>
                    <w:adjustRightInd w:val="0"/>
                    <w:snapToGrid w:val="0"/>
                    <w:spacing w:before="0" w:beforeAutospacing="0" w:after="0" w:afterAutospacing="0" w:line="320" w:lineRule="exact"/>
                    <w:ind w:left="0" w:leftChars="0" w:right="0" w:rightChars="0" w:firstLine="0" w:firstLineChars="0"/>
                    <w:jc w:val="center"/>
                    <w:rPr>
                      <w:rFonts w:hint="eastAsia" w:cs="Times New Roman"/>
                      <w:color w:val="auto"/>
                      <w:sz w:val="21"/>
                      <w:szCs w:val="21"/>
                      <w:lang w:eastAsia="zh-CN"/>
                    </w:rPr>
                  </w:pPr>
                  <w:r>
                    <w:rPr>
                      <w:rFonts w:hint="eastAsia" w:cs="Times New Roman"/>
                      <w:color w:val="auto"/>
                      <w:sz w:val="21"/>
                      <w:szCs w:val="21"/>
                      <w:lang w:eastAsia="zh-CN"/>
                    </w:rPr>
                    <w:t>二类区</w:t>
                  </w:r>
                </w:p>
              </w:tc>
              <w:tc>
                <w:tcPr>
                  <w:tcW w:w="439" w:type="pct"/>
                  <w:noWrap w:val="0"/>
                  <w:vAlign w:val="center"/>
                </w:tcPr>
                <w:p w14:paraId="7A28980E">
                  <w:pPr>
                    <w:keepNext w:val="0"/>
                    <w:keepLines w:val="0"/>
                    <w:pageBreakBefore w:val="0"/>
                    <w:suppressLineNumbers w:val="0"/>
                    <w:topLinePunct w:val="0"/>
                    <w:autoSpaceDE/>
                    <w:autoSpaceDN/>
                    <w:bidi w:val="0"/>
                    <w:adjustRightInd w:val="0"/>
                    <w:snapToGrid w:val="0"/>
                    <w:spacing w:before="0" w:beforeAutospacing="0" w:after="0" w:afterAutospacing="0" w:line="320" w:lineRule="exact"/>
                    <w:ind w:left="0" w:leftChars="0" w:right="0" w:rightChars="0" w:firstLine="0" w:firstLineChars="0"/>
                    <w:jc w:val="center"/>
                    <w:rPr>
                      <w:rFonts w:hint="default" w:cs="Times New Roman"/>
                      <w:color w:val="auto"/>
                      <w:sz w:val="21"/>
                      <w:szCs w:val="21"/>
                      <w:lang w:val="en-US" w:eastAsia="zh-CN"/>
                    </w:rPr>
                  </w:pPr>
                  <w:r>
                    <w:rPr>
                      <w:rFonts w:hint="eastAsia" w:cs="Times New Roman"/>
                      <w:color w:val="auto"/>
                      <w:sz w:val="21"/>
                      <w:szCs w:val="21"/>
                      <w:lang w:val="en-US" w:eastAsia="zh-CN"/>
                    </w:rPr>
                    <w:t>SE</w:t>
                  </w:r>
                </w:p>
              </w:tc>
              <w:tc>
                <w:tcPr>
                  <w:tcW w:w="578" w:type="pct"/>
                  <w:noWrap w:val="0"/>
                  <w:vAlign w:val="center"/>
                </w:tcPr>
                <w:p w14:paraId="55198EB3">
                  <w:pPr>
                    <w:keepNext w:val="0"/>
                    <w:keepLines w:val="0"/>
                    <w:pageBreakBefore w:val="0"/>
                    <w:suppressLineNumbers w:val="0"/>
                    <w:topLinePunct w:val="0"/>
                    <w:autoSpaceDE/>
                    <w:autoSpaceDN/>
                    <w:bidi w:val="0"/>
                    <w:adjustRightInd w:val="0"/>
                    <w:snapToGrid w:val="0"/>
                    <w:spacing w:before="0" w:beforeAutospacing="0" w:after="0" w:afterAutospacing="0" w:line="320" w:lineRule="exact"/>
                    <w:ind w:left="0" w:leftChars="0" w:right="0" w:rightChars="0" w:firstLine="0" w:firstLineChars="0"/>
                    <w:jc w:val="center"/>
                    <w:rPr>
                      <w:rFonts w:hint="default" w:cs="Times New Roman"/>
                      <w:color w:val="auto"/>
                      <w:sz w:val="21"/>
                      <w:szCs w:val="21"/>
                      <w:lang w:val="en-US" w:eastAsia="zh-CN"/>
                    </w:rPr>
                  </w:pPr>
                  <w:r>
                    <w:rPr>
                      <w:rFonts w:hint="eastAsia" w:cs="Times New Roman"/>
                      <w:color w:val="auto"/>
                      <w:sz w:val="21"/>
                      <w:szCs w:val="21"/>
                      <w:lang w:val="en-US" w:eastAsia="zh-CN"/>
                    </w:rPr>
                    <w:t>130</w:t>
                  </w:r>
                </w:p>
              </w:tc>
            </w:tr>
            <w:tr w14:paraId="5CBD6FE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40" w:type="pct"/>
                  <w:noWrap w:val="0"/>
                  <w:vAlign w:val="center"/>
                </w:tcPr>
                <w:p w14:paraId="14B6041F">
                  <w:pPr>
                    <w:keepNext w:val="0"/>
                    <w:keepLines w:val="0"/>
                    <w:pageBreakBefore w:val="0"/>
                    <w:suppressLineNumbers w:val="0"/>
                    <w:topLinePunct w:val="0"/>
                    <w:autoSpaceDE/>
                    <w:autoSpaceDN/>
                    <w:bidi w:val="0"/>
                    <w:adjustRightInd w:val="0"/>
                    <w:snapToGrid w:val="0"/>
                    <w:spacing w:before="0" w:beforeAutospacing="0" w:after="0" w:afterAutospacing="0" w:line="320" w:lineRule="exact"/>
                    <w:ind w:left="0" w:leftChars="0" w:right="0" w:rightChars="0"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绿地中山铂邸</w:t>
                  </w:r>
                </w:p>
              </w:tc>
              <w:tc>
                <w:tcPr>
                  <w:tcW w:w="989" w:type="pct"/>
                  <w:noWrap w:val="0"/>
                  <w:vAlign w:val="center"/>
                </w:tcPr>
                <w:p w14:paraId="69E723CA">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120°3</w:t>
                  </w:r>
                  <w:r>
                    <w:rPr>
                      <w:rFonts w:hint="eastAsia" w:cs="Times New Roman"/>
                      <w:color w:val="auto"/>
                      <w:sz w:val="21"/>
                      <w:szCs w:val="21"/>
                      <w:lang w:val="en-US" w:eastAsia="zh-CN"/>
                    </w:rPr>
                    <w:t>6</w:t>
                  </w:r>
                  <w:r>
                    <w:rPr>
                      <w:rFonts w:hint="default" w:ascii="Times New Roman" w:hAnsi="Times New Roman" w:eastAsia="宋体" w:cs="Times New Roman"/>
                      <w:color w:val="auto"/>
                      <w:sz w:val="21"/>
                      <w:szCs w:val="21"/>
                    </w:rPr>
                    <w:t>′</w:t>
                  </w:r>
                  <w:r>
                    <w:rPr>
                      <w:rFonts w:hint="eastAsia" w:cs="Times New Roman"/>
                      <w:color w:val="auto"/>
                      <w:sz w:val="21"/>
                      <w:szCs w:val="21"/>
                      <w:lang w:val="en-US" w:eastAsia="zh-CN"/>
                    </w:rPr>
                    <w:t>22.828</w:t>
                  </w:r>
                  <w:r>
                    <w:rPr>
                      <w:rFonts w:hint="default" w:ascii="Times New Roman" w:hAnsi="Times New Roman" w:eastAsia="宋体" w:cs="Times New Roman"/>
                      <w:color w:val="auto"/>
                      <w:sz w:val="21"/>
                      <w:szCs w:val="21"/>
                    </w:rPr>
                    <w:t>″</w:t>
                  </w:r>
                </w:p>
              </w:tc>
              <w:tc>
                <w:tcPr>
                  <w:tcW w:w="968" w:type="pct"/>
                  <w:noWrap w:val="0"/>
                  <w:vAlign w:val="center"/>
                </w:tcPr>
                <w:p w14:paraId="00390E1E">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32°2</w:t>
                  </w:r>
                  <w:r>
                    <w:rPr>
                      <w:rFonts w:hint="eastAsia" w:cs="Times New Roman"/>
                      <w:color w:val="auto"/>
                      <w:sz w:val="21"/>
                      <w:szCs w:val="21"/>
                      <w:lang w:val="en-US" w:eastAsia="zh-CN"/>
                    </w:rPr>
                    <w:t>3</w:t>
                  </w:r>
                  <w:r>
                    <w:rPr>
                      <w:rFonts w:hint="default" w:ascii="Times New Roman" w:hAnsi="Times New Roman" w:eastAsia="宋体" w:cs="Times New Roman"/>
                      <w:color w:val="auto"/>
                      <w:sz w:val="21"/>
                      <w:szCs w:val="21"/>
                    </w:rPr>
                    <w:t>′</w:t>
                  </w:r>
                  <w:r>
                    <w:rPr>
                      <w:rFonts w:hint="eastAsia" w:cs="Times New Roman"/>
                      <w:color w:val="auto"/>
                      <w:sz w:val="21"/>
                      <w:szCs w:val="21"/>
                      <w:lang w:val="en-US" w:eastAsia="zh-CN"/>
                    </w:rPr>
                    <w:t>51.944</w:t>
                  </w:r>
                  <w:r>
                    <w:rPr>
                      <w:rFonts w:hint="default" w:ascii="Times New Roman" w:hAnsi="Times New Roman" w:eastAsia="宋体" w:cs="Times New Roman"/>
                      <w:color w:val="auto"/>
                      <w:sz w:val="21"/>
                      <w:szCs w:val="21"/>
                    </w:rPr>
                    <w:t>″</w:t>
                  </w:r>
                </w:p>
              </w:tc>
              <w:tc>
                <w:tcPr>
                  <w:tcW w:w="445" w:type="pct"/>
                  <w:noWrap w:val="0"/>
                  <w:vAlign w:val="center"/>
                </w:tcPr>
                <w:p w14:paraId="78AB827A">
                  <w:pPr>
                    <w:keepNext w:val="0"/>
                    <w:keepLines w:val="0"/>
                    <w:pageBreakBefore w:val="0"/>
                    <w:suppressLineNumbers w:val="0"/>
                    <w:tabs>
                      <w:tab w:val="left" w:pos="1021"/>
                    </w:tabs>
                    <w:topLinePunct w:val="0"/>
                    <w:autoSpaceDE/>
                    <w:autoSpaceDN/>
                    <w:bidi w:val="0"/>
                    <w:adjustRightInd w:val="0"/>
                    <w:snapToGrid w:val="0"/>
                    <w:spacing w:before="0" w:beforeAutospacing="0" w:after="0" w:afterAutospacing="0" w:line="320" w:lineRule="exact"/>
                    <w:ind w:left="0" w:leftChars="0" w:right="0" w:rightChars="0"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居民</w:t>
                  </w:r>
                </w:p>
              </w:tc>
              <w:tc>
                <w:tcPr>
                  <w:tcW w:w="425" w:type="pct"/>
                  <w:noWrap w:val="0"/>
                  <w:vAlign w:val="center"/>
                </w:tcPr>
                <w:p w14:paraId="06709451">
                  <w:pPr>
                    <w:keepNext w:val="0"/>
                    <w:keepLines w:val="0"/>
                    <w:pageBreakBefore w:val="0"/>
                    <w:suppressLineNumbers w:val="0"/>
                    <w:tabs>
                      <w:tab w:val="left" w:pos="1021"/>
                    </w:tabs>
                    <w:topLinePunct w:val="0"/>
                    <w:autoSpaceDE/>
                    <w:autoSpaceDN/>
                    <w:bidi w:val="0"/>
                    <w:adjustRightInd w:val="0"/>
                    <w:snapToGrid w:val="0"/>
                    <w:spacing w:before="0" w:beforeAutospacing="0" w:after="0" w:afterAutospacing="0" w:line="320" w:lineRule="exact"/>
                    <w:ind w:left="0" w:leftChars="0" w:right="0" w:rightChars="0" w:firstLine="0" w:firstLineChars="0"/>
                    <w:jc w:val="center"/>
                    <w:rPr>
                      <w:rFonts w:hint="default" w:cs="Times New Roman"/>
                      <w:color w:val="auto"/>
                      <w:sz w:val="21"/>
                      <w:szCs w:val="21"/>
                      <w:lang w:val="en-US" w:eastAsia="zh-CN"/>
                    </w:rPr>
                  </w:pPr>
                  <w:r>
                    <w:rPr>
                      <w:rFonts w:hint="eastAsia" w:cs="Times New Roman"/>
                      <w:color w:val="auto"/>
                      <w:sz w:val="21"/>
                      <w:szCs w:val="21"/>
                      <w:lang w:val="en-US" w:eastAsia="zh-CN"/>
                    </w:rPr>
                    <w:t>1000户</w:t>
                  </w:r>
                </w:p>
              </w:tc>
              <w:tc>
                <w:tcPr>
                  <w:tcW w:w="514" w:type="pct"/>
                  <w:vMerge w:val="continue"/>
                  <w:noWrap w:val="0"/>
                  <w:vAlign w:val="center"/>
                </w:tcPr>
                <w:p w14:paraId="7766BDC9">
                  <w:pPr>
                    <w:keepNext w:val="0"/>
                    <w:keepLines w:val="0"/>
                    <w:pageBreakBefore w:val="0"/>
                    <w:suppressLineNumbers w:val="0"/>
                    <w:topLinePunct w:val="0"/>
                    <w:autoSpaceDE/>
                    <w:autoSpaceDN/>
                    <w:bidi w:val="0"/>
                    <w:adjustRightInd w:val="0"/>
                    <w:snapToGrid w:val="0"/>
                    <w:spacing w:before="0" w:beforeAutospacing="0" w:after="0" w:afterAutospacing="0" w:line="320" w:lineRule="exact"/>
                    <w:ind w:left="0" w:leftChars="0" w:right="0" w:rightChars="0" w:firstLine="0" w:firstLineChars="0"/>
                    <w:jc w:val="center"/>
                    <w:rPr>
                      <w:rFonts w:hint="eastAsia" w:cs="Times New Roman"/>
                      <w:color w:val="auto"/>
                      <w:sz w:val="21"/>
                      <w:szCs w:val="21"/>
                      <w:lang w:eastAsia="zh-CN"/>
                    </w:rPr>
                  </w:pPr>
                </w:p>
              </w:tc>
              <w:tc>
                <w:tcPr>
                  <w:tcW w:w="439" w:type="pct"/>
                  <w:shd w:val="clear" w:color="auto" w:fill="auto"/>
                  <w:noWrap w:val="0"/>
                  <w:vAlign w:val="center"/>
                </w:tcPr>
                <w:p w14:paraId="7D00A627">
                  <w:pPr>
                    <w:keepNext w:val="0"/>
                    <w:keepLines w:val="0"/>
                    <w:pageBreakBefore w:val="0"/>
                    <w:suppressLineNumbers w:val="0"/>
                    <w:topLinePunct w:val="0"/>
                    <w:autoSpaceDE/>
                    <w:autoSpaceDN/>
                    <w:bidi w:val="0"/>
                    <w:adjustRightInd w:val="0"/>
                    <w:snapToGrid w:val="0"/>
                    <w:spacing w:before="0" w:beforeAutospacing="0" w:after="0" w:afterAutospacing="0" w:line="320" w:lineRule="exact"/>
                    <w:ind w:left="0" w:leftChars="0" w:right="0" w:rightChars="0" w:firstLine="0" w:firstLineChars="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SE</w:t>
                  </w:r>
                </w:p>
              </w:tc>
              <w:tc>
                <w:tcPr>
                  <w:tcW w:w="578" w:type="pct"/>
                  <w:shd w:val="clear" w:color="auto" w:fill="auto"/>
                  <w:noWrap w:val="0"/>
                  <w:vAlign w:val="center"/>
                </w:tcPr>
                <w:p w14:paraId="56EA447C">
                  <w:pPr>
                    <w:keepNext w:val="0"/>
                    <w:keepLines w:val="0"/>
                    <w:pageBreakBefore w:val="0"/>
                    <w:suppressLineNumbers w:val="0"/>
                    <w:topLinePunct w:val="0"/>
                    <w:autoSpaceDE/>
                    <w:autoSpaceDN/>
                    <w:bidi w:val="0"/>
                    <w:adjustRightInd w:val="0"/>
                    <w:snapToGrid w:val="0"/>
                    <w:spacing w:before="0" w:beforeAutospacing="0" w:after="0" w:afterAutospacing="0" w:line="320" w:lineRule="exact"/>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258</w:t>
                  </w:r>
                </w:p>
              </w:tc>
            </w:tr>
            <w:tr w14:paraId="6DB167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0" w:type="pct"/>
                  <w:noWrap w:val="0"/>
                  <w:vAlign w:val="center"/>
                </w:tcPr>
                <w:p w14:paraId="60284ED7">
                  <w:pPr>
                    <w:keepNext w:val="0"/>
                    <w:keepLines w:val="0"/>
                    <w:pageBreakBefore w:val="0"/>
                    <w:suppressLineNumbers w:val="0"/>
                    <w:topLinePunct w:val="0"/>
                    <w:autoSpaceDE/>
                    <w:autoSpaceDN/>
                    <w:bidi w:val="0"/>
                    <w:adjustRightInd w:val="0"/>
                    <w:snapToGrid w:val="0"/>
                    <w:spacing w:before="0" w:beforeAutospacing="0" w:after="0" w:afterAutospacing="0" w:line="320" w:lineRule="exact"/>
                    <w:ind w:left="0" w:leftChars="0" w:right="0" w:rightChars="0"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薛家湾</w:t>
                  </w:r>
                </w:p>
              </w:tc>
              <w:tc>
                <w:tcPr>
                  <w:tcW w:w="989" w:type="pct"/>
                  <w:noWrap w:val="0"/>
                  <w:vAlign w:val="center"/>
                </w:tcPr>
                <w:p w14:paraId="3C65B2EB">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120°3</w:t>
                  </w:r>
                  <w:r>
                    <w:rPr>
                      <w:rFonts w:hint="eastAsia" w:cs="Times New Roman"/>
                      <w:color w:val="auto"/>
                      <w:sz w:val="21"/>
                      <w:szCs w:val="21"/>
                      <w:lang w:val="en-US" w:eastAsia="zh-CN"/>
                    </w:rPr>
                    <w:t>5</w:t>
                  </w:r>
                  <w:r>
                    <w:rPr>
                      <w:rFonts w:hint="default" w:ascii="Times New Roman" w:hAnsi="Times New Roman" w:eastAsia="宋体" w:cs="Times New Roman"/>
                      <w:color w:val="auto"/>
                      <w:sz w:val="21"/>
                      <w:szCs w:val="21"/>
                    </w:rPr>
                    <w:t>′</w:t>
                  </w:r>
                  <w:r>
                    <w:rPr>
                      <w:rFonts w:hint="eastAsia" w:cs="Times New Roman"/>
                      <w:color w:val="auto"/>
                      <w:sz w:val="21"/>
                      <w:szCs w:val="21"/>
                      <w:lang w:val="en-US" w:eastAsia="zh-CN"/>
                    </w:rPr>
                    <w:t>58.582</w:t>
                  </w:r>
                  <w:r>
                    <w:rPr>
                      <w:rFonts w:hint="default" w:ascii="Times New Roman" w:hAnsi="Times New Roman" w:eastAsia="宋体" w:cs="Times New Roman"/>
                      <w:color w:val="auto"/>
                      <w:sz w:val="21"/>
                      <w:szCs w:val="21"/>
                    </w:rPr>
                    <w:t>″</w:t>
                  </w:r>
                </w:p>
              </w:tc>
              <w:tc>
                <w:tcPr>
                  <w:tcW w:w="968" w:type="pct"/>
                  <w:noWrap w:val="0"/>
                  <w:vAlign w:val="center"/>
                </w:tcPr>
                <w:p w14:paraId="4ADF3ADB">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32°2</w:t>
                  </w:r>
                  <w:r>
                    <w:rPr>
                      <w:rFonts w:hint="eastAsia" w:cs="Times New Roman"/>
                      <w:color w:val="auto"/>
                      <w:sz w:val="21"/>
                      <w:szCs w:val="21"/>
                      <w:lang w:val="en-US" w:eastAsia="zh-CN"/>
                    </w:rPr>
                    <w:t>3</w:t>
                  </w:r>
                  <w:r>
                    <w:rPr>
                      <w:rFonts w:hint="default" w:ascii="Times New Roman" w:hAnsi="Times New Roman" w:eastAsia="宋体" w:cs="Times New Roman"/>
                      <w:color w:val="auto"/>
                      <w:sz w:val="21"/>
                      <w:szCs w:val="21"/>
                    </w:rPr>
                    <w:t>′</w:t>
                  </w:r>
                  <w:r>
                    <w:rPr>
                      <w:rFonts w:hint="eastAsia" w:cs="Times New Roman"/>
                      <w:color w:val="auto"/>
                      <w:sz w:val="21"/>
                      <w:szCs w:val="21"/>
                      <w:lang w:val="en-US" w:eastAsia="zh-CN"/>
                    </w:rPr>
                    <w:t>47.558</w:t>
                  </w:r>
                  <w:r>
                    <w:rPr>
                      <w:rFonts w:hint="default" w:ascii="Times New Roman" w:hAnsi="Times New Roman" w:eastAsia="宋体" w:cs="Times New Roman"/>
                      <w:color w:val="auto"/>
                      <w:sz w:val="21"/>
                      <w:szCs w:val="21"/>
                    </w:rPr>
                    <w:t>″</w:t>
                  </w:r>
                </w:p>
              </w:tc>
              <w:tc>
                <w:tcPr>
                  <w:tcW w:w="445" w:type="pct"/>
                  <w:noWrap w:val="0"/>
                  <w:vAlign w:val="center"/>
                </w:tcPr>
                <w:p w14:paraId="63CFD3DD">
                  <w:pPr>
                    <w:keepNext w:val="0"/>
                    <w:keepLines w:val="0"/>
                    <w:pageBreakBefore w:val="0"/>
                    <w:suppressLineNumbers w:val="0"/>
                    <w:tabs>
                      <w:tab w:val="left" w:pos="1021"/>
                    </w:tabs>
                    <w:topLinePunct w:val="0"/>
                    <w:autoSpaceDE/>
                    <w:autoSpaceDN/>
                    <w:bidi w:val="0"/>
                    <w:adjustRightInd w:val="0"/>
                    <w:snapToGrid w:val="0"/>
                    <w:spacing w:before="0" w:beforeAutospacing="0" w:after="0" w:afterAutospacing="0" w:line="320" w:lineRule="exact"/>
                    <w:ind w:left="0" w:leftChars="0" w:right="0" w:rightChars="0"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居民</w:t>
                  </w:r>
                </w:p>
              </w:tc>
              <w:tc>
                <w:tcPr>
                  <w:tcW w:w="425" w:type="pct"/>
                  <w:noWrap w:val="0"/>
                  <w:vAlign w:val="center"/>
                </w:tcPr>
                <w:p w14:paraId="2C23D093">
                  <w:pPr>
                    <w:keepNext w:val="0"/>
                    <w:keepLines w:val="0"/>
                    <w:pageBreakBefore w:val="0"/>
                    <w:suppressLineNumbers w:val="0"/>
                    <w:tabs>
                      <w:tab w:val="left" w:pos="1021"/>
                    </w:tabs>
                    <w:topLinePunct w:val="0"/>
                    <w:autoSpaceDE/>
                    <w:autoSpaceDN/>
                    <w:bidi w:val="0"/>
                    <w:adjustRightInd w:val="0"/>
                    <w:snapToGrid w:val="0"/>
                    <w:spacing w:before="0" w:beforeAutospacing="0" w:after="0" w:afterAutospacing="0" w:line="320" w:lineRule="exact"/>
                    <w:ind w:left="0" w:leftChars="0" w:right="0" w:rightChars="0" w:firstLine="0" w:firstLineChars="0"/>
                    <w:jc w:val="center"/>
                    <w:rPr>
                      <w:rFonts w:hint="default" w:cs="Times New Roman"/>
                      <w:color w:val="auto"/>
                      <w:sz w:val="21"/>
                      <w:szCs w:val="21"/>
                      <w:lang w:val="en-US" w:eastAsia="zh-CN"/>
                    </w:rPr>
                  </w:pPr>
                  <w:r>
                    <w:rPr>
                      <w:rFonts w:hint="eastAsia" w:cs="Times New Roman"/>
                      <w:color w:val="auto"/>
                      <w:sz w:val="21"/>
                      <w:szCs w:val="21"/>
                      <w:lang w:val="en-US" w:eastAsia="zh-CN"/>
                    </w:rPr>
                    <w:t>78户</w:t>
                  </w:r>
                </w:p>
              </w:tc>
              <w:tc>
                <w:tcPr>
                  <w:tcW w:w="514" w:type="pct"/>
                  <w:vMerge w:val="continue"/>
                  <w:noWrap w:val="0"/>
                  <w:vAlign w:val="center"/>
                </w:tcPr>
                <w:p w14:paraId="5EFE7ABD">
                  <w:pPr>
                    <w:keepNext w:val="0"/>
                    <w:keepLines w:val="0"/>
                    <w:pageBreakBefore w:val="0"/>
                    <w:suppressLineNumbers w:val="0"/>
                    <w:topLinePunct w:val="0"/>
                    <w:autoSpaceDE/>
                    <w:autoSpaceDN/>
                    <w:bidi w:val="0"/>
                    <w:adjustRightInd w:val="0"/>
                    <w:snapToGrid w:val="0"/>
                    <w:spacing w:before="0" w:beforeAutospacing="0" w:after="0" w:afterAutospacing="0" w:line="320" w:lineRule="exact"/>
                    <w:ind w:left="0" w:leftChars="0" w:right="0" w:rightChars="0" w:firstLine="0" w:firstLineChars="0"/>
                    <w:jc w:val="center"/>
                    <w:rPr>
                      <w:rFonts w:hint="eastAsia" w:cs="Times New Roman"/>
                      <w:color w:val="auto"/>
                      <w:sz w:val="21"/>
                      <w:szCs w:val="21"/>
                      <w:lang w:eastAsia="zh-CN"/>
                    </w:rPr>
                  </w:pPr>
                </w:p>
              </w:tc>
              <w:tc>
                <w:tcPr>
                  <w:tcW w:w="439" w:type="pct"/>
                  <w:noWrap w:val="0"/>
                  <w:vAlign w:val="center"/>
                </w:tcPr>
                <w:p w14:paraId="2F7F7E25">
                  <w:pPr>
                    <w:keepNext w:val="0"/>
                    <w:keepLines w:val="0"/>
                    <w:pageBreakBefore w:val="0"/>
                    <w:suppressLineNumbers w:val="0"/>
                    <w:topLinePunct w:val="0"/>
                    <w:autoSpaceDE/>
                    <w:autoSpaceDN/>
                    <w:bidi w:val="0"/>
                    <w:adjustRightInd w:val="0"/>
                    <w:snapToGrid w:val="0"/>
                    <w:spacing w:before="0" w:beforeAutospacing="0" w:after="0" w:afterAutospacing="0" w:line="320" w:lineRule="exact"/>
                    <w:ind w:left="0" w:leftChars="0" w:right="0" w:rightChars="0" w:firstLine="0" w:firstLineChars="0"/>
                    <w:jc w:val="center"/>
                    <w:rPr>
                      <w:rFonts w:hint="default" w:cs="Times New Roman"/>
                      <w:color w:val="auto"/>
                      <w:sz w:val="21"/>
                      <w:szCs w:val="21"/>
                      <w:lang w:val="en-US" w:eastAsia="zh-CN"/>
                    </w:rPr>
                  </w:pPr>
                  <w:r>
                    <w:rPr>
                      <w:rFonts w:hint="eastAsia" w:cs="Times New Roman"/>
                      <w:color w:val="auto"/>
                      <w:sz w:val="21"/>
                      <w:szCs w:val="21"/>
                      <w:lang w:val="en-US" w:eastAsia="zh-CN"/>
                    </w:rPr>
                    <w:t>S</w:t>
                  </w:r>
                </w:p>
              </w:tc>
              <w:tc>
                <w:tcPr>
                  <w:tcW w:w="578" w:type="pct"/>
                  <w:noWrap w:val="0"/>
                  <w:vAlign w:val="center"/>
                </w:tcPr>
                <w:p w14:paraId="454C7285">
                  <w:pPr>
                    <w:keepNext w:val="0"/>
                    <w:keepLines w:val="0"/>
                    <w:pageBreakBefore w:val="0"/>
                    <w:suppressLineNumbers w:val="0"/>
                    <w:topLinePunct w:val="0"/>
                    <w:autoSpaceDE/>
                    <w:autoSpaceDN/>
                    <w:bidi w:val="0"/>
                    <w:adjustRightInd w:val="0"/>
                    <w:snapToGrid w:val="0"/>
                    <w:spacing w:before="0" w:beforeAutospacing="0" w:after="0" w:afterAutospacing="0" w:line="320" w:lineRule="exact"/>
                    <w:ind w:left="0" w:leftChars="0" w:right="0" w:rightChars="0" w:firstLine="0" w:firstLineChars="0"/>
                    <w:jc w:val="center"/>
                    <w:rPr>
                      <w:rFonts w:hint="default" w:cs="Times New Roman"/>
                      <w:color w:val="auto"/>
                      <w:sz w:val="21"/>
                      <w:szCs w:val="21"/>
                      <w:lang w:val="en-US" w:eastAsia="zh-CN"/>
                    </w:rPr>
                  </w:pPr>
                  <w:r>
                    <w:rPr>
                      <w:rFonts w:hint="eastAsia" w:cs="Times New Roman"/>
                      <w:color w:val="auto"/>
                      <w:sz w:val="21"/>
                      <w:szCs w:val="21"/>
                      <w:lang w:val="en-US" w:eastAsia="zh-CN"/>
                    </w:rPr>
                    <w:t>106</w:t>
                  </w:r>
                </w:p>
              </w:tc>
            </w:tr>
            <w:tr w14:paraId="41AFE84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0" w:type="pct"/>
                  <w:noWrap w:val="0"/>
                  <w:vAlign w:val="center"/>
                </w:tcPr>
                <w:p w14:paraId="0E8977E9">
                  <w:pPr>
                    <w:keepNext w:val="0"/>
                    <w:keepLines w:val="0"/>
                    <w:pageBreakBefore w:val="0"/>
                    <w:suppressLineNumbers w:val="0"/>
                    <w:topLinePunct w:val="0"/>
                    <w:autoSpaceDE/>
                    <w:autoSpaceDN/>
                    <w:bidi w:val="0"/>
                    <w:adjustRightInd w:val="0"/>
                    <w:snapToGrid w:val="0"/>
                    <w:spacing w:before="0" w:beforeAutospacing="0" w:after="0" w:afterAutospacing="0" w:line="320" w:lineRule="exact"/>
                    <w:ind w:left="0" w:leftChars="0" w:right="0" w:rightChars="0"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新民社区十四组</w:t>
                  </w:r>
                </w:p>
              </w:tc>
              <w:tc>
                <w:tcPr>
                  <w:tcW w:w="989" w:type="pct"/>
                  <w:noWrap w:val="0"/>
                  <w:vAlign w:val="center"/>
                </w:tcPr>
                <w:p w14:paraId="244B3964">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120°3</w:t>
                  </w:r>
                  <w:r>
                    <w:rPr>
                      <w:rFonts w:hint="eastAsia" w:cs="Times New Roman"/>
                      <w:color w:val="auto"/>
                      <w:sz w:val="21"/>
                      <w:szCs w:val="21"/>
                      <w:lang w:val="en-US" w:eastAsia="zh-CN"/>
                    </w:rPr>
                    <w:t>6</w:t>
                  </w:r>
                  <w:r>
                    <w:rPr>
                      <w:rFonts w:hint="default" w:ascii="Times New Roman" w:hAnsi="Times New Roman" w:eastAsia="宋体" w:cs="Times New Roman"/>
                      <w:color w:val="auto"/>
                      <w:sz w:val="21"/>
                      <w:szCs w:val="21"/>
                    </w:rPr>
                    <w:t>′</w:t>
                  </w:r>
                  <w:r>
                    <w:rPr>
                      <w:rFonts w:hint="eastAsia" w:cs="Times New Roman"/>
                      <w:color w:val="auto"/>
                      <w:sz w:val="21"/>
                      <w:szCs w:val="21"/>
                      <w:lang w:val="en-US" w:eastAsia="zh-CN"/>
                    </w:rPr>
                    <w:t>18.271</w:t>
                  </w:r>
                  <w:r>
                    <w:rPr>
                      <w:rFonts w:hint="default" w:ascii="Times New Roman" w:hAnsi="Times New Roman" w:eastAsia="宋体" w:cs="Times New Roman"/>
                      <w:color w:val="auto"/>
                      <w:sz w:val="21"/>
                      <w:szCs w:val="21"/>
                    </w:rPr>
                    <w:t>″</w:t>
                  </w:r>
                </w:p>
              </w:tc>
              <w:tc>
                <w:tcPr>
                  <w:tcW w:w="968" w:type="pct"/>
                  <w:noWrap w:val="0"/>
                  <w:vAlign w:val="center"/>
                </w:tcPr>
                <w:p w14:paraId="0E98BF9F">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32°2</w:t>
                  </w:r>
                  <w:r>
                    <w:rPr>
                      <w:rFonts w:hint="eastAsia" w:cs="Times New Roman"/>
                      <w:color w:val="auto"/>
                      <w:sz w:val="21"/>
                      <w:szCs w:val="21"/>
                      <w:lang w:val="en-US" w:eastAsia="zh-CN"/>
                    </w:rPr>
                    <w:t>4</w:t>
                  </w:r>
                  <w:r>
                    <w:rPr>
                      <w:rFonts w:hint="default" w:ascii="Times New Roman" w:hAnsi="Times New Roman" w:eastAsia="宋体" w:cs="Times New Roman"/>
                      <w:color w:val="auto"/>
                      <w:sz w:val="21"/>
                      <w:szCs w:val="21"/>
                    </w:rPr>
                    <w:t>′</w:t>
                  </w:r>
                  <w:r>
                    <w:rPr>
                      <w:rFonts w:hint="eastAsia" w:cs="Times New Roman"/>
                      <w:color w:val="auto"/>
                      <w:sz w:val="21"/>
                      <w:szCs w:val="21"/>
                      <w:lang w:val="en-US" w:eastAsia="zh-CN"/>
                    </w:rPr>
                    <w:t>6.815</w:t>
                  </w:r>
                  <w:r>
                    <w:rPr>
                      <w:rFonts w:hint="default" w:ascii="Times New Roman" w:hAnsi="Times New Roman" w:eastAsia="宋体" w:cs="Times New Roman"/>
                      <w:color w:val="auto"/>
                      <w:sz w:val="21"/>
                      <w:szCs w:val="21"/>
                    </w:rPr>
                    <w:t>″</w:t>
                  </w:r>
                </w:p>
              </w:tc>
              <w:tc>
                <w:tcPr>
                  <w:tcW w:w="445" w:type="pct"/>
                  <w:noWrap w:val="0"/>
                  <w:vAlign w:val="center"/>
                </w:tcPr>
                <w:p w14:paraId="4C4BFFCA">
                  <w:pPr>
                    <w:keepNext w:val="0"/>
                    <w:keepLines w:val="0"/>
                    <w:pageBreakBefore w:val="0"/>
                    <w:suppressLineNumbers w:val="0"/>
                    <w:topLinePunct w:val="0"/>
                    <w:autoSpaceDE/>
                    <w:autoSpaceDN/>
                    <w:bidi w:val="0"/>
                    <w:adjustRightInd w:val="0"/>
                    <w:snapToGrid w:val="0"/>
                    <w:spacing w:before="0" w:beforeAutospacing="0" w:after="0" w:afterAutospacing="0" w:line="320" w:lineRule="exact"/>
                    <w:ind w:left="0" w:leftChars="0" w:right="0" w:rightChars="0"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居民</w:t>
                  </w:r>
                </w:p>
              </w:tc>
              <w:tc>
                <w:tcPr>
                  <w:tcW w:w="425" w:type="pct"/>
                  <w:noWrap w:val="0"/>
                  <w:vAlign w:val="center"/>
                </w:tcPr>
                <w:p w14:paraId="610AA3E7">
                  <w:pPr>
                    <w:keepNext w:val="0"/>
                    <w:keepLines w:val="0"/>
                    <w:pageBreakBefore w:val="0"/>
                    <w:suppressLineNumbers w:val="0"/>
                    <w:tabs>
                      <w:tab w:val="left" w:pos="1021"/>
                    </w:tabs>
                    <w:topLinePunct w:val="0"/>
                    <w:autoSpaceDE/>
                    <w:autoSpaceDN/>
                    <w:bidi w:val="0"/>
                    <w:adjustRightInd w:val="0"/>
                    <w:snapToGrid w:val="0"/>
                    <w:spacing w:before="0" w:beforeAutospacing="0" w:after="0" w:afterAutospacing="0" w:line="320" w:lineRule="exact"/>
                    <w:ind w:left="0" w:leftChars="0" w:right="0" w:rightChars="0" w:firstLine="0" w:firstLineChars="0"/>
                    <w:jc w:val="center"/>
                    <w:rPr>
                      <w:rFonts w:hint="default" w:cs="Times New Roman"/>
                      <w:color w:val="auto"/>
                      <w:sz w:val="21"/>
                      <w:szCs w:val="21"/>
                      <w:lang w:val="en-US" w:eastAsia="zh-CN"/>
                    </w:rPr>
                  </w:pPr>
                  <w:r>
                    <w:rPr>
                      <w:rFonts w:hint="eastAsia" w:cs="Times New Roman"/>
                      <w:color w:val="auto"/>
                      <w:sz w:val="21"/>
                      <w:szCs w:val="21"/>
                      <w:lang w:val="en-US" w:eastAsia="zh-CN"/>
                    </w:rPr>
                    <w:t>28户</w:t>
                  </w:r>
                </w:p>
              </w:tc>
              <w:tc>
                <w:tcPr>
                  <w:tcW w:w="514" w:type="pct"/>
                  <w:vMerge w:val="continue"/>
                  <w:noWrap w:val="0"/>
                  <w:vAlign w:val="center"/>
                </w:tcPr>
                <w:p w14:paraId="151352EF">
                  <w:pPr>
                    <w:keepNext w:val="0"/>
                    <w:keepLines w:val="0"/>
                    <w:pageBreakBefore w:val="0"/>
                    <w:suppressLineNumbers w:val="0"/>
                    <w:topLinePunct w:val="0"/>
                    <w:autoSpaceDE/>
                    <w:autoSpaceDN/>
                    <w:bidi w:val="0"/>
                    <w:adjustRightInd w:val="0"/>
                    <w:snapToGrid w:val="0"/>
                    <w:spacing w:before="0" w:beforeAutospacing="0" w:after="0" w:afterAutospacing="0" w:line="320" w:lineRule="exact"/>
                    <w:ind w:left="0" w:leftChars="0" w:right="0" w:rightChars="0" w:firstLine="0" w:firstLineChars="0"/>
                    <w:jc w:val="center"/>
                    <w:rPr>
                      <w:rFonts w:hint="eastAsia" w:cs="Times New Roman"/>
                      <w:color w:val="auto"/>
                      <w:sz w:val="21"/>
                      <w:szCs w:val="21"/>
                      <w:lang w:eastAsia="zh-CN"/>
                    </w:rPr>
                  </w:pPr>
                </w:p>
              </w:tc>
              <w:tc>
                <w:tcPr>
                  <w:tcW w:w="439" w:type="pct"/>
                  <w:noWrap w:val="0"/>
                  <w:vAlign w:val="center"/>
                </w:tcPr>
                <w:p w14:paraId="3ADA4771">
                  <w:pPr>
                    <w:keepNext w:val="0"/>
                    <w:keepLines w:val="0"/>
                    <w:pageBreakBefore w:val="0"/>
                    <w:suppressLineNumbers w:val="0"/>
                    <w:topLinePunct w:val="0"/>
                    <w:autoSpaceDE/>
                    <w:autoSpaceDN/>
                    <w:bidi w:val="0"/>
                    <w:adjustRightInd w:val="0"/>
                    <w:snapToGrid w:val="0"/>
                    <w:spacing w:before="0" w:beforeAutospacing="0" w:after="0" w:afterAutospacing="0" w:line="320" w:lineRule="exact"/>
                    <w:ind w:left="0" w:leftChars="0" w:right="0" w:rightChars="0" w:firstLine="0" w:firstLineChars="0"/>
                    <w:jc w:val="center"/>
                    <w:rPr>
                      <w:rFonts w:hint="default" w:cs="Times New Roman"/>
                      <w:color w:val="auto"/>
                      <w:sz w:val="21"/>
                      <w:szCs w:val="21"/>
                      <w:lang w:val="en-US" w:eastAsia="zh-CN"/>
                    </w:rPr>
                  </w:pPr>
                  <w:r>
                    <w:rPr>
                      <w:rFonts w:hint="eastAsia" w:cs="Times New Roman"/>
                      <w:color w:val="auto"/>
                      <w:sz w:val="21"/>
                      <w:szCs w:val="21"/>
                      <w:lang w:val="en-US" w:eastAsia="zh-CN"/>
                    </w:rPr>
                    <w:t>NE</w:t>
                  </w:r>
                </w:p>
              </w:tc>
              <w:tc>
                <w:tcPr>
                  <w:tcW w:w="578" w:type="pct"/>
                  <w:noWrap w:val="0"/>
                  <w:vAlign w:val="center"/>
                </w:tcPr>
                <w:p w14:paraId="0F34E0B9">
                  <w:pPr>
                    <w:keepNext w:val="0"/>
                    <w:keepLines w:val="0"/>
                    <w:pageBreakBefore w:val="0"/>
                    <w:suppressLineNumbers w:val="0"/>
                    <w:topLinePunct w:val="0"/>
                    <w:autoSpaceDE/>
                    <w:autoSpaceDN/>
                    <w:bidi w:val="0"/>
                    <w:adjustRightInd w:val="0"/>
                    <w:snapToGrid w:val="0"/>
                    <w:spacing w:before="0" w:beforeAutospacing="0" w:after="0" w:afterAutospacing="0" w:line="320" w:lineRule="exact"/>
                    <w:ind w:left="0" w:leftChars="0" w:right="0" w:rightChars="0" w:firstLine="0" w:firstLineChars="0"/>
                    <w:jc w:val="center"/>
                    <w:rPr>
                      <w:rFonts w:hint="default" w:cs="Times New Roman"/>
                      <w:color w:val="auto"/>
                      <w:sz w:val="21"/>
                      <w:szCs w:val="21"/>
                      <w:lang w:val="en-US" w:eastAsia="zh-CN"/>
                    </w:rPr>
                  </w:pPr>
                  <w:r>
                    <w:rPr>
                      <w:rFonts w:hint="eastAsia" w:cs="Times New Roman"/>
                      <w:color w:val="auto"/>
                      <w:sz w:val="21"/>
                      <w:szCs w:val="21"/>
                      <w:lang w:val="en-US" w:eastAsia="zh-CN"/>
                    </w:rPr>
                    <w:t>217</w:t>
                  </w:r>
                </w:p>
              </w:tc>
            </w:tr>
            <w:tr w14:paraId="1A31D78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0" w:type="pct"/>
                  <w:noWrap w:val="0"/>
                  <w:vAlign w:val="center"/>
                </w:tcPr>
                <w:p w14:paraId="3B266F01">
                  <w:pPr>
                    <w:keepNext w:val="0"/>
                    <w:keepLines w:val="0"/>
                    <w:pageBreakBefore w:val="0"/>
                    <w:suppressLineNumbers w:val="0"/>
                    <w:topLinePunct w:val="0"/>
                    <w:autoSpaceDE/>
                    <w:autoSpaceDN/>
                    <w:bidi w:val="0"/>
                    <w:adjustRightInd w:val="0"/>
                    <w:snapToGrid w:val="0"/>
                    <w:spacing w:before="0" w:beforeAutospacing="0" w:after="0" w:afterAutospacing="0" w:line="320" w:lineRule="exact"/>
                    <w:ind w:left="0" w:leftChars="0" w:right="0" w:rightChars="0"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串港村</w:t>
                  </w:r>
                </w:p>
              </w:tc>
              <w:tc>
                <w:tcPr>
                  <w:tcW w:w="989" w:type="pct"/>
                  <w:noWrap w:val="0"/>
                  <w:vAlign w:val="center"/>
                </w:tcPr>
                <w:p w14:paraId="5301A782">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120°3</w:t>
                  </w:r>
                  <w:r>
                    <w:rPr>
                      <w:rFonts w:hint="eastAsia" w:cs="Times New Roman"/>
                      <w:color w:val="auto"/>
                      <w:sz w:val="21"/>
                      <w:szCs w:val="21"/>
                      <w:lang w:val="en-US" w:eastAsia="zh-CN"/>
                    </w:rPr>
                    <w:t>5</w:t>
                  </w:r>
                  <w:r>
                    <w:rPr>
                      <w:rFonts w:hint="default" w:ascii="Times New Roman" w:hAnsi="Times New Roman" w:eastAsia="宋体" w:cs="Times New Roman"/>
                      <w:color w:val="auto"/>
                      <w:sz w:val="21"/>
                      <w:szCs w:val="21"/>
                    </w:rPr>
                    <w:t>′</w:t>
                  </w:r>
                  <w:r>
                    <w:rPr>
                      <w:rFonts w:hint="eastAsia" w:cs="Times New Roman"/>
                      <w:color w:val="auto"/>
                      <w:sz w:val="21"/>
                      <w:szCs w:val="21"/>
                      <w:lang w:val="en-US" w:eastAsia="zh-CN"/>
                    </w:rPr>
                    <w:t>45.595</w:t>
                  </w:r>
                  <w:r>
                    <w:rPr>
                      <w:rFonts w:hint="default" w:ascii="Times New Roman" w:hAnsi="Times New Roman" w:eastAsia="宋体" w:cs="Times New Roman"/>
                      <w:color w:val="auto"/>
                      <w:sz w:val="21"/>
                      <w:szCs w:val="21"/>
                    </w:rPr>
                    <w:t>″</w:t>
                  </w:r>
                </w:p>
              </w:tc>
              <w:tc>
                <w:tcPr>
                  <w:tcW w:w="968" w:type="pct"/>
                  <w:noWrap w:val="0"/>
                  <w:vAlign w:val="center"/>
                </w:tcPr>
                <w:p w14:paraId="12D9B668">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32°2</w:t>
                  </w:r>
                  <w:r>
                    <w:rPr>
                      <w:rFonts w:hint="eastAsia" w:cs="Times New Roman"/>
                      <w:color w:val="auto"/>
                      <w:sz w:val="21"/>
                      <w:szCs w:val="21"/>
                      <w:lang w:val="en-US" w:eastAsia="zh-CN"/>
                    </w:rPr>
                    <w:t>3</w:t>
                  </w:r>
                  <w:r>
                    <w:rPr>
                      <w:rFonts w:hint="default" w:ascii="Times New Roman" w:hAnsi="Times New Roman" w:eastAsia="宋体" w:cs="Times New Roman"/>
                      <w:color w:val="auto"/>
                      <w:sz w:val="21"/>
                      <w:szCs w:val="21"/>
                    </w:rPr>
                    <w:t>′</w:t>
                  </w:r>
                  <w:r>
                    <w:rPr>
                      <w:rFonts w:hint="eastAsia" w:cs="Times New Roman"/>
                      <w:color w:val="auto"/>
                      <w:sz w:val="21"/>
                      <w:szCs w:val="21"/>
                      <w:lang w:val="en-US" w:eastAsia="zh-CN"/>
                    </w:rPr>
                    <w:t>47.313</w:t>
                  </w:r>
                  <w:r>
                    <w:rPr>
                      <w:rFonts w:hint="default" w:ascii="Times New Roman" w:hAnsi="Times New Roman" w:eastAsia="宋体" w:cs="Times New Roman"/>
                      <w:color w:val="auto"/>
                      <w:sz w:val="21"/>
                      <w:szCs w:val="21"/>
                    </w:rPr>
                    <w:t>″</w:t>
                  </w:r>
                </w:p>
              </w:tc>
              <w:tc>
                <w:tcPr>
                  <w:tcW w:w="445" w:type="pct"/>
                  <w:noWrap w:val="0"/>
                  <w:vAlign w:val="center"/>
                </w:tcPr>
                <w:p w14:paraId="0528A65E">
                  <w:pPr>
                    <w:keepNext w:val="0"/>
                    <w:keepLines w:val="0"/>
                    <w:pageBreakBefore w:val="0"/>
                    <w:suppressLineNumbers w:val="0"/>
                    <w:topLinePunct w:val="0"/>
                    <w:autoSpaceDE/>
                    <w:autoSpaceDN/>
                    <w:bidi w:val="0"/>
                    <w:adjustRightInd w:val="0"/>
                    <w:snapToGrid w:val="0"/>
                    <w:spacing w:before="0" w:beforeAutospacing="0" w:after="0" w:afterAutospacing="0" w:line="320" w:lineRule="exact"/>
                    <w:ind w:left="0" w:leftChars="0" w:right="0" w:rightChars="0"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居民</w:t>
                  </w:r>
                </w:p>
              </w:tc>
              <w:tc>
                <w:tcPr>
                  <w:tcW w:w="425" w:type="pct"/>
                  <w:noWrap w:val="0"/>
                  <w:vAlign w:val="center"/>
                </w:tcPr>
                <w:p w14:paraId="7D84031F">
                  <w:pPr>
                    <w:keepNext w:val="0"/>
                    <w:keepLines w:val="0"/>
                    <w:pageBreakBefore w:val="0"/>
                    <w:suppressLineNumbers w:val="0"/>
                    <w:tabs>
                      <w:tab w:val="left" w:pos="1021"/>
                    </w:tabs>
                    <w:topLinePunct w:val="0"/>
                    <w:autoSpaceDE/>
                    <w:autoSpaceDN/>
                    <w:bidi w:val="0"/>
                    <w:adjustRightInd w:val="0"/>
                    <w:snapToGrid w:val="0"/>
                    <w:spacing w:before="0" w:beforeAutospacing="0" w:after="0" w:afterAutospacing="0" w:line="320" w:lineRule="exact"/>
                    <w:ind w:left="0" w:leftChars="0" w:right="0" w:rightChars="0" w:firstLine="0" w:firstLineChars="0"/>
                    <w:jc w:val="center"/>
                    <w:rPr>
                      <w:rFonts w:hint="default" w:cs="Times New Roman"/>
                      <w:color w:val="auto"/>
                      <w:sz w:val="21"/>
                      <w:szCs w:val="21"/>
                      <w:lang w:val="en-US" w:eastAsia="zh-CN"/>
                    </w:rPr>
                  </w:pPr>
                  <w:r>
                    <w:rPr>
                      <w:rFonts w:hint="eastAsia" w:cs="Times New Roman"/>
                      <w:color w:val="auto"/>
                      <w:sz w:val="21"/>
                      <w:szCs w:val="21"/>
                      <w:lang w:val="en-US" w:eastAsia="zh-CN"/>
                    </w:rPr>
                    <w:t>49户</w:t>
                  </w:r>
                </w:p>
              </w:tc>
              <w:tc>
                <w:tcPr>
                  <w:tcW w:w="514" w:type="pct"/>
                  <w:vMerge w:val="continue"/>
                  <w:noWrap w:val="0"/>
                  <w:vAlign w:val="center"/>
                </w:tcPr>
                <w:p w14:paraId="098B0CB7">
                  <w:pPr>
                    <w:keepNext w:val="0"/>
                    <w:keepLines w:val="0"/>
                    <w:pageBreakBefore w:val="0"/>
                    <w:suppressLineNumbers w:val="0"/>
                    <w:topLinePunct w:val="0"/>
                    <w:autoSpaceDE/>
                    <w:autoSpaceDN/>
                    <w:bidi w:val="0"/>
                    <w:adjustRightInd w:val="0"/>
                    <w:snapToGrid w:val="0"/>
                    <w:spacing w:before="0" w:beforeAutospacing="0" w:after="0" w:afterAutospacing="0" w:line="320" w:lineRule="exact"/>
                    <w:ind w:left="0" w:leftChars="0" w:right="0" w:rightChars="0" w:firstLine="0" w:firstLineChars="0"/>
                    <w:jc w:val="center"/>
                    <w:rPr>
                      <w:rFonts w:hint="eastAsia" w:cs="Times New Roman"/>
                      <w:color w:val="auto"/>
                      <w:sz w:val="21"/>
                      <w:szCs w:val="21"/>
                      <w:lang w:eastAsia="zh-CN"/>
                    </w:rPr>
                  </w:pPr>
                </w:p>
              </w:tc>
              <w:tc>
                <w:tcPr>
                  <w:tcW w:w="439" w:type="pct"/>
                  <w:noWrap w:val="0"/>
                  <w:vAlign w:val="center"/>
                </w:tcPr>
                <w:p w14:paraId="346465F7">
                  <w:pPr>
                    <w:keepNext w:val="0"/>
                    <w:keepLines w:val="0"/>
                    <w:pageBreakBefore w:val="0"/>
                    <w:suppressLineNumbers w:val="0"/>
                    <w:topLinePunct w:val="0"/>
                    <w:autoSpaceDE/>
                    <w:autoSpaceDN/>
                    <w:bidi w:val="0"/>
                    <w:adjustRightInd w:val="0"/>
                    <w:snapToGrid w:val="0"/>
                    <w:spacing w:before="0" w:beforeAutospacing="0" w:after="0" w:afterAutospacing="0" w:line="320" w:lineRule="exact"/>
                    <w:ind w:left="0" w:leftChars="0" w:right="0" w:rightChars="0" w:firstLine="0" w:firstLineChars="0"/>
                    <w:jc w:val="center"/>
                    <w:rPr>
                      <w:rFonts w:hint="default" w:cs="Times New Roman"/>
                      <w:color w:val="auto"/>
                      <w:sz w:val="21"/>
                      <w:szCs w:val="21"/>
                      <w:lang w:val="en-US" w:eastAsia="zh-CN"/>
                    </w:rPr>
                  </w:pPr>
                  <w:r>
                    <w:rPr>
                      <w:rFonts w:hint="eastAsia" w:cs="Times New Roman"/>
                      <w:color w:val="auto"/>
                      <w:sz w:val="21"/>
                      <w:szCs w:val="21"/>
                      <w:lang w:val="en-US" w:eastAsia="zh-CN"/>
                    </w:rPr>
                    <w:t>SW</w:t>
                  </w:r>
                </w:p>
              </w:tc>
              <w:tc>
                <w:tcPr>
                  <w:tcW w:w="578" w:type="pct"/>
                  <w:noWrap w:val="0"/>
                  <w:vAlign w:val="center"/>
                </w:tcPr>
                <w:p w14:paraId="614CBA08">
                  <w:pPr>
                    <w:keepNext w:val="0"/>
                    <w:keepLines w:val="0"/>
                    <w:pageBreakBefore w:val="0"/>
                    <w:suppressLineNumbers w:val="0"/>
                    <w:topLinePunct w:val="0"/>
                    <w:autoSpaceDE/>
                    <w:autoSpaceDN/>
                    <w:bidi w:val="0"/>
                    <w:adjustRightInd w:val="0"/>
                    <w:snapToGrid w:val="0"/>
                    <w:spacing w:before="0" w:beforeAutospacing="0" w:after="0" w:afterAutospacing="0" w:line="320" w:lineRule="exact"/>
                    <w:ind w:left="0" w:leftChars="0" w:right="0" w:rightChars="0" w:firstLine="0" w:firstLineChars="0"/>
                    <w:jc w:val="center"/>
                    <w:rPr>
                      <w:rFonts w:hint="default" w:cs="Times New Roman"/>
                      <w:color w:val="auto"/>
                      <w:sz w:val="21"/>
                      <w:szCs w:val="21"/>
                      <w:lang w:val="en-US" w:eastAsia="zh-CN"/>
                    </w:rPr>
                  </w:pPr>
                  <w:r>
                    <w:rPr>
                      <w:rFonts w:hint="eastAsia" w:cs="Times New Roman"/>
                      <w:color w:val="auto"/>
                      <w:sz w:val="21"/>
                      <w:szCs w:val="21"/>
                      <w:lang w:val="en-US" w:eastAsia="zh-CN"/>
                    </w:rPr>
                    <w:t>281</w:t>
                  </w:r>
                </w:p>
              </w:tc>
            </w:tr>
            <w:tr w14:paraId="25E300A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0" w:type="pct"/>
                  <w:noWrap w:val="0"/>
                  <w:vAlign w:val="center"/>
                </w:tcPr>
                <w:p w14:paraId="7E029875">
                  <w:pPr>
                    <w:keepNext w:val="0"/>
                    <w:keepLines w:val="0"/>
                    <w:pageBreakBefore w:val="0"/>
                    <w:suppressLineNumbers w:val="0"/>
                    <w:topLinePunct w:val="0"/>
                    <w:autoSpaceDE/>
                    <w:autoSpaceDN/>
                    <w:bidi w:val="0"/>
                    <w:adjustRightInd w:val="0"/>
                    <w:snapToGrid w:val="0"/>
                    <w:spacing w:before="0" w:beforeAutospacing="0" w:after="0" w:afterAutospacing="0" w:line="320" w:lineRule="exact"/>
                    <w:ind w:left="0" w:leftChars="0" w:right="0" w:rightChars="0"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王家湾</w:t>
                  </w:r>
                </w:p>
              </w:tc>
              <w:tc>
                <w:tcPr>
                  <w:tcW w:w="989" w:type="pct"/>
                  <w:noWrap w:val="0"/>
                  <w:vAlign w:val="center"/>
                </w:tcPr>
                <w:p w14:paraId="7BEBCCF3">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120°3</w:t>
                  </w:r>
                  <w:r>
                    <w:rPr>
                      <w:rFonts w:hint="eastAsia" w:cs="Times New Roman"/>
                      <w:color w:val="auto"/>
                      <w:sz w:val="21"/>
                      <w:szCs w:val="21"/>
                      <w:lang w:val="en-US" w:eastAsia="zh-CN"/>
                    </w:rPr>
                    <w:t>6</w:t>
                  </w:r>
                  <w:r>
                    <w:rPr>
                      <w:rFonts w:hint="default" w:ascii="Times New Roman" w:hAnsi="Times New Roman" w:eastAsia="宋体" w:cs="Times New Roman"/>
                      <w:color w:val="auto"/>
                      <w:sz w:val="21"/>
                      <w:szCs w:val="21"/>
                    </w:rPr>
                    <w:t>′</w:t>
                  </w:r>
                  <w:r>
                    <w:rPr>
                      <w:rFonts w:hint="eastAsia" w:cs="Times New Roman"/>
                      <w:color w:val="auto"/>
                      <w:sz w:val="21"/>
                      <w:szCs w:val="21"/>
                      <w:lang w:val="en-US" w:eastAsia="zh-CN"/>
                    </w:rPr>
                    <w:t>6.143</w:t>
                  </w:r>
                  <w:r>
                    <w:rPr>
                      <w:rFonts w:hint="default" w:ascii="Times New Roman" w:hAnsi="Times New Roman" w:eastAsia="宋体" w:cs="Times New Roman"/>
                      <w:color w:val="auto"/>
                      <w:sz w:val="21"/>
                      <w:szCs w:val="21"/>
                    </w:rPr>
                    <w:t>″</w:t>
                  </w:r>
                </w:p>
              </w:tc>
              <w:tc>
                <w:tcPr>
                  <w:tcW w:w="968" w:type="pct"/>
                  <w:noWrap w:val="0"/>
                  <w:vAlign w:val="center"/>
                </w:tcPr>
                <w:p w14:paraId="2E934CF0">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32°2</w:t>
                  </w:r>
                  <w:r>
                    <w:rPr>
                      <w:rFonts w:hint="eastAsia" w:cs="Times New Roman"/>
                      <w:color w:val="auto"/>
                      <w:sz w:val="21"/>
                      <w:szCs w:val="21"/>
                      <w:lang w:val="en-US" w:eastAsia="zh-CN"/>
                    </w:rPr>
                    <w:t>3</w:t>
                  </w:r>
                  <w:r>
                    <w:rPr>
                      <w:rFonts w:hint="default" w:ascii="Times New Roman" w:hAnsi="Times New Roman" w:eastAsia="宋体" w:cs="Times New Roman"/>
                      <w:color w:val="auto"/>
                      <w:sz w:val="21"/>
                      <w:szCs w:val="21"/>
                    </w:rPr>
                    <w:t>′</w:t>
                  </w:r>
                  <w:r>
                    <w:rPr>
                      <w:rFonts w:hint="eastAsia" w:cs="Times New Roman"/>
                      <w:color w:val="auto"/>
                      <w:sz w:val="21"/>
                      <w:szCs w:val="21"/>
                      <w:lang w:val="en-US" w:eastAsia="zh-CN"/>
                    </w:rPr>
                    <w:t>40.530</w:t>
                  </w:r>
                  <w:r>
                    <w:rPr>
                      <w:rFonts w:hint="default" w:ascii="Times New Roman" w:hAnsi="Times New Roman" w:eastAsia="宋体" w:cs="Times New Roman"/>
                      <w:color w:val="auto"/>
                      <w:sz w:val="21"/>
                      <w:szCs w:val="21"/>
                    </w:rPr>
                    <w:t>″</w:t>
                  </w:r>
                </w:p>
              </w:tc>
              <w:tc>
                <w:tcPr>
                  <w:tcW w:w="445" w:type="pct"/>
                  <w:noWrap w:val="0"/>
                  <w:vAlign w:val="center"/>
                </w:tcPr>
                <w:p w14:paraId="69D05249">
                  <w:pPr>
                    <w:keepNext w:val="0"/>
                    <w:keepLines w:val="0"/>
                    <w:pageBreakBefore w:val="0"/>
                    <w:suppressLineNumbers w:val="0"/>
                    <w:topLinePunct w:val="0"/>
                    <w:autoSpaceDE/>
                    <w:autoSpaceDN/>
                    <w:bidi w:val="0"/>
                    <w:adjustRightInd w:val="0"/>
                    <w:snapToGrid w:val="0"/>
                    <w:spacing w:before="0" w:beforeAutospacing="0" w:after="0" w:afterAutospacing="0" w:line="320" w:lineRule="exact"/>
                    <w:ind w:left="0" w:leftChars="0" w:right="0" w:rightChars="0"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居民</w:t>
                  </w:r>
                </w:p>
              </w:tc>
              <w:tc>
                <w:tcPr>
                  <w:tcW w:w="425" w:type="pct"/>
                  <w:noWrap w:val="0"/>
                  <w:vAlign w:val="center"/>
                </w:tcPr>
                <w:p w14:paraId="48C4D810">
                  <w:pPr>
                    <w:keepNext w:val="0"/>
                    <w:keepLines w:val="0"/>
                    <w:pageBreakBefore w:val="0"/>
                    <w:suppressLineNumbers w:val="0"/>
                    <w:tabs>
                      <w:tab w:val="left" w:pos="1021"/>
                    </w:tabs>
                    <w:topLinePunct w:val="0"/>
                    <w:autoSpaceDE/>
                    <w:autoSpaceDN/>
                    <w:bidi w:val="0"/>
                    <w:adjustRightInd w:val="0"/>
                    <w:snapToGrid w:val="0"/>
                    <w:spacing w:before="0" w:beforeAutospacing="0" w:after="0" w:afterAutospacing="0" w:line="320" w:lineRule="exact"/>
                    <w:ind w:left="0" w:leftChars="0" w:right="0" w:rightChars="0" w:firstLine="0" w:firstLineChars="0"/>
                    <w:jc w:val="center"/>
                    <w:rPr>
                      <w:rFonts w:hint="default" w:cs="Times New Roman"/>
                      <w:color w:val="auto"/>
                      <w:sz w:val="21"/>
                      <w:szCs w:val="21"/>
                      <w:lang w:val="en-US" w:eastAsia="zh-CN"/>
                    </w:rPr>
                  </w:pPr>
                  <w:r>
                    <w:rPr>
                      <w:rFonts w:hint="eastAsia" w:cs="Times New Roman"/>
                      <w:color w:val="auto"/>
                      <w:sz w:val="21"/>
                      <w:szCs w:val="21"/>
                      <w:lang w:val="en-US" w:eastAsia="zh-CN"/>
                    </w:rPr>
                    <w:t>12户</w:t>
                  </w:r>
                </w:p>
              </w:tc>
              <w:tc>
                <w:tcPr>
                  <w:tcW w:w="514" w:type="pct"/>
                  <w:vMerge w:val="continue"/>
                  <w:noWrap w:val="0"/>
                  <w:vAlign w:val="center"/>
                </w:tcPr>
                <w:p w14:paraId="6499125F">
                  <w:pPr>
                    <w:keepNext w:val="0"/>
                    <w:keepLines w:val="0"/>
                    <w:pageBreakBefore w:val="0"/>
                    <w:suppressLineNumbers w:val="0"/>
                    <w:topLinePunct w:val="0"/>
                    <w:autoSpaceDE/>
                    <w:autoSpaceDN/>
                    <w:bidi w:val="0"/>
                    <w:adjustRightInd w:val="0"/>
                    <w:snapToGrid w:val="0"/>
                    <w:spacing w:before="0" w:beforeAutospacing="0" w:after="0" w:afterAutospacing="0" w:line="320" w:lineRule="exact"/>
                    <w:ind w:left="0" w:leftChars="0" w:right="0" w:rightChars="0" w:firstLine="0" w:firstLineChars="0"/>
                    <w:jc w:val="center"/>
                    <w:rPr>
                      <w:rFonts w:hint="eastAsia" w:cs="Times New Roman"/>
                      <w:color w:val="auto"/>
                      <w:sz w:val="21"/>
                      <w:szCs w:val="21"/>
                      <w:lang w:eastAsia="zh-CN"/>
                    </w:rPr>
                  </w:pPr>
                </w:p>
              </w:tc>
              <w:tc>
                <w:tcPr>
                  <w:tcW w:w="439" w:type="pct"/>
                  <w:noWrap w:val="0"/>
                  <w:vAlign w:val="center"/>
                </w:tcPr>
                <w:p w14:paraId="29D15D67">
                  <w:pPr>
                    <w:keepNext w:val="0"/>
                    <w:keepLines w:val="0"/>
                    <w:pageBreakBefore w:val="0"/>
                    <w:suppressLineNumbers w:val="0"/>
                    <w:topLinePunct w:val="0"/>
                    <w:autoSpaceDE/>
                    <w:autoSpaceDN/>
                    <w:bidi w:val="0"/>
                    <w:adjustRightInd w:val="0"/>
                    <w:snapToGrid w:val="0"/>
                    <w:spacing w:before="0" w:beforeAutospacing="0" w:after="0" w:afterAutospacing="0" w:line="320" w:lineRule="exact"/>
                    <w:ind w:left="0" w:leftChars="0" w:right="0" w:rightChars="0" w:firstLine="0" w:firstLineChars="0"/>
                    <w:jc w:val="center"/>
                    <w:rPr>
                      <w:rFonts w:hint="default" w:cs="Times New Roman"/>
                      <w:color w:val="auto"/>
                      <w:sz w:val="21"/>
                      <w:szCs w:val="21"/>
                      <w:lang w:val="en-US" w:eastAsia="zh-CN"/>
                    </w:rPr>
                  </w:pPr>
                  <w:r>
                    <w:rPr>
                      <w:rFonts w:hint="eastAsia" w:cs="Times New Roman"/>
                      <w:color w:val="auto"/>
                      <w:sz w:val="21"/>
                      <w:szCs w:val="21"/>
                      <w:lang w:val="en-US" w:eastAsia="zh-CN"/>
                    </w:rPr>
                    <w:t>S</w:t>
                  </w:r>
                </w:p>
              </w:tc>
              <w:tc>
                <w:tcPr>
                  <w:tcW w:w="578" w:type="pct"/>
                  <w:noWrap w:val="0"/>
                  <w:vAlign w:val="center"/>
                </w:tcPr>
                <w:p w14:paraId="2EF06452">
                  <w:pPr>
                    <w:keepNext w:val="0"/>
                    <w:keepLines w:val="0"/>
                    <w:pageBreakBefore w:val="0"/>
                    <w:suppressLineNumbers w:val="0"/>
                    <w:topLinePunct w:val="0"/>
                    <w:autoSpaceDE/>
                    <w:autoSpaceDN/>
                    <w:bidi w:val="0"/>
                    <w:adjustRightInd w:val="0"/>
                    <w:snapToGrid w:val="0"/>
                    <w:spacing w:before="0" w:beforeAutospacing="0" w:after="0" w:afterAutospacing="0" w:line="320" w:lineRule="exact"/>
                    <w:ind w:left="0" w:leftChars="0" w:right="0" w:rightChars="0" w:firstLine="0" w:firstLineChars="0"/>
                    <w:jc w:val="center"/>
                    <w:rPr>
                      <w:rFonts w:hint="default" w:cs="Times New Roman"/>
                      <w:color w:val="auto"/>
                      <w:sz w:val="21"/>
                      <w:szCs w:val="21"/>
                      <w:lang w:val="en-US" w:eastAsia="zh-CN"/>
                    </w:rPr>
                  </w:pPr>
                  <w:r>
                    <w:rPr>
                      <w:rFonts w:hint="eastAsia" w:cs="Times New Roman"/>
                      <w:color w:val="auto"/>
                      <w:sz w:val="21"/>
                      <w:szCs w:val="21"/>
                      <w:lang w:val="en-US" w:eastAsia="zh-CN"/>
                    </w:rPr>
                    <w:t>415</w:t>
                  </w:r>
                </w:p>
              </w:tc>
            </w:tr>
            <w:tr w14:paraId="51BFAA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0" w:type="pct"/>
                  <w:noWrap w:val="0"/>
                  <w:vAlign w:val="center"/>
                </w:tcPr>
                <w:p w14:paraId="3BBEC153">
                  <w:pPr>
                    <w:keepNext w:val="0"/>
                    <w:keepLines w:val="0"/>
                    <w:pageBreakBefore w:val="0"/>
                    <w:suppressLineNumbers w:val="0"/>
                    <w:topLinePunct w:val="0"/>
                    <w:autoSpaceDE/>
                    <w:autoSpaceDN/>
                    <w:bidi w:val="0"/>
                    <w:adjustRightInd w:val="0"/>
                    <w:snapToGrid w:val="0"/>
                    <w:spacing w:before="0" w:beforeAutospacing="0" w:after="0" w:afterAutospacing="0" w:line="320" w:lineRule="exact"/>
                    <w:ind w:left="0" w:leftChars="0" w:right="0" w:rightChars="0"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文殊庵</w:t>
                  </w:r>
                </w:p>
              </w:tc>
              <w:tc>
                <w:tcPr>
                  <w:tcW w:w="989" w:type="pct"/>
                  <w:noWrap w:val="0"/>
                  <w:vAlign w:val="center"/>
                </w:tcPr>
                <w:p w14:paraId="32DFB2F3">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120°3</w:t>
                  </w:r>
                  <w:r>
                    <w:rPr>
                      <w:rFonts w:hint="eastAsia" w:cs="Times New Roman"/>
                      <w:color w:val="auto"/>
                      <w:sz w:val="21"/>
                      <w:szCs w:val="21"/>
                      <w:lang w:val="en-US" w:eastAsia="zh-CN"/>
                    </w:rPr>
                    <w:t>6</w:t>
                  </w:r>
                  <w:r>
                    <w:rPr>
                      <w:rFonts w:hint="default" w:ascii="Times New Roman" w:hAnsi="Times New Roman" w:eastAsia="宋体" w:cs="Times New Roman"/>
                      <w:color w:val="auto"/>
                      <w:sz w:val="21"/>
                      <w:szCs w:val="21"/>
                    </w:rPr>
                    <w:t>′</w:t>
                  </w:r>
                  <w:r>
                    <w:rPr>
                      <w:rFonts w:hint="eastAsia" w:cs="Times New Roman"/>
                      <w:color w:val="auto"/>
                      <w:sz w:val="21"/>
                      <w:szCs w:val="21"/>
                      <w:lang w:val="en-US" w:eastAsia="zh-CN"/>
                    </w:rPr>
                    <w:t>14.538</w:t>
                  </w:r>
                  <w:r>
                    <w:rPr>
                      <w:rFonts w:hint="default" w:ascii="Times New Roman" w:hAnsi="Times New Roman" w:eastAsia="宋体" w:cs="Times New Roman"/>
                      <w:color w:val="auto"/>
                      <w:sz w:val="21"/>
                      <w:szCs w:val="21"/>
                    </w:rPr>
                    <w:t>″</w:t>
                  </w:r>
                </w:p>
              </w:tc>
              <w:tc>
                <w:tcPr>
                  <w:tcW w:w="968" w:type="pct"/>
                  <w:noWrap w:val="0"/>
                  <w:vAlign w:val="center"/>
                </w:tcPr>
                <w:p w14:paraId="001D10C4">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32°2</w:t>
                  </w:r>
                  <w:r>
                    <w:rPr>
                      <w:rFonts w:hint="eastAsia" w:cs="Times New Roman"/>
                      <w:color w:val="auto"/>
                      <w:sz w:val="21"/>
                      <w:szCs w:val="21"/>
                      <w:lang w:val="en-US" w:eastAsia="zh-CN"/>
                    </w:rPr>
                    <w:t>4</w:t>
                  </w:r>
                  <w:r>
                    <w:rPr>
                      <w:rFonts w:hint="default" w:ascii="Times New Roman" w:hAnsi="Times New Roman" w:eastAsia="宋体" w:cs="Times New Roman"/>
                      <w:color w:val="auto"/>
                      <w:sz w:val="21"/>
                      <w:szCs w:val="21"/>
                    </w:rPr>
                    <w:t>′</w:t>
                  </w:r>
                  <w:r>
                    <w:rPr>
                      <w:rFonts w:hint="eastAsia" w:cs="Times New Roman"/>
                      <w:color w:val="auto"/>
                      <w:sz w:val="21"/>
                      <w:szCs w:val="21"/>
                      <w:lang w:val="en-US" w:eastAsia="zh-CN"/>
                    </w:rPr>
                    <w:t>16.557</w:t>
                  </w:r>
                  <w:r>
                    <w:rPr>
                      <w:rFonts w:hint="default" w:ascii="Times New Roman" w:hAnsi="Times New Roman" w:eastAsia="宋体" w:cs="Times New Roman"/>
                      <w:color w:val="auto"/>
                      <w:sz w:val="21"/>
                      <w:szCs w:val="21"/>
                    </w:rPr>
                    <w:t>″</w:t>
                  </w:r>
                </w:p>
              </w:tc>
              <w:tc>
                <w:tcPr>
                  <w:tcW w:w="870" w:type="pct"/>
                  <w:gridSpan w:val="2"/>
                  <w:noWrap w:val="0"/>
                  <w:vAlign w:val="center"/>
                </w:tcPr>
                <w:p w14:paraId="28115D70">
                  <w:pPr>
                    <w:keepNext w:val="0"/>
                    <w:keepLines w:val="0"/>
                    <w:pageBreakBefore w:val="0"/>
                    <w:suppressLineNumbers w:val="0"/>
                    <w:tabs>
                      <w:tab w:val="left" w:pos="1021"/>
                    </w:tabs>
                    <w:topLinePunct w:val="0"/>
                    <w:autoSpaceDE/>
                    <w:autoSpaceDN/>
                    <w:bidi w:val="0"/>
                    <w:adjustRightInd w:val="0"/>
                    <w:snapToGrid w:val="0"/>
                    <w:spacing w:before="0" w:beforeAutospacing="0" w:after="0" w:afterAutospacing="0" w:line="320" w:lineRule="exact"/>
                    <w:ind w:left="0" w:leftChars="0" w:right="0" w:rightChars="0"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宗教场所</w:t>
                  </w:r>
                </w:p>
              </w:tc>
              <w:tc>
                <w:tcPr>
                  <w:tcW w:w="514" w:type="pct"/>
                  <w:vMerge w:val="continue"/>
                  <w:noWrap w:val="0"/>
                  <w:vAlign w:val="center"/>
                </w:tcPr>
                <w:p w14:paraId="437AEDED">
                  <w:pPr>
                    <w:keepNext w:val="0"/>
                    <w:keepLines w:val="0"/>
                    <w:pageBreakBefore w:val="0"/>
                    <w:suppressLineNumbers w:val="0"/>
                    <w:topLinePunct w:val="0"/>
                    <w:autoSpaceDE/>
                    <w:autoSpaceDN/>
                    <w:bidi w:val="0"/>
                    <w:adjustRightInd w:val="0"/>
                    <w:snapToGrid w:val="0"/>
                    <w:spacing w:before="0" w:beforeAutospacing="0" w:after="0" w:afterAutospacing="0" w:line="320" w:lineRule="exact"/>
                    <w:ind w:left="0" w:leftChars="0" w:right="0" w:rightChars="0" w:firstLine="0" w:firstLineChars="0"/>
                    <w:jc w:val="center"/>
                    <w:rPr>
                      <w:rFonts w:hint="eastAsia" w:cs="Times New Roman"/>
                      <w:color w:val="auto"/>
                      <w:sz w:val="21"/>
                      <w:szCs w:val="21"/>
                      <w:lang w:eastAsia="zh-CN"/>
                    </w:rPr>
                  </w:pPr>
                </w:p>
              </w:tc>
              <w:tc>
                <w:tcPr>
                  <w:tcW w:w="439" w:type="pct"/>
                  <w:noWrap w:val="0"/>
                  <w:vAlign w:val="center"/>
                </w:tcPr>
                <w:p w14:paraId="09588FFA">
                  <w:pPr>
                    <w:keepNext w:val="0"/>
                    <w:keepLines w:val="0"/>
                    <w:pageBreakBefore w:val="0"/>
                    <w:suppressLineNumbers w:val="0"/>
                    <w:topLinePunct w:val="0"/>
                    <w:autoSpaceDE/>
                    <w:autoSpaceDN/>
                    <w:bidi w:val="0"/>
                    <w:adjustRightInd w:val="0"/>
                    <w:snapToGrid w:val="0"/>
                    <w:spacing w:before="0" w:beforeAutospacing="0" w:after="0" w:afterAutospacing="0" w:line="320" w:lineRule="exact"/>
                    <w:ind w:left="0" w:leftChars="0" w:right="0" w:rightChars="0" w:firstLine="0" w:firstLineChars="0"/>
                    <w:jc w:val="center"/>
                    <w:rPr>
                      <w:rFonts w:hint="default" w:cs="Times New Roman"/>
                      <w:color w:val="auto"/>
                      <w:sz w:val="21"/>
                      <w:szCs w:val="21"/>
                      <w:lang w:val="en-US" w:eastAsia="zh-CN"/>
                    </w:rPr>
                  </w:pPr>
                  <w:r>
                    <w:rPr>
                      <w:rFonts w:hint="eastAsia" w:cs="Times New Roman"/>
                      <w:color w:val="auto"/>
                      <w:sz w:val="21"/>
                      <w:szCs w:val="21"/>
                      <w:lang w:val="en-US" w:eastAsia="zh-CN"/>
                    </w:rPr>
                    <w:t>NE</w:t>
                  </w:r>
                </w:p>
              </w:tc>
              <w:tc>
                <w:tcPr>
                  <w:tcW w:w="578" w:type="pct"/>
                  <w:noWrap w:val="0"/>
                  <w:vAlign w:val="center"/>
                </w:tcPr>
                <w:p w14:paraId="2D834D41">
                  <w:pPr>
                    <w:keepNext w:val="0"/>
                    <w:keepLines w:val="0"/>
                    <w:pageBreakBefore w:val="0"/>
                    <w:suppressLineNumbers w:val="0"/>
                    <w:topLinePunct w:val="0"/>
                    <w:autoSpaceDE/>
                    <w:autoSpaceDN/>
                    <w:bidi w:val="0"/>
                    <w:adjustRightInd w:val="0"/>
                    <w:snapToGrid w:val="0"/>
                    <w:spacing w:before="0" w:beforeAutospacing="0" w:after="0" w:afterAutospacing="0" w:line="320" w:lineRule="exact"/>
                    <w:ind w:left="0" w:leftChars="0" w:right="0" w:rightChars="0" w:firstLine="0" w:firstLineChars="0"/>
                    <w:jc w:val="center"/>
                    <w:rPr>
                      <w:rFonts w:hint="default" w:cs="Times New Roman"/>
                      <w:color w:val="auto"/>
                      <w:sz w:val="21"/>
                      <w:szCs w:val="21"/>
                      <w:lang w:val="en-US" w:eastAsia="zh-CN"/>
                    </w:rPr>
                  </w:pPr>
                  <w:r>
                    <w:rPr>
                      <w:rFonts w:hint="eastAsia" w:cs="Times New Roman"/>
                      <w:color w:val="auto"/>
                      <w:sz w:val="21"/>
                      <w:szCs w:val="21"/>
                      <w:lang w:val="en-US" w:eastAsia="zh-CN"/>
                    </w:rPr>
                    <w:t>418</w:t>
                  </w:r>
                </w:p>
              </w:tc>
            </w:tr>
          </w:tbl>
          <w:p w14:paraId="18EB5BB8">
            <w:pPr>
              <w:keepNext w:val="0"/>
              <w:keepLines w:val="0"/>
              <w:pageBreakBefore w:val="0"/>
              <w:numPr>
                <w:ilvl w:val="0"/>
                <w:numId w:val="0"/>
              </w:numPr>
              <w:topLinePunct w:val="0"/>
              <w:autoSpaceDE/>
              <w:autoSpaceDN/>
              <w:bidi w:val="0"/>
              <w:adjustRightInd w:val="0"/>
              <w:snapToGrid w:val="0"/>
              <w:spacing w:line="320" w:lineRule="exact"/>
              <w:jc w:val="left"/>
              <w:rPr>
                <w:rFonts w:hint="default" w:ascii="Times New Roman" w:hAnsi="Times New Roman" w:cs="Times New Roman"/>
                <w:color w:val="auto"/>
                <w:kern w:val="0"/>
                <w:sz w:val="21"/>
                <w:szCs w:val="21"/>
                <w:lang w:val="en-US" w:eastAsia="zh-CN"/>
              </w:rPr>
            </w:pPr>
          </w:p>
          <w:p w14:paraId="37A9CD68">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b/>
                <w:bCs/>
                <w:color w:val="auto"/>
                <w:kern w:val="0"/>
                <w:sz w:val="21"/>
                <w:szCs w:val="21"/>
                <w:lang w:val="en-US" w:eastAsia="zh-CN"/>
              </w:rPr>
            </w:pPr>
            <w:r>
              <w:rPr>
                <w:rFonts w:hint="default" w:ascii="Times New Roman" w:hAnsi="Times New Roman" w:cs="Times New Roman"/>
                <w:b/>
                <w:bCs/>
                <w:color w:val="auto"/>
                <w:kern w:val="0"/>
                <w:sz w:val="21"/>
                <w:szCs w:val="21"/>
                <w:lang w:val="en-US" w:eastAsia="zh-CN"/>
              </w:rPr>
              <w:t>声环境</w:t>
            </w:r>
          </w:p>
          <w:p w14:paraId="6E3943C8">
            <w:pPr>
              <w:bidi w:val="0"/>
              <w:ind w:firstLine="420" w:firstLineChars="200"/>
              <w:rPr>
                <w:rFonts w:hint="default"/>
                <w:color w:val="auto"/>
                <w:lang w:val="en-US" w:eastAsia="zh-CN"/>
              </w:rPr>
            </w:pPr>
            <w:r>
              <w:rPr>
                <w:rFonts w:hint="eastAsia"/>
                <w:color w:val="auto"/>
                <w:lang w:val="en-US" w:eastAsia="zh-CN"/>
              </w:rPr>
              <w:t>厂界外50米范围内无声环境保护目标。</w:t>
            </w:r>
          </w:p>
          <w:p w14:paraId="5697C196">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b/>
                <w:bCs/>
                <w:color w:val="auto"/>
                <w:kern w:val="0"/>
                <w:sz w:val="21"/>
                <w:szCs w:val="21"/>
                <w:lang w:val="en-US" w:eastAsia="zh-CN"/>
              </w:rPr>
            </w:pPr>
            <w:r>
              <w:rPr>
                <w:rFonts w:hint="default" w:ascii="Times New Roman" w:hAnsi="Times New Roman" w:cs="Times New Roman"/>
                <w:b/>
                <w:bCs/>
                <w:color w:val="auto"/>
                <w:kern w:val="0"/>
                <w:sz w:val="21"/>
                <w:szCs w:val="21"/>
                <w:lang w:val="en-US" w:eastAsia="zh-CN"/>
              </w:rPr>
              <w:t>地下水环境</w:t>
            </w:r>
          </w:p>
          <w:p w14:paraId="6D1E877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20" w:firstLineChars="200"/>
              <w:jc w:val="left"/>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厂界外500米范围内无地下水集中式饮用水水源和热水、矿泉水、温泉等特殊地下水资源。</w:t>
            </w:r>
          </w:p>
          <w:p w14:paraId="0080F893">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b/>
                <w:bCs/>
                <w:color w:val="auto"/>
                <w:kern w:val="0"/>
                <w:sz w:val="21"/>
                <w:szCs w:val="21"/>
                <w:lang w:val="en-US" w:eastAsia="zh-CN"/>
              </w:rPr>
            </w:pPr>
            <w:r>
              <w:rPr>
                <w:rFonts w:hint="default" w:ascii="Times New Roman" w:hAnsi="Times New Roman" w:cs="Times New Roman"/>
                <w:b/>
                <w:bCs/>
                <w:color w:val="auto"/>
                <w:kern w:val="0"/>
                <w:sz w:val="21"/>
                <w:szCs w:val="21"/>
                <w:lang w:val="en-US" w:eastAsia="zh-CN"/>
              </w:rPr>
              <w:t>生态环境</w:t>
            </w:r>
          </w:p>
          <w:p w14:paraId="15CDA8A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20" w:firstLineChars="200"/>
              <w:jc w:val="left"/>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本项目用地范围内无生态环境保护目标。</w:t>
            </w:r>
          </w:p>
        </w:tc>
      </w:tr>
      <w:tr w14:paraId="49879C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noWrap w:val="0"/>
            <w:tcMar>
              <w:left w:w="28" w:type="dxa"/>
              <w:right w:w="28" w:type="dxa"/>
            </w:tcMar>
            <w:vAlign w:val="center"/>
          </w:tcPr>
          <w:p w14:paraId="1475AE40">
            <w:pPr>
              <w:keepNext w:val="0"/>
              <w:keepLines w:val="0"/>
              <w:pageBreakBefore w:val="0"/>
              <w:topLinePunct w:val="0"/>
              <w:autoSpaceDE/>
              <w:autoSpaceDN/>
              <w:bidi w:val="0"/>
              <w:adjustRightInd w:val="0"/>
              <w:snapToGrid w:val="0"/>
              <w:spacing w:line="320" w:lineRule="exact"/>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污染</w:t>
            </w:r>
          </w:p>
          <w:p w14:paraId="795ECB67">
            <w:pPr>
              <w:keepNext w:val="0"/>
              <w:keepLines w:val="0"/>
              <w:pageBreakBefore w:val="0"/>
              <w:topLinePunct w:val="0"/>
              <w:autoSpaceDE/>
              <w:autoSpaceDN/>
              <w:bidi w:val="0"/>
              <w:adjustRightInd w:val="0"/>
              <w:snapToGrid w:val="0"/>
              <w:spacing w:line="320" w:lineRule="exact"/>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物排</w:t>
            </w:r>
          </w:p>
          <w:p w14:paraId="0171BE79">
            <w:pPr>
              <w:keepNext w:val="0"/>
              <w:keepLines w:val="0"/>
              <w:pageBreakBefore w:val="0"/>
              <w:topLinePunct w:val="0"/>
              <w:autoSpaceDE/>
              <w:autoSpaceDN/>
              <w:bidi w:val="0"/>
              <w:adjustRightInd w:val="0"/>
              <w:snapToGrid w:val="0"/>
              <w:spacing w:line="320" w:lineRule="exact"/>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放控</w:t>
            </w:r>
          </w:p>
          <w:p w14:paraId="6BCEDCBC">
            <w:pPr>
              <w:keepNext w:val="0"/>
              <w:keepLines w:val="0"/>
              <w:pageBreakBefore w:val="0"/>
              <w:topLinePunct w:val="0"/>
              <w:autoSpaceDE/>
              <w:autoSpaceDN/>
              <w:bidi w:val="0"/>
              <w:adjustRightInd w:val="0"/>
              <w:snapToGrid w:val="0"/>
              <w:spacing w:line="320" w:lineRule="exact"/>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制标</w:t>
            </w:r>
          </w:p>
          <w:p w14:paraId="4D54A8FB">
            <w:pPr>
              <w:keepNext w:val="0"/>
              <w:keepLines w:val="0"/>
              <w:pageBreakBefore w:val="0"/>
              <w:topLinePunct w:val="0"/>
              <w:autoSpaceDE/>
              <w:autoSpaceDN/>
              <w:bidi w:val="0"/>
              <w:adjustRightInd w:val="0"/>
              <w:snapToGrid w:val="0"/>
              <w:spacing w:line="320" w:lineRule="exact"/>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准</w:t>
            </w:r>
          </w:p>
        </w:tc>
        <w:tc>
          <w:tcPr>
            <w:tcW w:w="8216" w:type="dxa"/>
            <w:noWrap w:val="0"/>
            <w:vAlign w:val="center"/>
          </w:tcPr>
          <w:p w14:paraId="303C7C07">
            <w:pPr>
              <w:keepNext w:val="0"/>
              <w:keepLines w:val="0"/>
              <w:pageBreakBefore w:val="0"/>
              <w:widowControl w:val="0"/>
              <w:suppressLineNumbers w:val="0"/>
              <w:topLinePunct w:val="0"/>
              <w:autoSpaceDE/>
              <w:autoSpaceDN/>
              <w:bidi w:val="0"/>
              <w:adjustRightInd/>
              <w:snapToGrid/>
              <w:spacing w:before="0" w:beforeAutospacing="0" w:after="0" w:afterAutospacing="0" w:line="360" w:lineRule="auto"/>
              <w:ind w:left="0" w:right="0" w:firstLine="482"/>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1、大气污染物排放标准</w:t>
            </w:r>
          </w:p>
          <w:p w14:paraId="6B9960F3">
            <w:pPr>
              <w:keepNext w:val="0"/>
              <w:keepLines w:val="0"/>
              <w:pageBreakBefore w:val="0"/>
              <w:widowControl w:val="0"/>
              <w:suppressLineNumbers w:val="0"/>
              <w:kinsoku w:val="0"/>
              <w:wordWrap w:val="0"/>
              <w:overflowPunct w:val="0"/>
              <w:topLinePunct w:val="0"/>
              <w:autoSpaceDE/>
              <w:autoSpaceDN/>
              <w:bidi w:val="0"/>
              <w:adjustRightInd/>
              <w:snapToGrid/>
              <w:spacing w:before="0" w:beforeAutospacing="0" w:after="0" w:afterAutospacing="0" w:line="360" w:lineRule="auto"/>
              <w:ind w:right="0" w:firstLine="420" w:firstLineChars="200"/>
              <w:jc w:val="left"/>
              <w:textAlignment w:val="auto"/>
              <w:rPr>
                <w:rFonts w:hint="default" w:ascii="Times New Roman" w:hAnsi="Times New Roman" w:eastAsia="宋体" w:cs="Times New Roman"/>
                <w:color w:val="auto"/>
                <w:sz w:val="21"/>
                <w:szCs w:val="21"/>
                <w:lang w:val="en-US" w:eastAsia="zh-CN"/>
              </w:rPr>
            </w:pPr>
            <w:bookmarkStart w:id="2" w:name="_Ref379546700"/>
            <w:bookmarkStart w:id="3" w:name="_Ref396828303"/>
            <w:r>
              <w:rPr>
                <w:rFonts w:hint="eastAsia" w:cs="Times New Roman"/>
                <w:color w:val="auto"/>
                <w:sz w:val="21"/>
                <w:szCs w:val="21"/>
                <w:lang w:val="en-US" w:eastAsia="zh-CN"/>
              </w:rPr>
              <w:t>本项目新增备用的生物质热解气锅炉燃烧废气排放执行江苏省地方标准《锅炉大气污染物排放标准》（DB32/4385-2022）中的燃气锅炉标准，</w:t>
            </w:r>
            <w:r>
              <w:rPr>
                <w:rFonts w:hint="default" w:ascii="Times New Roman" w:hAnsi="Times New Roman" w:cs="Times New Roman"/>
                <w:color w:val="auto"/>
                <w:sz w:val="21"/>
                <w:szCs w:val="21"/>
                <w:lang w:val="en-US" w:eastAsia="zh-CN"/>
              </w:rPr>
              <w:t>见表3-</w:t>
            </w:r>
            <w:r>
              <w:rPr>
                <w:rFonts w:hint="eastAsia" w:cs="Times New Roman"/>
                <w:color w:val="auto"/>
                <w:sz w:val="21"/>
                <w:szCs w:val="21"/>
                <w:lang w:val="en-US" w:eastAsia="zh-CN"/>
              </w:rPr>
              <w:t>3</w:t>
            </w:r>
            <w:r>
              <w:rPr>
                <w:rFonts w:hint="default" w:ascii="Times New Roman" w:hAnsi="Times New Roman" w:cs="Times New Roman"/>
                <w:color w:val="auto"/>
                <w:sz w:val="21"/>
                <w:szCs w:val="21"/>
                <w:lang w:val="en-US" w:eastAsia="zh-CN"/>
              </w:rPr>
              <w:t>。</w:t>
            </w:r>
            <w:r>
              <w:rPr>
                <w:rFonts w:hint="eastAsia" w:cs="Times New Roman"/>
                <w:color w:val="auto"/>
                <w:sz w:val="21"/>
                <w:szCs w:val="21"/>
                <w:lang w:val="en-US" w:eastAsia="zh-CN"/>
              </w:rPr>
              <w:t>无组织臭气浓度排放标准见表3-4。</w:t>
            </w:r>
          </w:p>
          <w:p w14:paraId="4C61E6A8">
            <w:pPr>
              <w:pStyle w:val="53"/>
              <w:keepNext w:val="0"/>
              <w:keepLines w:val="0"/>
              <w:pageBreakBefore w:val="0"/>
              <w:suppressLineNumbers w:val="0"/>
              <w:topLinePunct w:val="0"/>
              <w:autoSpaceDE/>
              <w:autoSpaceDN/>
              <w:bidi w:val="0"/>
              <w:spacing w:before="0" w:beforeAutospacing="0" w:after="0" w:afterAutospacing="0" w:line="320" w:lineRule="exact"/>
              <w:ind w:left="0" w:right="0" w:firstLine="482"/>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表</w:t>
            </w:r>
            <w:bookmarkEnd w:id="2"/>
            <w:bookmarkEnd w:id="3"/>
            <w:r>
              <w:rPr>
                <w:rFonts w:hint="default" w:ascii="Times New Roman" w:hAnsi="Times New Roman" w:cs="Times New Roman"/>
                <w:color w:val="auto"/>
                <w:sz w:val="21"/>
                <w:szCs w:val="21"/>
                <w:lang w:val="en-US" w:eastAsia="zh-CN"/>
              </w:rPr>
              <w:t>3-</w:t>
            </w:r>
            <w:r>
              <w:rPr>
                <w:rFonts w:hint="eastAsia" w:cs="Times New Roman"/>
                <w:color w:val="auto"/>
                <w:sz w:val="21"/>
                <w:szCs w:val="21"/>
                <w:lang w:val="en-US" w:eastAsia="zh-CN"/>
              </w:rPr>
              <w:t xml:space="preserve">3  </w:t>
            </w:r>
            <w:r>
              <w:rPr>
                <w:rFonts w:hint="default" w:ascii="Times New Roman" w:hAnsi="Times New Roman" w:cs="Times New Roman"/>
                <w:color w:val="auto"/>
                <w:sz w:val="21"/>
                <w:szCs w:val="21"/>
              </w:rPr>
              <w:t>大气污染物</w:t>
            </w:r>
            <w:r>
              <w:rPr>
                <w:rFonts w:hint="eastAsia" w:cs="Times New Roman"/>
                <w:color w:val="auto"/>
                <w:sz w:val="21"/>
                <w:szCs w:val="21"/>
                <w:lang w:eastAsia="zh-CN"/>
              </w:rPr>
              <w:t>有组织</w:t>
            </w:r>
            <w:r>
              <w:rPr>
                <w:rFonts w:hint="default" w:ascii="Times New Roman" w:hAnsi="Times New Roman" w:cs="Times New Roman"/>
                <w:color w:val="auto"/>
                <w:sz w:val="21"/>
                <w:szCs w:val="21"/>
              </w:rPr>
              <w:t>排放标准限值</w:t>
            </w:r>
          </w:p>
          <w:tbl>
            <w:tblPr>
              <w:tblStyle w:val="23"/>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568"/>
              <w:gridCol w:w="869"/>
              <w:gridCol w:w="1504"/>
              <w:gridCol w:w="46"/>
              <w:gridCol w:w="1550"/>
              <w:gridCol w:w="2460"/>
            </w:tblGrid>
            <w:tr w14:paraId="237E08F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80" w:type="pct"/>
                  <w:vMerge w:val="restart"/>
                  <w:noWrap w:val="0"/>
                  <w:vAlign w:val="center"/>
                </w:tcPr>
                <w:p w14:paraId="22D89F5E">
                  <w:pPr>
                    <w:adjustRightInd w:val="0"/>
                    <w:snapToGrid w:val="0"/>
                    <w:spacing w:line="240" w:lineRule="auto"/>
                    <w:ind w:firstLine="0" w:firstLineChars="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污染物</w:t>
                  </w:r>
                </w:p>
              </w:tc>
              <w:tc>
                <w:tcPr>
                  <w:tcW w:w="543" w:type="pct"/>
                  <w:vMerge w:val="restart"/>
                  <w:noWrap w:val="0"/>
                  <w:vAlign w:val="center"/>
                </w:tcPr>
                <w:p w14:paraId="4632A069">
                  <w:pPr>
                    <w:adjustRightInd w:val="0"/>
                    <w:snapToGrid w:val="0"/>
                    <w:spacing w:line="240" w:lineRule="auto"/>
                    <w:ind w:firstLine="0" w:firstLineChars="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排气筒高度（m）</w:t>
                  </w:r>
                </w:p>
              </w:tc>
              <w:tc>
                <w:tcPr>
                  <w:tcW w:w="1938" w:type="pct"/>
                  <w:gridSpan w:val="3"/>
                  <w:noWrap w:val="0"/>
                  <w:vAlign w:val="center"/>
                </w:tcPr>
                <w:p w14:paraId="579C50D0">
                  <w:pPr>
                    <w:adjustRightInd w:val="0"/>
                    <w:snapToGrid w:val="0"/>
                    <w:spacing w:line="240" w:lineRule="auto"/>
                    <w:ind w:firstLine="0" w:firstLineChars="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标准限值</w:t>
                  </w:r>
                </w:p>
              </w:tc>
              <w:tc>
                <w:tcPr>
                  <w:tcW w:w="1537" w:type="pct"/>
                  <w:vMerge w:val="restart"/>
                  <w:noWrap w:val="0"/>
                  <w:vAlign w:val="center"/>
                </w:tcPr>
                <w:p w14:paraId="09B88405">
                  <w:pPr>
                    <w:adjustRightInd w:val="0"/>
                    <w:snapToGrid w:val="0"/>
                    <w:spacing w:line="240" w:lineRule="auto"/>
                    <w:ind w:firstLine="0" w:firstLineChars="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执行标准</w:t>
                  </w:r>
                </w:p>
              </w:tc>
            </w:tr>
            <w:tr w14:paraId="0A2D4AF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80" w:type="pct"/>
                  <w:vMerge w:val="continue"/>
                  <w:noWrap w:val="0"/>
                  <w:vAlign w:val="center"/>
                </w:tcPr>
                <w:p w14:paraId="506B7441">
                  <w:pPr>
                    <w:adjustRightInd w:val="0"/>
                    <w:snapToGrid w:val="0"/>
                    <w:spacing w:line="240" w:lineRule="auto"/>
                    <w:ind w:firstLine="0" w:firstLineChars="0"/>
                    <w:jc w:val="center"/>
                    <w:rPr>
                      <w:rFonts w:hint="default" w:ascii="Times New Roman" w:hAnsi="Times New Roman" w:eastAsia="宋体" w:cs="Times New Roman"/>
                      <w:b/>
                      <w:color w:val="auto"/>
                      <w:sz w:val="21"/>
                      <w:szCs w:val="21"/>
                    </w:rPr>
                  </w:pPr>
                </w:p>
              </w:tc>
              <w:tc>
                <w:tcPr>
                  <w:tcW w:w="543" w:type="pct"/>
                  <w:vMerge w:val="continue"/>
                  <w:noWrap w:val="0"/>
                  <w:vAlign w:val="center"/>
                </w:tcPr>
                <w:p w14:paraId="5A7A4011">
                  <w:pPr>
                    <w:adjustRightInd w:val="0"/>
                    <w:snapToGrid w:val="0"/>
                    <w:spacing w:line="240" w:lineRule="auto"/>
                    <w:ind w:firstLine="0" w:firstLineChars="0"/>
                    <w:jc w:val="center"/>
                    <w:rPr>
                      <w:rFonts w:hint="default" w:ascii="Times New Roman" w:hAnsi="Times New Roman" w:eastAsia="宋体" w:cs="Times New Roman"/>
                      <w:b/>
                      <w:color w:val="auto"/>
                      <w:sz w:val="21"/>
                      <w:szCs w:val="21"/>
                    </w:rPr>
                  </w:pPr>
                </w:p>
              </w:tc>
              <w:tc>
                <w:tcPr>
                  <w:tcW w:w="940" w:type="pct"/>
                  <w:noWrap w:val="0"/>
                  <w:vAlign w:val="center"/>
                </w:tcPr>
                <w:p w14:paraId="527895F6">
                  <w:pPr>
                    <w:adjustRightInd w:val="0"/>
                    <w:snapToGrid w:val="0"/>
                    <w:spacing w:line="240" w:lineRule="auto"/>
                    <w:ind w:firstLine="0" w:firstLineChars="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最高允许排放浓度</w:t>
                  </w:r>
                  <w:r>
                    <w:rPr>
                      <w:rFonts w:hint="eastAsia" w:cs="Times New Roman"/>
                      <w:b/>
                      <w:color w:val="auto"/>
                      <w:sz w:val="21"/>
                      <w:szCs w:val="21"/>
                      <w:lang w:eastAsia="zh-CN"/>
                    </w:rPr>
                    <w:t>（</w:t>
                  </w:r>
                  <w:r>
                    <w:rPr>
                      <w:rFonts w:hint="default" w:ascii="Times New Roman" w:hAnsi="Times New Roman" w:eastAsia="宋体" w:cs="Times New Roman"/>
                      <w:b/>
                      <w:color w:val="auto"/>
                      <w:sz w:val="21"/>
                      <w:szCs w:val="21"/>
                    </w:rPr>
                    <w:t>mg/m</w:t>
                  </w:r>
                  <w:r>
                    <w:rPr>
                      <w:rFonts w:hint="default" w:ascii="Times New Roman" w:hAnsi="Times New Roman" w:eastAsia="宋体" w:cs="Times New Roman"/>
                      <w:b/>
                      <w:color w:val="auto"/>
                      <w:sz w:val="21"/>
                      <w:szCs w:val="21"/>
                      <w:vertAlign w:val="superscript"/>
                    </w:rPr>
                    <w:t>3</w:t>
                  </w:r>
                  <w:r>
                    <w:rPr>
                      <w:rFonts w:hint="eastAsia" w:cs="Times New Roman"/>
                      <w:b/>
                      <w:color w:val="auto"/>
                      <w:sz w:val="21"/>
                      <w:szCs w:val="21"/>
                      <w:vertAlign w:val="superscript"/>
                      <w:lang w:eastAsia="zh-CN"/>
                    </w:rPr>
                    <w:t>）</w:t>
                  </w:r>
                </w:p>
              </w:tc>
              <w:tc>
                <w:tcPr>
                  <w:tcW w:w="998" w:type="pct"/>
                  <w:gridSpan w:val="2"/>
                  <w:noWrap w:val="0"/>
                  <w:vAlign w:val="center"/>
                </w:tcPr>
                <w:p w14:paraId="1A45ED82">
                  <w:pPr>
                    <w:adjustRightInd w:val="0"/>
                    <w:snapToGrid w:val="0"/>
                    <w:spacing w:line="240" w:lineRule="auto"/>
                    <w:ind w:firstLine="0" w:firstLineChars="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最高允许排放速率（kg/h）</w:t>
                  </w:r>
                </w:p>
              </w:tc>
              <w:tc>
                <w:tcPr>
                  <w:tcW w:w="1537" w:type="pct"/>
                  <w:vMerge w:val="continue"/>
                  <w:noWrap w:val="0"/>
                  <w:vAlign w:val="center"/>
                </w:tcPr>
                <w:p w14:paraId="36D06BF8">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p>
              </w:tc>
            </w:tr>
            <w:tr w14:paraId="03B45F3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980" w:type="pct"/>
                  <w:noWrap w:val="0"/>
                  <w:vAlign w:val="center"/>
                </w:tcPr>
                <w:p w14:paraId="509385BF">
                  <w:pPr>
                    <w:adjustRightInd w:val="0"/>
                    <w:snapToGrid w:val="0"/>
                    <w:spacing w:line="240" w:lineRule="auto"/>
                    <w:ind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颗粒物</w:t>
                  </w:r>
                </w:p>
              </w:tc>
              <w:tc>
                <w:tcPr>
                  <w:tcW w:w="543" w:type="pct"/>
                  <w:vMerge w:val="restart"/>
                  <w:noWrap w:val="0"/>
                  <w:vAlign w:val="center"/>
                </w:tcPr>
                <w:p w14:paraId="75F9672C">
                  <w:pPr>
                    <w:adjustRightInd w:val="0"/>
                    <w:snapToGrid w:val="0"/>
                    <w:spacing w:line="240" w:lineRule="auto"/>
                    <w:ind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≥8</w:t>
                  </w:r>
                </w:p>
              </w:tc>
              <w:tc>
                <w:tcPr>
                  <w:tcW w:w="940" w:type="pct"/>
                  <w:noWrap w:val="0"/>
                  <w:vAlign w:val="center"/>
                </w:tcPr>
                <w:p w14:paraId="570A8B01">
                  <w:pPr>
                    <w:adjustRightInd w:val="0"/>
                    <w:snapToGrid w:val="0"/>
                    <w:spacing w:line="240" w:lineRule="auto"/>
                    <w:ind w:firstLine="0" w:firstLineChars="0"/>
                    <w:jc w:val="center"/>
                    <w:rPr>
                      <w:rFonts w:hint="default" w:cs="Times New Roman"/>
                      <w:color w:val="auto"/>
                      <w:sz w:val="21"/>
                      <w:szCs w:val="21"/>
                      <w:lang w:val="en-US" w:eastAsia="zh-CN"/>
                    </w:rPr>
                  </w:pPr>
                  <w:r>
                    <w:rPr>
                      <w:rFonts w:hint="eastAsia" w:cs="Times New Roman"/>
                      <w:color w:val="auto"/>
                      <w:sz w:val="21"/>
                      <w:szCs w:val="21"/>
                      <w:lang w:val="en-US" w:eastAsia="zh-CN"/>
                    </w:rPr>
                    <w:t>10</w:t>
                  </w:r>
                </w:p>
              </w:tc>
              <w:tc>
                <w:tcPr>
                  <w:tcW w:w="998" w:type="pct"/>
                  <w:gridSpan w:val="2"/>
                  <w:noWrap w:val="0"/>
                  <w:vAlign w:val="center"/>
                </w:tcPr>
                <w:p w14:paraId="55160360">
                  <w:pPr>
                    <w:adjustRightInd w:val="0"/>
                    <w:snapToGrid w:val="0"/>
                    <w:spacing w:line="240" w:lineRule="auto"/>
                    <w:ind w:firstLine="0" w:firstLineChars="0"/>
                    <w:jc w:val="center"/>
                    <w:rPr>
                      <w:rFonts w:hint="default" w:cs="Times New Roman"/>
                      <w:color w:val="auto"/>
                      <w:sz w:val="21"/>
                      <w:szCs w:val="21"/>
                      <w:lang w:val="en-US" w:eastAsia="zh-CN"/>
                    </w:rPr>
                  </w:pPr>
                  <w:r>
                    <w:rPr>
                      <w:rFonts w:hint="eastAsia" w:cs="Times New Roman"/>
                      <w:color w:val="auto"/>
                      <w:sz w:val="21"/>
                      <w:szCs w:val="21"/>
                      <w:lang w:val="en-US" w:eastAsia="zh-CN"/>
                    </w:rPr>
                    <w:t>/</w:t>
                  </w:r>
                </w:p>
              </w:tc>
              <w:tc>
                <w:tcPr>
                  <w:tcW w:w="1537" w:type="pct"/>
                  <w:vMerge w:val="restart"/>
                  <w:noWrap w:val="0"/>
                  <w:vAlign w:val="center"/>
                </w:tcPr>
                <w:p w14:paraId="3129B76B">
                  <w:pPr>
                    <w:adjustRightInd w:val="0"/>
                    <w:snapToGrid w:val="0"/>
                    <w:spacing w:line="240" w:lineRule="auto"/>
                    <w:ind w:firstLine="0" w:firstLineChars="0"/>
                    <w:jc w:val="center"/>
                    <w:rPr>
                      <w:rFonts w:hint="eastAsia"/>
                      <w:b w:val="0"/>
                      <w:i w:val="0"/>
                      <w:color w:val="auto"/>
                      <w:sz w:val="21"/>
                      <w:szCs w:val="21"/>
                      <w:lang w:eastAsia="zh-CN"/>
                    </w:rPr>
                  </w:pPr>
                  <w:r>
                    <w:rPr>
                      <w:rFonts w:hint="eastAsia" w:cs="Times New Roman"/>
                      <w:color w:val="auto"/>
                      <w:sz w:val="21"/>
                      <w:szCs w:val="21"/>
                      <w:lang w:val="en-US" w:eastAsia="zh-CN"/>
                    </w:rPr>
                    <w:t>《锅炉大气污染物排放标准》（DB32/4385-2022）</w:t>
                  </w:r>
                </w:p>
              </w:tc>
            </w:tr>
            <w:tr w14:paraId="134D0C5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980" w:type="pct"/>
                  <w:noWrap w:val="0"/>
                  <w:vAlign w:val="center"/>
                </w:tcPr>
                <w:p w14:paraId="795CF9D0">
                  <w:pPr>
                    <w:adjustRightInd w:val="0"/>
                    <w:snapToGrid w:val="0"/>
                    <w:spacing w:line="240" w:lineRule="auto"/>
                    <w:ind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二氧化硫</w:t>
                  </w:r>
                </w:p>
              </w:tc>
              <w:tc>
                <w:tcPr>
                  <w:tcW w:w="543" w:type="pct"/>
                  <w:vMerge w:val="continue"/>
                  <w:noWrap w:val="0"/>
                  <w:vAlign w:val="center"/>
                </w:tcPr>
                <w:p w14:paraId="2B55CD45">
                  <w:pPr>
                    <w:adjustRightInd w:val="0"/>
                    <w:snapToGrid w:val="0"/>
                    <w:spacing w:line="240" w:lineRule="auto"/>
                    <w:ind w:firstLine="0" w:firstLineChars="0"/>
                    <w:jc w:val="center"/>
                    <w:rPr>
                      <w:rFonts w:hint="eastAsia" w:cs="Times New Roman"/>
                      <w:color w:val="auto"/>
                      <w:sz w:val="21"/>
                      <w:szCs w:val="21"/>
                      <w:lang w:val="en-US" w:eastAsia="zh-CN"/>
                    </w:rPr>
                  </w:pPr>
                </w:p>
              </w:tc>
              <w:tc>
                <w:tcPr>
                  <w:tcW w:w="940" w:type="pct"/>
                  <w:noWrap w:val="0"/>
                  <w:vAlign w:val="center"/>
                </w:tcPr>
                <w:p w14:paraId="578789BF">
                  <w:pPr>
                    <w:adjustRightInd w:val="0"/>
                    <w:snapToGrid w:val="0"/>
                    <w:spacing w:line="240" w:lineRule="auto"/>
                    <w:ind w:firstLine="0" w:firstLineChars="0"/>
                    <w:jc w:val="center"/>
                    <w:rPr>
                      <w:rFonts w:hint="default" w:cs="Times New Roman"/>
                      <w:color w:val="auto"/>
                      <w:sz w:val="21"/>
                      <w:szCs w:val="21"/>
                      <w:lang w:val="en-US" w:eastAsia="zh-CN"/>
                    </w:rPr>
                  </w:pPr>
                  <w:r>
                    <w:rPr>
                      <w:rFonts w:hint="eastAsia" w:cs="Times New Roman"/>
                      <w:color w:val="auto"/>
                      <w:sz w:val="21"/>
                      <w:szCs w:val="21"/>
                      <w:lang w:val="en-US" w:eastAsia="zh-CN"/>
                    </w:rPr>
                    <w:t>35</w:t>
                  </w:r>
                </w:p>
              </w:tc>
              <w:tc>
                <w:tcPr>
                  <w:tcW w:w="998" w:type="pct"/>
                  <w:gridSpan w:val="2"/>
                  <w:noWrap w:val="0"/>
                  <w:vAlign w:val="center"/>
                </w:tcPr>
                <w:p w14:paraId="507C6E3D">
                  <w:pPr>
                    <w:adjustRightInd w:val="0"/>
                    <w:snapToGrid w:val="0"/>
                    <w:spacing w:line="240" w:lineRule="auto"/>
                    <w:ind w:firstLine="0" w:firstLineChars="0"/>
                    <w:jc w:val="center"/>
                    <w:rPr>
                      <w:rFonts w:hint="default" w:cs="Times New Roman"/>
                      <w:color w:val="auto"/>
                      <w:sz w:val="21"/>
                      <w:szCs w:val="21"/>
                      <w:lang w:val="en-US" w:eastAsia="zh-CN"/>
                    </w:rPr>
                  </w:pPr>
                  <w:r>
                    <w:rPr>
                      <w:rFonts w:hint="eastAsia" w:cs="Times New Roman"/>
                      <w:color w:val="auto"/>
                      <w:sz w:val="21"/>
                      <w:szCs w:val="21"/>
                      <w:lang w:val="en-US" w:eastAsia="zh-CN"/>
                    </w:rPr>
                    <w:t>/</w:t>
                  </w:r>
                </w:p>
              </w:tc>
              <w:tc>
                <w:tcPr>
                  <w:tcW w:w="1537" w:type="pct"/>
                  <w:vMerge w:val="continue"/>
                  <w:noWrap w:val="0"/>
                  <w:vAlign w:val="center"/>
                </w:tcPr>
                <w:p w14:paraId="0F8F1717">
                  <w:pPr>
                    <w:adjustRightInd w:val="0"/>
                    <w:snapToGrid w:val="0"/>
                    <w:spacing w:line="240" w:lineRule="auto"/>
                    <w:ind w:firstLine="0" w:firstLineChars="0"/>
                    <w:jc w:val="center"/>
                    <w:rPr>
                      <w:rFonts w:hint="eastAsia"/>
                      <w:b w:val="0"/>
                      <w:i w:val="0"/>
                      <w:color w:val="auto"/>
                      <w:sz w:val="21"/>
                      <w:szCs w:val="21"/>
                      <w:lang w:eastAsia="zh-CN"/>
                    </w:rPr>
                  </w:pPr>
                </w:p>
              </w:tc>
            </w:tr>
            <w:tr w14:paraId="1769E62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980" w:type="pct"/>
                  <w:noWrap w:val="0"/>
                  <w:vAlign w:val="center"/>
                </w:tcPr>
                <w:p w14:paraId="4872CBC5">
                  <w:pPr>
                    <w:adjustRightInd w:val="0"/>
                    <w:snapToGrid w:val="0"/>
                    <w:spacing w:line="240" w:lineRule="auto"/>
                    <w:ind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氮氧化物</w:t>
                  </w:r>
                </w:p>
              </w:tc>
              <w:tc>
                <w:tcPr>
                  <w:tcW w:w="543" w:type="pct"/>
                  <w:vMerge w:val="continue"/>
                  <w:noWrap w:val="0"/>
                  <w:vAlign w:val="center"/>
                </w:tcPr>
                <w:p w14:paraId="3A8EE242">
                  <w:pPr>
                    <w:adjustRightInd w:val="0"/>
                    <w:snapToGrid w:val="0"/>
                    <w:spacing w:line="240" w:lineRule="auto"/>
                    <w:ind w:firstLine="0" w:firstLineChars="0"/>
                    <w:jc w:val="center"/>
                    <w:rPr>
                      <w:rFonts w:hint="eastAsia" w:cs="Times New Roman"/>
                      <w:color w:val="auto"/>
                      <w:sz w:val="21"/>
                      <w:szCs w:val="21"/>
                      <w:lang w:val="en-US" w:eastAsia="zh-CN"/>
                    </w:rPr>
                  </w:pPr>
                </w:p>
              </w:tc>
              <w:tc>
                <w:tcPr>
                  <w:tcW w:w="940" w:type="pct"/>
                  <w:noWrap w:val="0"/>
                  <w:vAlign w:val="center"/>
                </w:tcPr>
                <w:p w14:paraId="6DD166BD">
                  <w:pPr>
                    <w:adjustRightInd w:val="0"/>
                    <w:snapToGrid w:val="0"/>
                    <w:spacing w:line="240" w:lineRule="auto"/>
                    <w:ind w:firstLine="0" w:firstLineChars="0"/>
                    <w:jc w:val="center"/>
                    <w:rPr>
                      <w:rFonts w:hint="default" w:cs="Times New Roman"/>
                      <w:color w:val="auto"/>
                      <w:sz w:val="21"/>
                      <w:szCs w:val="21"/>
                      <w:lang w:val="en-US" w:eastAsia="zh-CN"/>
                    </w:rPr>
                  </w:pPr>
                  <w:r>
                    <w:rPr>
                      <w:rFonts w:hint="eastAsia" w:cs="Times New Roman"/>
                      <w:color w:val="auto"/>
                      <w:sz w:val="21"/>
                      <w:szCs w:val="21"/>
                      <w:lang w:val="en-US" w:eastAsia="zh-CN"/>
                    </w:rPr>
                    <w:t>50</w:t>
                  </w:r>
                </w:p>
              </w:tc>
              <w:tc>
                <w:tcPr>
                  <w:tcW w:w="998" w:type="pct"/>
                  <w:gridSpan w:val="2"/>
                  <w:noWrap w:val="0"/>
                  <w:vAlign w:val="center"/>
                </w:tcPr>
                <w:p w14:paraId="73364556">
                  <w:pPr>
                    <w:adjustRightInd w:val="0"/>
                    <w:snapToGrid w:val="0"/>
                    <w:spacing w:line="240" w:lineRule="auto"/>
                    <w:ind w:firstLine="0" w:firstLineChars="0"/>
                    <w:jc w:val="center"/>
                    <w:rPr>
                      <w:rFonts w:hint="default" w:cs="Times New Roman"/>
                      <w:color w:val="auto"/>
                      <w:sz w:val="21"/>
                      <w:szCs w:val="21"/>
                      <w:lang w:val="en-US" w:eastAsia="zh-CN"/>
                    </w:rPr>
                  </w:pPr>
                  <w:r>
                    <w:rPr>
                      <w:rFonts w:hint="eastAsia" w:cs="Times New Roman"/>
                      <w:color w:val="auto"/>
                      <w:sz w:val="21"/>
                      <w:szCs w:val="21"/>
                      <w:lang w:val="en-US" w:eastAsia="zh-CN"/>
                    </w:rPr>
                    <w:t>/</w:t>
                  </w:r>
                </w:p>
              </w:tc>
              <w:tc>
                <w:tcPr>
                  <w:tcW w:w="1537" w:type="pct"/>
                  <w:vMerge w:val="continue"/>
                  <w:noWrap w:val="0"/>
                  <w:vAlign w:val="center"/>
                </w:tcPr>
                <w:p w14:paraId="5627A7F7">
                  <w:pPr>
                    <w:adjustRightInd w:val="0"/>
                    <w:snapToGrid w:val="0"/>
                    <w:spacing w:line="240" w:lineRule="auto"/>
                    <w:ind w:firstLine="0" w:firstLineChars="0"/>
                    <w:jc w:val="center"/>
                    <w:rPr>
                      <w:rFonts w:hint="eastAsia"/>
                      <w:b w:val="0"/>
                      <w:i w:val="0"/>
                      <w:color w:val="auto"/>
                      <w:sz w:val="21"/>
                      <w:szCs w:val="21"/>
                      <w:lang w:eastAsia="zh-CN"/>
                    </w:rPr>
                  </w:pPr>
                </w:p>
              </w:tc>
            </w:tr>
            <w:tr w14:paraId="7C58A86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980" w:type="pct"/>
                  <w:noWrap w:val="0"/>
                  <w:vAlign w:val="center"/>
                </w:tcPr>
                <w:p w14:paraId="4FFB9AAD">
                  <w:pPr>
                    <w:adjustRightInd w:val="0"/>
                    <w:snapToGrid w:val="0"/>
                    <w:spacing w:line="240" w:lineRule="auto"/>
                    <w:ind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氨</w:t>
                  </w:r>
                </w:p>
              </w:tc>
              <w:tc>
                <w:tcPr>
                  <w:tcW w:w="543" w:type="pct"/>
                  <w:vMerge w:val="continue"/>
                  <w:noWrap w:val="0"/>
                  <w:vAlign w:val="center"/>
                </w:tcPr>
                <w:p w14:paraId="29C283F4">
                  <w:pPr>
                    <w:adjustRightInd w:val="0"/>
                    <w:snapToGrid w:val="0"/>
                    <w:spacing w:line="240" w:lineRule="auto"/>
                    <w:ind w:firstLine="0" w:firstLineChars="0"/>
                    <w:jc w:val="center"/>
                    <w:rPr>
                      <w:rFonts w:hint="eastAsia" w:cs="Times New Roman"/>
                      <w:color w:val="auto"/>
                      <w:sz w:val="21"/>
                      <w:szCs w:val="21"/>
                      <w:lang w:val="en-US" w:eastAsia="zh-CN"/>
                    </w:rPr>
                  </w:pPr>
                </w:p>
              </w:tc>
              <w:tc>
                <w:tcPr>
                  <w:tcW w:w="940" w:type="pct"/>
                  <w:noWrap w:val="0"/>
                  <w:vAlign w:val="center"/>
                </w:tcPr>
                <w:p w14:paraId="0DA24663">
                  <w:pPr>
                    <w:adjustRightInd w:val="0"/>
                    <w:snapToGrid w:val="0"/>
                    <w:spacing w:line="240" w:lineRule="auto"/>
                    <w:ind w:firstLine="0" w:firstLineChars="0"/>
                    <w:jc w:val="center"/>
                    <w:rPr>
                      <w:rFonts w:hint="default" w:cs="Times New Roman"/>
                      <w:color w:val="auto"/>
                      <w:sz w:val="21"/>
                      <w:szCs w:val="21"/>
                      <w:lang w:val="en-US" w:eastAsia="zh-CN"/>
                    </w:rPr>
                  </w:pPr>
                  <w:r>
                    <w:rPr>
                      <w:rFonts w:hint="eastAsia" w:cs="Times New Roman"/>
                      <w:color w:val="auto"/>
                      <w:sz w:val="21"/>
                      <w:szCs w:val="21"/>
                      <w:lang w:val="en-US" w:eastAsia="zh-CN"/>
                    </w:rPr>
                    <w:t>2.28</w:t>
                  </w:r>
                </w:p>
              </w:tc>
              <w:tc>
                <w:tcPr>
                  <w:tcW w:w="998" w:type="pct"/>
                  <w:gridSpan w:val="2"/>
                  <w:noWrap w:val="0"/>
                  <w:vAlign w:val="center"/>
                </w:tcPr>
                <w:p w14:paraId="5EB599AC">
                  <w:pPr>
                    <w:adjustRightInd w:val="0"/>
                    <w:snapToGrid w:val="0"/>
                    <w:spacing w:line="240" w:lineRule="auto"/>
                    <w:ind w:firstLine="0" w:firstLineChars="0"/>
                    <w:jc w:val="center"/>
                    <w:rPr>
                      <w:rFonts w:hint="default" w:cs="Times New Roman"/>
                      <w:color w:val="auto"/>
                      <w:sz w:val="21"/>
                      <w:szCs w:val="21"/>
                      <w:lang w:val="en-US" w:eastAsia="zh-CN"/>
                    </w:rPr>
                  </w:pPr>
                  <w:r>
                    <w:rPr>
                      <w:rFonts w:hint="eastAsia" w:cs="Times New Roman"/>
                      <w:color w:val="auto"/>
                      <w:sz w:val="21"/>
                      <w:szCs w:val="21"/>
                      <w:lang w:val="en-US" w:eastAsia="zh-CN"/>
                    </w:rPr>
                    <w:t>/</w:t>
                  </w:r>
                </w:p>
              </w:tc>
              <w:tc>
                <w:tcPr>
                  <w:tcW w:w="1537" w:type="pct"/>
                  <w:vMerge w:val="continue"/>
                  <w:noWrap w:val="0"/>
                  <w:vAlign w:val="center"/>
                </w:tcPr>
                <w:p w14:paraId="37FF9B92">
                  <w:pPr>
                    <w:adjustRightInd w:val="0"/>
                    <w:snapToGrid w:val="0"/>
                    <w:spacing w:line="240" w:lineRule="auto"/>
                    <w:ind w:firstLine="0" w:firstLineChars="0"/>
                    <w:jc w:val="center"/>
                    <w:rPr>
                      <w:rFonts w:hint="eastAsia"/>
                      <w:b w:val="0"/>
                      <w:i w:val="0"/>
                      <w:color w:val="auto"/>
                      <w:sz w:val="21"/>
                      <w:szCs w:val="21"/>
                      <w:lang w:eastAsia="zh-CN"/>
                    </w:rPr>
                  </w:pPr>
                </w:p>
              </w:tc>
            </w:tr>
            <w:tr w14:paraId="1A06336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980" w:type="pct"/>
                  <w:noWrap w:val="0"/>
                  <w:vAlign w:val="center"/>
                </w:tcPr>
                <w:p w14:paraId="75208480">
                  <w:pPr>
                    <w:adjustRightInd w:val="0"/>
                    <w:snapToGrid w:val="0"/>
                    <w:spacing w:line="240" w:lineRule="auto"/>
                    <w:ind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烟气黑度</w:t>
                  </w:r>
                </w:p>
              </w:tc>
              <w:tc>
                <w:tcPr>
                  <w:tcW w:w="543" w:type="pct"/>
                  <w:vMerge w:val="continue"/>
                  <w:noWrap w:val="0"/>
                  <w:vAlign w:val="center"/>
                </w:tcPr>
                <w:p w14:paraId="27EADC91">
                  <w:pPr>
                    <w:adjustRightInd w:val="0"/>
                    <w:snapToGrid w:val="0"/>
                    <w:spacing w:line="240" w:lineRule="auto"/>
                    <w:ind w:firstLine="0" w:firstLineChars="0"/>
                    <w:jc w:val="center"/>
                    <w:rPr>
                      <w:rFonts w:hint="eastAsia" w:cs="Times New Roman"/>
                      <w:color w:val="auto"/>
                      <w:sz w:val="21"/>
                      <w:szCs w:val="21"/>
                      <w:lang w:val="en-US" w:eastAsia="zh-CN"/>
                    </w:rPr>
                  </w:pPr>
                </w:p>
              </w:tc>
              <w:tc>
                <w:tcPr>
                  <w:tcW w:w="1938" w:type="pct"/>
                  <w:gridSpan w:val="3"/>
                  <w:noWrap w:val="0"/>
                  <w:vAlign w:val="center"/>
                </w:tcPr>
                <w:p w14:paraId="38E7218D">
                  <w:pPr>
                    <w:adjustRightInd w:val="0"/>
                    <w:snapToGrid w:val="0"/>
                    <w:spacing w:line="240" w:lineRule="auto"/>
                    <w:ind w:firstLine="0" w:firstLineChars="0"/>
                    <w:jc w:val="center"/>
                    <w:rPr>
                      <w:rFonts w:hint="default"/>
                      <w:b w:val="0"/>
                      <w:i w:val="0"/>
                      <w:color w:val="auto"/>
                      <w:sz w:val="21"/>
                      <w:szCs w:val="21"/>
                      <w:lang w:val="en-US" w:eastAsia="zh-CN"/>
                    </w:rPr>
                  </w:pPr>
                  <w:r>
                    <w:rPr>
                      <w:rFonts w:hint="eastAsia"/>
                      <w:b w:val="0"/>
                      <w:i w:val="0"/>
                      <w:color w:val="auto"/>
                      <w:sz w:val="21"/>
                      <w:szCs w:val="21"/>
                      <w:lang w:val="en-US" w:eastAsia="zh-CN"/>
                    </w:rPr>
                    <w:t>林格曼黑度1级</w:t>
                  </w:r>
                </w:p>
              </w:tc>
              <w:tc>
                <w:tcPr>
                  <w:tcW w:w="1537" w:type="pct"/>
                  <w:vMerge w:val="continue"/>
                  <w:noWrap w:val="0"/>
                  <w:vAlign w:val="center"/>
                </w:tcPr>
                <w:p w14:paraId="2A333784">
                  <w:pPr>
                    <w:adjustRightInd w:val="0"/>
                    <w:snapToGrid w:val="0"/>
                    <w:spacing w:line="240" w:lineRule="auto"/>
                    <w:ind w:firstLine="0" w:firstLineChars="0"/>
                    <w:jc w:val="center"/>
                    <w:rPr>
                      <w:rFonts w:hint="eastAsia"/>
                      <w:b w:val="0"/>
                      <w:i w:val="0"/>
                      <w:color w:val="auto"/>
                      <w:sz w:val="21"/>
                      <w:szCs w:val="21"/>
                      <w:lang w:eastAsia="zh-CN"/>
                    </w:rPr>
                  </w:pPr>
                </w:p>
              </w:tc>
            </w:tr>
            <w:tr w14:paraId="164433C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1523" w:type="pct"/>
                  <w:gridSpan w:val="2"/>
                  <w:noWrap w:val="0"/>
                  <w:vAlign w:val="center"/>
                </w:tcPr>
                <w:p w14:paraId="308EB675">
                  <w:pPr>
                    <w:adjustRightInd w:val="0"/>
                    <w:snapToGrid w:val="0"/>
                    <w:spacing w:line="240" w:lineRule="auto"/>
                    <w:ind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基准氧含量</w:t>
                  </w:r>
                </w:p>
              </w:tc>
              <w:tc>
                <w:tcPr>
                  <w:tcW w:w="1938" w:type="pct"/>
                  <w:gridSpan w:val="3"/>
                  <w:noWrap w:val="0"/>
                  <w:vAlign w:val="center"/>
                </w:tcPr>
                <w:p w14:paraId="53C47D3D">
                  <w:pPr>
                    <w:adjustRightInd w:val="0"/>
                    <w:snapToGrid w:val="0"/>
                    <w:spacing w:line="240" w:lineRule="auto"/>
                    <w:ind w:firstLine="0" w:firstLineChars="0"/>
                    <w:jc w:val="center"/>
                    <w:rPr>
                      <w:rFonts w:hint="default"/>
                      <w:b w:val="0"/>
                      <w:i w:val="0"/>
                      <w:color w:val="auto"/>
                      <w:sz w:val="21"/>
                      <w:szCs w:val="21"/>
                      <w:lang w:val="en-US" w:eastAsia="zh-CN"/>
                    </w:rPr>
                  </w:pPr>
                  <w:r>
                    <w:rPr>
                      <w:rFonts w:hint="eastAsia"/>
                      <w:b w:val="0"/>
                      <w:i w:val="0"/>
                      <w:color w:val="auto"/>
                      <w:sz w:val="21"/>
                      <w:szCs w:val="21"/>
                      <w:lang w:val="en-US" w:eastAsia="zh-CN"/>
                    </w:rPr>
                    <w:t>3.5%</w:t>
                  </w:r>
                </w:p>
              </w:tc>
              <w:tc>
                <w:tcPr>
                  <w:tcW w:w="1537" w:type="pct"/>
                  <w:vMerge w:val="continue"/>
                  <w:noWrap w:val="0"/>
                  <w:vAlign w:val="center"/>
                </w:tcPr>
                <w:p w14:paraId="75AB4781">
                  <w:pPr>
                    <w:adjustRightInd w:val="0"/>
                    <w:snapToGrid w:val="0"/>
                    <w:spacing w:line="240" w:lineRule="auto"/>
                    <w:ind w:firstLine="0" w:firstLineChars="0"/>
                    <w:jc w:val="center"/>
                    <w:rPr>
                      <w:rFonts w:hint="eastAsia"/>
                      <w:b w:val="0"/>
                      <w:i w:val="0"/>
                      <w:color w:val="auto"/>
                      <w:sz w:val="21"/>
                      <w:szCs w:val="21"/>
                      <w:lang w:eastAsia="zh-CN"/>
                    </w:rPr>
                  </w:pPr>
                </w:p>
              </w:tc>
            </w:tr>
            <w:tr w14:paraId="2AD84FD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980" w:type="pct"/>
                  <w:noWrap w:val="0"/>
                  <w:vAlign w:val="center"/>
                </w:tcPr>
                <w:p w14:paraId="534FBCD0">
                  <w:pPr>
                    <w:adjustRightInd w:val="0"/>
                    <w:snapToGrid w:val="0"/>
                    <w:spacing w:line="240" w:lineRule="auto"/>
                    <w:ind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氨</w:t>
                  </w:r>
                </w:p>
              </w:tc>
              <w:tc>
                <w:tcPr>
                  <w:tcW w:w="543" w:type="pct"/>
                  <w:noWrap w:val="0"/>
                  <w:vAlign w:val="center"/>
                </w:tcPr>
                <w:p w14:paraId="2456B53C">
                  <w:pPr>
                    <w:adjustRightInd w:val="0"/>
                    <w:snapToGrid w:val="0"/>
                    <w:spacing w:line="240" w:lineRule="auto"/>
                    <w:ind w:firstLine="0" w:firstLineChars="0"/>
                    <w:jc w:val="center"/>
                    <w:rPr>
                      <w:rFonts w:hint="default" w:cs="Times New Roman"/>
                      <w:color w:val="auto"/>
                      <w:sz w:val="21"/>
                      <w:szCs w:val="21"/>
                      <w:lang w:val="en-US" w:eastAsia="zh-CN"/>
                    </w:rPr>
                  </w:pPr>
                  <w:r>
                    <w:rPr>
                      <w:rFonts w:hint="eastAsia" w:cs="Times New Roman"/>
                      <w:color w:val="auto"/>
                      <w:sz w:val="21"/>
                      <w:szCs w:val="21"/>
                      <w:lang w:val="en-US" w:eastAsia="zh-CN"/>
                    </w:rPr>
                    <w:t>15</w:t>
                  </w:r>
                </w:p>
              </w:tc>
              <w:tc>
                <w:tcPr>
                  <w:tcW w:w="969" w:type="pct"/>
                  <w:gridSpan w:val="2"/>
                  <w:noWrap w:val="0"/>
                  <w:vAlign w:val="center"/>
                </w:tcPr>
                <w:p w14:paraId="7BF57B71">
                  <w:pPr>
                    <w:adjustRightInd w:val="0"/>
                    <w:snapToGrid w:val="0"/>
                    <w:spacing w:line="240" w:lineRule="auto"/>
                    <w:ind w:firstLine="0" w:firstLineChars="0"/>
                    <w:jc w:val="center"/>
                    <w:rPr>
                      <w:rFonts w:hint="default"/>
                      <w:b w:val="0"/>
                      <w:i w:val="0"/>
                      <w:color w:val="auto"/>
                      <w:sz w:val="21"/>
                      <w:szCs w:val="21"/>
                      <w:lang w:val="en-US" w:eastAsia="zh-CN"/>
                    </w:rPr>
                  </w:pPr>
                  <w:r>
                    <w:rPr>
                      <w:rFonts w:hint="eastAsia"/>
                      <w:b w:val="0"/>
                      <w:i w:val="0"/>
                      <w:color w:val="auto"/>
                      <w:sz w:val="21"/>
                      <w:szCs w:val="21"/>
                      <w:lang w:val="en-US" w:eastAsia="zh-CN"/>
                    </w:rPr>
                    <w:t>4.9</w:t>
                  </w:r>
                </w:p>
              </w:tc>
              <w:tc>
                <w:tcPr>
                  <w:tcW w:w="969" w:type="pct"/>
                  <w:noWrap w:val="0"/>
                  <w:vAlign w:val="center"/>
                </w:tcPr>
                <w:p w14:paraId="1D0DDFCC">
                  <w:pPr>
                    <w:adjustRightInd w:val="0"/>
                    <w:snapToGrid w:val="0"/>
                    <w:spacing w:line="240" w:lineRule="auto"/>
                    <w:ind w:firstLine="0" w:firstLineChars="0"/>
                    <w:jc w:val="center"/>
                    <w:rPr>
                      <w:rFonts w:hint="default"/>
                      <w:b w:val="0"/>
                      <w:i w:val="0"/>
                      <w:color w:val="auto"/>
                      <w:sz w:val="21"/>
                      <w:szCs w:val="21"/>
                      <w:lang w:val="en-US" w:eastAsia="zh-CN"/>
                    </w:rPr>
                  </w:pPr>
                  <w:r>
                    <w:rPr>
                      <w:rFonts w:hint="eastAsia"/>
                      <w:b w:val="0"/>
                      <w:i w:val="0"/>
                      <w:color w:val="auto"/>
                      <w:sz w:val="21"/>
                      <w:szCs w:val="21"/>
                      <w:lang w:val="en-US" w:eastAsia="zh-CN"/>
                    </w:rPr>
                    <w:t>/</w:t>
                  </w:r>
                </w:p>
              </w:tc>
              <w:tc>
                <w:tcPr>
                  <w:tcW w:w="1537" w:type="pct"/>
                  <w:noWrap w:val="0"/>
                  <w:vAlign w:val="center"/>
                </w:tcPr>
                <w:p w14:paraId="28BDE2FA">
                  <w:pPr>
                    <w:adjustRightInd w:val="0"/>
                    <w:snapToGrid w:val="0"/>
                    <w:spacing w:line="240" w:lineRule="auto"/>
                    <w:ind w:firstLine="0" w:firstLineChars="0"/>
                    <w:jc w:val="center"/>
                    <w:rPr>
                      <w:rFonts w:hint="eastAsia"/>
                      <w:b w:val="0"/>
                      <w:i w:val="0"/>
                      <w:color w:val="auto"/>
                      <w:sz w:val="21"/>
                      <w:szCs w:val="21"/>
                      <w:lang w:eastAsia="zh-CN"/>
                    </w:rPr>
                  </w:pPr>
                  <w:r>
                    <w:rPr>
                      <w:rFonts w:hint="default" w:ascii="Times New Roman" w:hAnsi="Times New Roman" w:cs="Times New Roman"/>
                      <w:color w:val="000000"/>
                      <w:szCs w:val="24"/>
                      <w:lang w:val="en-US" w:eastAsia="zh-CN"/>
                    </w:rPr>
                    <w:t>《恶臭污染物排放标准》（GB14554-93）</w:t>
                  </w:r>
                </w:p>
              </w:tc>
            </w:tr>
          </w:tbl>
          <w:p w14:paraId="73C61B81">
            <w:pPr>
              <w:pStyle w:val="53"/>
              <w:keepNext w:val="0"/>
              <w:keepLines w:val="0"/>
              <w:pageBreakBefore w:val="0"/>
              <w:suppressLineNumbers w:val="0"/>
              <w:topLinePunct w:val="0"/>
              <w:autoSpaceDE/>
              <w:autoSpaceDN/>
              <w:bidi w:val="0"/>
              <w:spacing w:before="0" w:beforeAutospacing="0" w:after="0" w:afterAutospacing="0" w:line="320" w:lineRule="exact"/>
              <w:ind w:left="0" w:right="0" w:firstLine="482"/>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表</w:t>
            </w:r>
            <w:r>
              <w:rPr>
                <w:rFonts w:hint="default" w:ascii="Times New Roman" w:hAnsi="Times New Roman" w:cs="Times New Roman"/>
                <w:color w:val="auto"/>
                <w:sz w:val="21"/>
                <w:szCs w:val="21"/>
                <w:lang w:val="en-US" w:eastAsia="zh-CN"/>
              </w:rPr>
              <w:t>3-</w:t>
            </w:r>
            <w:r>
              <w:rPr>
                <w:rFonts w:hint="eastAsia" w:cs="Times New Roman"/>
                <w:color w:val="auto"/>
                <w:sz w:val="21"/>
                <w:szCs w:val="21"/>
                <w:lang w:val="en-US" w:eastAsia="zh-CN"/>
              </w:rPr>
              <w:t>4  厂界</w:t>
            </w:r>
            <w:r>
              <w:rPr>
                <w:rFonts w:hint="default" w:ascii="Times New Roman" w:hAnsi="Times New Roman" w:cs="Times New Roman"/>
                <w:color w:val="auto"/>
                <w:sz w:val="21"/>
                <w:szCs w:val="21"/>
              </w:rPr>
              <w:t>大气污染物</w:t>
            </w:r>
            <w:r>
              <w:rPr>
                <w:rFonts w:hint="eastAsia" w:cs="Times New Roman"/>
                <w:color w:val="auto"/>
                <w:sz w:val="21"/>
                <w:szCs w:val="21"/>
                <w:lang w:eastAsia="zh-CN"/>
              </w:rPr>
              <w:t>无组织</w:t>
            </w:r>
            <w:r>
              <w:rPr>
                <w:rFonts w:hint="default" w:ascii="Times New Roman" w:hAnsi="Times New Roman" w:cs="Times New Roman"/>
                <w:color w:val="auto"/>
                <w:sz w:val="21"/>
                <w:szCs w:val="21"/>
              </w:rPr>
              <w:t>排放标准限值</w:t>
            </w:r>
          </w:p>
          <w:tbl>
            <w:tblPr>
              <w:tblStyle w:val="23"/>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933"/>
              <w:gridCol w:w="3032"/>
              <w:gridCol w:w="3032"/>
            </w:tblGrid>
            <w:tr w14:paraId="1424573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08" w:type="pct"/>
                  <w:vMerge w:val="restart"/>
                  <w:noWrap w:val="0"/>
                  <w:vAlign w:val="center"/>
                </w:tcPr>
                <w:p w14:paraId="56264251">
                  <w:pPr>
                    <w:adjustRightInd w:val="0"/>
                    <w:snapToGrid w:val="0"/>
                    <w:spacing w:line="240" w:lineRule="auto"/>
                    <w:ind w:firstLine="0" w:firstLineChars="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污染物</w:t>
                  </w:r>
                </w:p>
              </w:tc>
              <w:tc>
                <w:tcPr>
                  <w:tcW w:w="1895" w:type="pct"/>
                  <w:noWrap w:val="0"/>
                  <w:vAlign w:val="center"/>
                </w:tcPr>
                <w:p w14:paraId="178358AF">
                  <w:pPr>
                    <w:adjustRightInd w:val="0"/>
                    <w:snapToGrid w:val="0"/>
                    <w:spacing w:line="240" w:lineRule="auto"/>
                    <w:ind w:firstLine="0" w:firstLineChars="0"/>
                    <w:jc w:val="center"/>
                    <w:rPr>
                      <w:rFonts w:hint="eastAsia" w:ascii="Times New Roman" w:hAnsi="Times New Roman" w:eastAsia="宋体" w:cs="Times New Roman"/>
                      <w:b/>
                      <w:bCs w:val="0"/>
                      <w:color w:val="auto"/>
                      <w:sz w:val="21"/>
                      <w:szCs w:val="21"/>
                      <w:lang w:eastAsia="zh-CN"/>
                    </w:rPr>
                  </w:pPr>
                  <w:r>
                    <w:rPr>
                      <w:rFonts w:hint="eastAsia" w:cs="Times New Roman"/>
                      <w:b/>
                      <w:bCs w:val="0"/>
                      <w:color w:val="auto"/>
                      <w:sz w:val="21"/>
                      <w:szCs w:val="21"/>
                      <w:lang w:eastAsia="zh-CN"/>
                    </w:rPr>
                    <w:t>标准限值</w:t>
                  </w:r>
                </w:p>
              </w:tc>
              <w:tc>
                <w:tcPr>
                  <w:tcW w:w="1895" w:type="pct"/>
                  <w:vMerge w:val="restart"/>
                  <w:noWrap w:val="0"/>
                  <w:vAlign w:val="center"/>
                </w:tcPr>
                <w:p w14:paraId="2308973E">
                  <w:pPr>
                    <w:adjustRightInd w:val="0"/>
                    <w:snapToGrid w:val="0"/>
                    <w:spacing w:line="240" w:lineRule="auto"/>
                    <w:ind w:firstLine="0" w:firstLineChars="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执行标准</w:t>
                  </w:r>
                </w:p>
              </w:tc>
            </w:tr>
            <w:tr w14:paraId="6FE0966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08" w:type="pct"/>
                  <w:vMerge w:val="continue"/>
                  <w:noWrap w:val="0"/>
                  <w:vAlign w:val="center"/>
                </w:tcPr>
                <w:p w14:paraId="6CC1C663">
                  <w:pPr>
                    <w:adjustRightInd w:val="0"/>
                    <w:snapToGrid w:val="0"/>
                    <w:spacing w:line="240" w:lineRule="auto"/>
                    <w:ind w:firstLine="0" w:firstLineChars="0"/>
                    <w:jc w:val="center"/>
                    <w:rPr>
                      <w:rFonts w:hint="default" w:ascii="Times New Roman" w:hAnsi="Times New Roman" w:eastAsia="宋体" w:cs="Times New Roman"/>
                      <w:b/>
                      <w:color w:val="auto"/>
                      <w:sz w:val="21"/>
                      <w:szCs w:val="21"/>
                    </w:rPr>
                  </w:pPr>
                </w:p>
              </w:tc>
              <w:tc>
                <w:tcPr>
                  <w:tcW w:w="1895" w:type="pct"/>
                  <w:noWrap w:val="0"/>
                  <w:vAlign w:val="center"/>
                </w:tcPr>
                <w:p w14:paraId="52579E0F">
                  <w:pPr>
                    <w:adjustRightInd w:val="0"/>
                    <w:snapToGrid w:val="0"/>
                    <w:spacing w:line="240" w:lineRule="auto"/>
                    <w:ind w:firstLine="0" w:firstLineChars="0"/>
                    <w:jc w:val="center"/>
                    <w:rPr>
                      <w:rFonts w:hint="eastAsia" w:ascii="Times New Roman" w:hAnsi="Times New Roman" w:eastAsia="宋体" w:cs="Times New Roman"/>
                      <w:b/>
                      <w:bCs w:val="0"/>
                      <w:color w:val="auto"/>
                      <w:sz w:val="21"/>
                      <w:szCs w:val="21"/>
                      <w:lang w:eastAsia="zh-CN"/>
                    </w:rPr>
                  </w:pPr>
                  <w:r>
                    <w:rPr>
                      <w:rFonts w:hint="eastAsia" w:cs="Times New Roman"/>
                      <w:b/>
                      <w:bCs w:val="0"/>
                      <w:color w:val="auto"/>
                      <w:sz w:val="21"/>
                      <w:szCs w:val="21"/>
                      <w:lang w:eastAsia="zh-CN"/>
                    </w:rPr>
                    <w:t>无组织排放监控浓度限值（</w:t>
                  </w:r>
                  <w:r>
                    <w:rPr>
                      <w:rFonts w:hint="eastAsia" w:cs="Times New Roman"/>
                      <w:b/>
                      <w:bCs w:val="0"/>
                      <w:color w:val="auto"/>
                      <w:sz w:val="21"/>
                      <w:szCs w:val="21"/>
                      <w:lang w:val="en-US" w:eastAsia="zh-CN"/>
                    </w:rPr>
                    <w:t>mg/m</w:t>
                  </w:r>
                  <w:r>
                    <w:rPr>
                      <w:rFonts w:hint="eastAsia" w:cs="Times New Roman"/>
                      <w:b/>
                      <w:bCs w:val="0"/>
                      <w:color w:val="auto"/>
                      <w:sz w:val="21"/>
                      <w:szCs w:val="21"/>
                      <w:vertAlign w:val="superscript"/>
                      <w:lang w:val="en-US" w:eastAsia="zh-CN"/>
                    </w:rPr>
                    <w:t>3</w:t>
                  </w:r>
                  <w:r>
                    <w:rPr>
                      <w:rFonts w:hint="eastAsia" w:cs="Times New Roman"/>
                      <w:b/>
                      <w:bCs w:val="0"/>
                      <w:color w:val="auto"/>
                      <w:sz w:val="21"/>
                      <w:szCs w:val="21"/>
                      <w:lang w:eastAsia="zh-CN"/>
                    </w:rPr>
                    <w:t>）</w:t>
                  </w:r>
                </w:p>
              </w:tc>
              <w:tc>
                <w:tcPr>
                  <w:tcW w:w="1895" w:type="pct"/>
                  <w:vMerge w:val="continue"/>
                  <w:noWrap w:val="0"/>
                  <w:vAlign w:val="center"/>
                </w:tcPr>
                <w:p w14:paraId="3BE5452F">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p>
              </w:tc>
            </w:tr>
            <w:tr w14:paraId="120AC92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1208" w:type="pct"/>
                  <w:noWrap w:val="0"/>
                  <w:vAlign w:val="center"/>
                </w:tcPr>
                <w:p w14:paraId="2CB3D50F">
                  <w:pPr>
                    <w:adjustRightInd w:val="0"/>
                    <w:snapToGrid w:val="0"/>
                    <w:spacing w:line="240" w:lineRule="auto"/>
                    <w:ind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臭气浓度</w:t>
                  </w:r>
                </w:p>
              </w:tc>
              <w:tc>
                <w:tcPr>
                  <w:tcW w:w="1895" w:type="pct"/>
                  <w:noWrap w:val="0"/>
                  <w:vAlign w:val="center"/>
                </w:tcPr>
                <w:p w14:paraId="352CDFF9">
                  <w:pPr>
                    <w:adjustRightInd w:val="0"/>
                    <w:snapToGrid w:val="0"/>
                    <w:spacing w:line="240" w:lineRule="auto"/>
                    <w:ind w:firstLine="0" w:firstLineChars="0"/>
                    <w:jc w:val="center"/>
                    <w:rPr>
                      <w:rFonts w:hint="default"/>
                      <w:b w:val="0"/>
                      <w:i w:val="0"/>
                      <w:color w:val="auto"/>
                      <w:sz w:val="21"/>
                      <w:szCs w:val="21"/>
                      <w:lang w:val="en-US" w:eastAsia="zh-CN"/>
                    </w:rPr>
                  </w:pPr>
                  <w:r>
                    <w:rPr>
                      <w:rFonts w:hint="eastAsia"/>
                      <w:b w:val="0"/>
                      <w:i w:val="0"/>
                      <w:color w:val="auto"/>
                      <w:sz w:val="21"/>
                      <w:szCs w:val="21"/>
                      <w:lang w:val="en-US" w:eastAsia="zh-CN"/>
                    </w:rPr>
                    <w:t>20（无量纲）</w:t>
                  </w:r>
                </w:p>
              </w:tc>
              <w:tc>
                <w:tcPr>
                  <w:tcW w:w="1895" w:type="pct"/>
                  <w:vMerge w:val="restart"/>
                  <w:noWrap w:val="0"/>
                  <w:vAlign w:val="center"/>
                </w:tcPr>
                <w:p w14:paraId="3C87C164">
                  <w:pPr>
                    <w:adjustRightInd w:val="0"/>
                    <w:snapToGrid w:val="0"/>
                    <w:spacing w:line="240" w:lineRule="auto"/>
                    <w:ind w:firstLine="0" w:firstLineChars="0"/>
                    <w:jc w:val="center"/>
                    <w:rPr>
                      <w:rFonts w:hint="eastAsia"/>
                      <w:b w:val="0"/>
                      <w:i w:val="0"/>
                      <w:color w:val="auto"/>
                      <w:sz w:val="21"/>
                      <w:szCs w:val="21"/>
                      <w:lang w:eastAsia="zh-CN"/>
                    </w:rPr>
                  </w:pPr>
                  <w:r>
                    <w:rPr>
                      <w:rFonts w:hint="default" w:ascii="Times New Roman" w:hAnsi="Times New Roman" w:cs="Times New Roman"/>
                      <w:color w:val="000000"/>
                      <w:szCs w:val="24"/>
                      <w:lang w:val="en-US" w:eastAsia="zh-CN"/>
                    </w:rPr>
                    <w:t>《恶臭污染物排放标准》（GB14554-93）</w:t>
                  </w:r>
                </w:p>
              </w:tc>
            </w:tr>
            <w:tr w14:paraId="3261DE6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1208" w:type="pct"/>
                  <w:noWrap w:val="0"/>
                  <w:vAlign w:val="center"/>
                </w:tcPr>
                <w:p w14:paraId="6CB3E3B3">
                  <w:pPr>
                    <w:adjustRightInd w:val="0"/>
                    <w:snapToGrid w:val="0"/>
                    <w:spacing w:line="240" w:lineRule="auto"/>
                    <w:ind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氨</w:t>
                  </w:r>
                </w:p>
              </w:tc>
              <w:tc>
                <w:tcPr>
                  <w:tcW w:w="1895" w:type="pct"/>
                  <w:noWrap w:val="0"/>
                  <w:vAlign w:val="center"/>
                </w:tcPr>
                <w:p w14:paraId="1F03F320">
                  <w:pPr>
                    <w:adjustRightInd w:val="0"/>
                    <w:snapToGrid w:val="0"/>
                    <w:spacing w:line="240" w:lineRule="auto"/>
                    <w:ind w:firstLine="0" w:firstLineChars="0"/>
                    <w:jc w:val="center"/>
                    <w:rPr>
                      <w:rFonts w:hint="default"/>
                      <w:b w:val="0"/>
                      <w:i w:val="0"/>
                      <w:color w:val="auto"/>
                      <w:sz w:val="21"/>
                      <w:szCs w:val="21"/>
                      <w:lang w:val="en-US" w:eastAsia="zh-CN"/>
                    </w:rPr>
                  </w:pPr>
                  <w:r>
                    <w:rPr>
                      <w:rFonts w:hint="eastAsia"/>
                      <w:b w:val="0"/>
                      <w:i w:val="0"/>
                      <w:color w:val="auto"/>
                      <w:sz w:val="21"/>
                      <w:szCs w:val="21"/>
                      <w:lang w:val="en-US" w:eastAsia="zh-CN"/>
                    </w:rPr>
                    <w:t>1.5</w:t>
                  </w:r>
                </w:p>
              </w:tc>
              <w:tc>
                <w:tcPr>
                  <w:tcW w:w="1895" w:type="pct"/>
                  <w:vMerge w:val="continue"/>
                  <w:noWrap w:val="0"/>
                  <w:vAlign w:val="center"/>
                </w:tcPr>
                <w:p w14:paraId="131D51A1">
                  <w:pPr>
                    <w:adjustRightInd w:val="0"/>
                    <w:snapToGrid w:val="0"/>
                    <w:spacing w:line="240" w:lineRule="auto"/>
                    <w:ind w:firstLine="0" w:firstLineChars="0"/>
                    <w:jc w:val="center"/>
                    <w:rPr>
                      <w:rFonts w:hint="default" w:ascii="Times New Roman" w:hAnsi="Times New Roman" w:cs="Times New Roman"/>
                      <w:color w:val="000000"/>
                      <w:szCs w:val="24"/>
                      <w:lang w:val="en-US" w:eastAsia="zh-CN"/>
                    </w:rPr>
                  </w:pPr>
                </w:p>
              </w:tc>
            </w:tr>
          </w:tbl>
          <w:p w14:paraId="1AFEAE7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82"/>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2、水污染物排放标准</w:t>
            </w:r>
          </w:p>
          <w:p w14:paraId="51E9F1B5">
            <w:pPr>
              <w:keepNext w:val="0"/>
              <w:keepLines w:val="0"/>
              <w:pageBreakBefore w:val="0"/>
              <w:widowControl w:val="0"/>
              <w:suppressLineNumbers w:val="0"/>
              <w:tabs>
                <w:tab w:val="left" w:pos="5142"/>
              </w:tabs>
              <w:kinsoku/>
              <w:wordWrap/>
              <w:overflowPunct/>
              <w:topLinePunct w:val="0"/>
              <w:autoSpaceDE/>
              <w:autoSpaceDN/>
              <w:bidi w:val="0"/>
              <w:adjustRightInd/>
              <w:snapToGrid w:val="0"/>
              <w:spacing w:before="0" w:beforeAutospacing="0" w:after="0" w:afterAutospacing="0" w:line="360" w:lineRule="auto"/>
              <w:ind w:left="0" w:right="0" w:firstLine="480"/>
              <w:textAlignment w:val="auto"/>
              <w:rPr>
                <w:rFonts w:hint="eastAsia" w:cs="Times New Roman"/>
                <w:color w:val="auto"/>
                <w:sz w:val="21"/>
                <w:szCs w:val="21"/>
                <w:lang w:eastAsia="zh-CN"/>
              </w:rPr>
            </w:pPr>
            <w:r>
              <w:rPr>
                <w:rFonts w:hint="eastAsia" w:cs="Times New Roman"/>
                <w:color w:val="auto"/>
                <w:sz w:val="21"/>
                <w:szCs w:val="21"/>
                <w:lang w:eastAsia="zh-CN"/>
              </w:rPr>
              <w:t>本项目不新增职工，无废水外排</w:t>
            </w:r>
            <w:r>
              <w:rPr>
                <w:rFonts w:hint="default" w:ascii="Times New Roman" w:hAnsi="Times New Roman" w:cs="Times New Roman"/>
                <w:color w:val="auto"/>
                <w:sz w:val="21"/>
                <w:szCs w:val="21"/>
              </w:rPr>
              <w:t>。</w:t>
            </w:r>
            <w:r>
              <w:rPr>
                <w:rFonts w:hint="eastAsia" w:cs="Times New Roman"/>
                <w:color w:val="auto"/>
                <w:sz w:val="21"/>
                <w:szCs w:val="21"/>
                <w:lang w:eastAsia="zh-CN"/>
              </w:rPr>
              <w:t>现有项目实行雨污分流制，污水经处理污水处理站处理后接管至如皋市东部污水处理有限公司，污水预处理后达到《纺织染整工业水污染物排放标准》（</w:t>
            </w:r>
            <w:r>
              <w:rPr>
                <w:rFonts w:hint="eastAsia" w:cs="Times New Roman"/>
                <w:color w:val="auto"/>
                <w:sz w:val="21"/>
                <w:szCs w:val="21"/>
                <w:lang w:val="en-US" w:eastAsia="zh-CN"/>
              </w:rPr>
              <w:t>GB4287-2012</w:t>
            </w:r>
            <w:r>
              <w:rPr>
                <w:rFonts w:hint="eastAsia" w:cs="Times New Roman"/>
                <w:color w:val="auto"/>
                <w:sz w:val="21"/>
                <w:szCs w:val="21"/>
                <w:lang w:eastAsia="zh-CN"/>
              </w:rPr>
              <w:t>）排入污水管网，尾水排入如泰运河。</w:t>
            </w:r>
          </w:p>
          <w:p w14:paraId="0C95BA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表</w:t>
            </w:r>
            <w:r>
              <w:rPr>
                <w:rFonts w:hint="default" w:ascii="Times New Roman" w:hAnsi="Times New Roman" w:eastAsia="宋体" w:cs="Times New Roman"/>
                <w:b/>
                <w:color w:val="auto"/>
                <w:sz w:val="21"/>
                <w:szCs w:val="21"/>
                <w:lang w:val="en-US" w:eastAsia="zh-CN"/>
              </w:rPr>
              <w:t>3-</w:t>
            </w:r>
            <w:r>
              <w:rPr>
                <w:rFonts w:hint="eastAsia" w:cs="Times New Roman"/>
                <w:b/>
                <w:color w:val="auto"/>
                <w:sz w:val="21"/>
                <w:szCs w:val="21"/>
                <w:lang w:val="en-US" w:eastAsia="zh-CN"/>
              </w:rPr>
              <w:t>5</w:t>
            </w:r>
            <w:r>
              <w:rPr>
                <w:rFonts w:hint="default" w:ascii="Times New Roman" w:hAnsi="Times New Roman" w:eastAsia="宋体" w:cs="Times New Roman"/>
                <w:b/>
                <w:color w:val="auto"/>
                <w:sz w:val="21"/>
                <w:szCs w:val="21"/>
                <w:lang w:val="en-US" w:eastAsia="zh-CN"/>
              </w:rPr>
              <w:t xml:space="preserve">  </w:t>
            </w:r>
            <w:r>
              <w:rPr>
                <w:rFonts w:hint="default" w:ascii="Times New Roman" w:hAnsi="Times New Roman" w:eastAsia="宋体" w:cs="Times New Roman"/>
                <w:b/>
                <w:color w:val="auto"/>
                <w:sz w:val="21"/>
                <w:szCs w:val="21"/>
                <w:lang w:eastAsia="zh-CN"/>
              </w:rPr>
              <w:t>如皋市</w:t>
            </w:r>
            <w:r>
              <w:rPr>
                <w:rFonts w:hint="eastAsia" w:ascii="Times New Roman" w:hAnsi="Times New Roman" w:eastAsia="宋体" w:cs="Times New Roman"/>
                <w:b/>
                <w:color w:val="auto"/>
                <w:sz w:val="21"/>
                <w:szCs w:val="21"/>
                <w:lang w:eastAsia="zh-CN"/>
              </w:rPr>
              <w:t>东部污水处理有限公司</w:t>
            </w:r>
            <w:r>
              <w:rPr>
                <w:rFonts w:hint="default" w:ascii="Times New Roman" w:hAnsi="Times New Roman" w:eastAsia="宋体" w:cs="Times New Roman"/>
                <w:b/>
                <w:color w:val="auto"/>
                <w:sz w:val="21"/>
                <w:szCs w:val="21"/>
              </w:rPr>
              <w:t>接管要求和尾水排放标准</w:t>
            </w:r>
          </w:p>
          <w:tbl>
            <w:tblPr>
              <w:tblStyle w:val="23"/>
              <w:tblW w:w="4998" w:type="pct"/>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57" w:type="dxa"/>
                <w:bottom w:w="0" w:type="dxa"/>
                <w:right w:w="57" w:type="dxa"/>
              </w:tblCellMar>
            </w:tblPr>
            <w:tblGrid>
              <w:gridCol w:w="1560"/>
              <w:gridCol w:w="1278"/>
              <w:gridCol w:w="2499"/>
              <w:gridCol w:w="2660"/>
            </w:tblGrid>
            <w:tr w14:paraId="76CFA6E5">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57" w:type="dxa"/>
                  <w:bottom w:w="0" w:type="dxa"/>
                  <w:right w:w="57" w:type="dxa"/>
                </w:tblCellMar>
              </w:tblPrEx>
              <w:trPr>
                <w:trHeight w:val="340" w:hRule="atLeast"/>
                <w:jc w:val="center"/>
              </w:trPr>
              <w:tc>
                <w:tcPr>
                  <w:tcW w:w="975" w:type="pct"/>
                  <w:vMerge w:val="restart"/>
                  <w:noWrap w:val="0"/>
                  <w:vAlign w:val="center"/>
                </w:tcPr>
                <w:p w14:paraId="7694C25B">
                  <w:pPr>
                    <w:adjustRightInd w:val="0"/>
                    <w:snapToGrid w:val="0"/>
                    <w:spacing w:line="240" w:lineRule="auto"/>
                    <w:ind w:firstLine="0" w:firstLineChars="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污染物名称</w:t>
                  </w:r>
                </w:p>
              </w:tc>
              <w:tc>
                <w:tcPr>
                  <w:tcW w:w="799" w:type="pct"/>
                  <w:vMerge w:val="restart"/>
                  <w:noWrap w:val="0"/>
                  <w:vAlign w:val="center"/>
                </w:tcPr>
                <w:p w14:paraId="6D2ADF09">
                  <w:pPr>
                    <w:adjustRightInd w:val="0"/>
                    <w:snapToGrid w:val="0"/>
                    <w:spacing w:line="240" w:lineRule="auto"/>
                    <w:ind w:firstLine="0" w:firstLineChars="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单位</w:t>
                  </w:r>
                </w:p>
              </w:tc>
              <w:tc>
                <w:tcPr>
                  <w:tcW w:w="1562" w:type="pct"/>
                  <w:noWrap w:val="0"/>
                  <w:vAlign w:val="center"/>
                </w:tcPr>
                <w:p w14:paraId="4F320857">
                  <w:pPr>
                    <w:adjustRightInd w:val="0"/>
                    <w:snapToGrid w:val="0"/>
                    <w:spacing w:line="240" w:lineRule="auto"/>
                    <w:ind w:firstLine="0" w:firstLineChars="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接管要求</w:t>
                  </w:r>
                </w:p>
              </w:tc>
              <w:tc>
                <w:tcPr>
                  <w:tcW w:w="1662" w:type="pct"/>
                  <w:noWrap w:val="0"/>
                  <w:vAlign w:val="center"/>
                </w:tcPr>
                <w:p w14:paraId="567DFF18">
                  <w:pPr>
                    <w:adjustRightInd w:val="0"/>
                    <w:snapToGrid w:val="0"/>
                    <w:spacing w:line="240" w:lineRule="auto"/>
                    <w:ind w:firstLine="0" w:firstLineChars="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尾水排放标准</w:t>
                  </w:r>
                </w:p>
              </w:tc>
            </w:tr>
            <w:tr w14:paraId="27305913">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57" w:type="dxa"/>
                  <w:bottom w:w="0" w:type="dxa"/>
                  <w:right w:w="57" w:type="dxa"/>
                </w:tblCellMar>
              </w:tblPrEx>
              <w:trPr>
                <w:trHeight w:val="340" w:hRule="atLeast"/>
                <w:jc w:val="center"/>
              </w:trPr>
              <w:tc>
                <w:tcPr>
                  <w:tcW w:w="975" w:type="pct"/>
                  <w:vMerge w:val="continue"/>
                  <w:noWrap w:val="0"/>
                  <w:vAlign w:val="center"/>
                </w:tcPr>
                <w:p w14:paraId="7ED75E59">
                  <w:pPr>
                    <w:widowControl/>
                    <w:spacing w:line="240" w:lineRule="auto"/>
                    <w:ind w:firstLine="0" w:firstLineChars="0"/>
                    <w:jc w:val="left"/>
                    <w:rPr>
                      <w:rFonts w:hint="default" w:ascii="Times New Roman" w:hAnsi="Times New Roman" w:eastAsia="宋体" w:cs="Times New Roman"/>
                      <w:b/>
                      <w:color w:val="auto"/>
                      <w:sz w:val="21"/>
                      <w:szCs w:val="21"/>
                    </w:rPr>
                  </w:pPr>
                </w:p>
              </w:tc>
              <w:tc>
                <w:tcPr>
                  <w:tcW w:w="799" w:type="pct"/>
                  <w:vMerge w:val="continue"/>
                  <w:noWrap w:val="0"/>
                  <w:vAlign w:val="center"/>
                </w:tcPr>
                <w:p w14:paraId="4E1F254C">
                  <w:pPr>
                    <w:widowControl/>
                    <w:spacing w:line="240" w:lineRule="auto"/>
                    <w:ind w:firstLine="0" w:firstLineChars="0"/>
                    <w:jc w:val="left"/>
                    <w:rPr>
                      <w:rFonts w:hint="default" w:ascii="Times New Roman" w:hAnsi="Times New Roman" w:eastAsia="宋体" w:cs="Times New Roman"/>
                      <w:b/>
                      <w:color w:val="auto"/>
                      <w:sz w:val="21"/>
                      <w:szCs w:val="21"/>
                    </w:rPr>
                  </w:pPr>
                </w:p>
              </w:tc>
              <w:tc>
                <w:tcPr>
                  <w:tcW w:w="1562" w:type="pct"/>
                  <w:noWrap w:val="0"/>
                  <w:vAlign w:val="center"/>
                </w:tcPr>
                <w:p w14:paraId="27D69F59">
                  <w:pPr>
                    <w:adjustRightInd w:val="0"/>
                    <w:snapToGrid w:val="0"/>
                    <w:spacing w:line="240" w:lineRule="auto"/>
                    <w:ind w:firstLine="0" w:firstLineChars="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《纺织染整工业水污染物排放标准》</w:t>
                  </w:r>
                </w:p>
                <w:p w14:paraId="4E841E3B">
                  <w:pPr>
                    <w:adjustRightInd w:val="0"/>
                    <w:snapToGrid w:val="0"/>
                    <w:spacing w:line="240" w:lineRule="auto"/>
                    <w:ind w:firstLine="0" w:firstLineChars="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（GB4287-2012）</w:t>
                  </w:r>
                </w:p>
              </w:tc>
              <w:tc>
                <w:tcPr>
                  <w:tcW w:w="1662" w:type="pct"/>
                  <w:noWrap w:val="0"/>
                  <w:vAlign w:val="center"/>
                </w:tcPr>
                <w:p w14:paraId="0C447183">
                  <w:pPr>
                    <w:adjustRightInd w:val="0"/>
                    <w:snapToGrid w:val="0"/>
                    <w:spacing w:line="320" w:lineRule="exact"/>
                    <w:ind w:firstLine="0" w:firstLineChars="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《城镇污水处理厂污染物排放标准》（GB18918-2002）中一级</w:t>
                  </w:r>
                  <w:r>
                    <w:rPr>
                      <w:rFonts w:hint="default" w:ascii="Times New Roman" w:hAnsi="Times New Roman" w:eastAsia="宋体" w:cs="Times New Roman"/>
                      <w:b/>
                      <w:color w:val="auto"/>
                      <w:sz w:val="21"/>
                      <w:szCs w:val="21"/>
                      <w:lang w:val="en-US" w:eastAsia="zh-CN"/>
                    </w:rPr>
                    <w:t>A</w:t>
                  </w:r>
                  <w:r>
                    <w:rPr>
                      <w:rFonts w:hint="default" w:ascii="Times New Roman" w:hAnsi="Times New Roman" w:eastAsia="宋体" w:cs="Times New Roman"/>
                      <w:b/>
                      <w:color w:val="auto"/>
                      <w:sz w:val="21"/>
                      <w:szCs w:val="21"/>
                    </w:rPr>
                    <w:t>标准</w:t>
                  </w:r>
                </w:p>
              </w:tc>
            </w:tr>
            <w:tr w14:paraId="62C2692D">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57" w:type="dxa"/>
                  <w:bottom w:w="0" w:type="dxa"/>
                  <w:right w:w="57" w:type="dxa"/>
                </w:tblCellMar>
              </w:tblPrEx>
              <w:trPr>
                <w:trHeight w:val="340" w:hRule="atLeast"/>
                <w:jc w:val="center"/>
              </w:trPr>
              <w:tc>
                <w:tcPr>
                  <w:tcW w:w="975" w:type="pct"/>
                  <w:noWrap w:val="0"/>
                  <w:vAlign w:val="center"/>
                </w:tcPr>
                <w:p w14:paraId="7A2FC81D">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pH</w:t>
                  </w:r>
                </w:p>
              </w:tc>
              <w:tc>
                <w:tcPr>
                  <w:tcW w:w="799" w:type="pct"/>
                  <w:noWrap w:val="0"/>
                  <w:vAlign w:val="center"/>
                </w:tcPr>
                <w:p w14:paraId="25330BA6">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62" w:type="pct"/>
                  <w:noWrap w:val="0"/>
                  <w:vAlign w:val="center"/>
                </w:tcPr>
                <w:p w14:paraId="55DBFA4C">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6~9</w:t>
                  </w:r>
                </w:p>
              </w:tc>
              <w:tc>
                <w:tcPr>
                  <w:tcW w:w="1662" w:type="pct"/>
                  <w:noWrap w:val="0"/>
                  <w:vAlign w:val="center"/>
                </w:tcPr>
                <w:p w14:paraId="636E9312">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6~9</w:t>
                  </w:r>
                </w:p>
              </w:tc>
            </w:tr>
            <w:tr w14:paraId="2ACD85A3">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57" w:type="dxa"/>
                  <w:bottom w:w="0" w:type="dxa"/>
                  <w:right w:w="57" w:type="dxa"/>
                </w:tblCellMar>
              </w:tblPrEx>
              <w:trPr>
                <w:trHeight w:val="340" w:hRule="atLeast"/>
                <w:jc w:val="center"/>
              </w:trPr>
              <w:tc>
                <w:tcPr>
                  <w:tcW w:w="975" w:type="pct"/>
                  <w:noWrap w:val="0"/>
                  <w:vAlign w:val="center"/>
                </w:tcPr>
                <w:p w14:paraId="32B857BA">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COD</w:t>
                  </w:r>
                </w:p>
              </w:tc>
              <w:tc>
                <w:tcPr>
                  <w:tcW w:w="799" w:type="pct"/>
                  <w:noWrap w:val="0"/>
                  <w:vAlign w:val="center"/>
                </w:tcPr>
                <w:p w14:paraId="778C37AA">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62" w:type="pct"/>
                  <w:noWrap w:val="0"/>
                  <w:vAlign w:val="center"/>
                </w:tcPr>
                <w:p w14:paraId="74C8D4A0">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200</w:t>
                  </w:r>
                </w:p>
              </w:tc>
              <w:tc>
                <w:tcPr>
                  <w:tcW w:w="1662" w:type="pct"/>
                  <w:noWrap w:val="0"/>
                  <w:vAlign w:val="center"/>
                </w:tcPr>
                <w:p w14:paraId="33764E93">
                  <w:pPr>
                    <w:adjustRightInd w:val="0"/>
                    <w:snapToGrid w:val="0"/>
                    <w:spacing w:line="320" w:lineRule="exac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w:t>
                  </w:r>
                </w:p>
              </w:tc>
            </w:tr>
            <w:tr w14:paraId="075C73FB">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57" w:type="dxa"/>
                  <w:bottom w:w="0" w:type="dxa"/>
                  <w:right w:w="57" w:type="dxa"/>
                </w:tblCellMar>
              </w:tblPrEx>
              <w:trPr>
                <w:trHeight w:val="340" w:hRule="atLeast"/>
                <w:jc w:val="center"/>
              </w:trPr>
              <w:tc>
                <w:tcPr>
                  <w:tcW w:w="975" w:type="pct"/>
                  <w:noWrap w:val="0"/>
                  <w:vAlign w:val="center"/>
                </w:tcPr>
                <w:p w14:paraId="4C29A6DF">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BOD</w:t>
                  </w:r>
                  <w:r>
                    <w:rPr>
                      <w:rFonts w:hint="eastAsia" w:ascii="Times New Roman" w:hAnsi="Times New Roman" w:eastAsia="宋体" w:cs="Times New Roman"/>
                      <w:color w:val="auto"/>
                      <w:sz w:val="21"/>
                      <w:szCs w:val="21"/>
                      <w:vertAlign w:val="subscript"/>
                      <w:lang w:val="en-US" w:eastAsia="zh-CN"/>
                    </w:rPr>
                    <w:t>5</w:t>
                  </w:r>
                </w:p>
              </w:tc>
              <w:tc>
                <w:tcPr>
                  <w:tcW w:w="799" w:type="pct"/>
                  <w:noWrap w:val="0"/>
                  <w:vAlign w:val="center"/>
                </w:tcPr>
                <w:p w14:paraId="2A5FCF19">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62" w:type="pct"/>
                  <w:noWrap w:val="0"/>
                  <w:vAlign w:val="center"/>
                </w:tcPr>
                <w:p w14:paraId="7EC065A0">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50</w:t>
                  </w:r>
                </w:p>
              </w:tc>
              <w:tc>
                <w:tcPr>
                  <w:tcW w:w="1662" w:type="pct"/>
                  <w:noWrap w:val="0"/>
                  <w:vAlign w:val="center"/>
                </w:tcPr>
                <w:p w14:paraId="264D686C">
                  <w:pPr>
                    <w:adjustRightInd w:val="0"/>
                    <w:snapToGrid w:val="0"/>
                    <w:spacing w:line="320" w:lineRule="exact"/>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w:t>
                  </w:r>
                </w:p>
              </w:tc>
            </w:tr>
            <w:tr w14:paraId="2FDDA4E3">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57" w:type="dxa"/>
                  <w:bottom w:w="0" w:type="dxa"/>
                  <w:right w:w="57" w:type="dxa"/>
                </w:tblCellMar>
              </w:tblPrEx>
              <w:trPr>
                <w:trHeight w:val="340" w:hRule="atLeast"/>
                <w:jc w:val="center"/>
              </w:trPr>
              <w:tc>
                <w:tcPr>
                  <w:tcW w:w="975" w:type="pct"/>
                  <w:noWrap w:val="0"/>
                  <w:vAlign w:val="center"/>
                </w:tcPr>
                <w:p w14:paraId="44578F53">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SS</w:t>
                  </w:r>
                </w:p>
              </w:tc>
              <w:tc>
                <w:tcPr>
                  <w:tcW w:w="799" w:type="pct"/>
                  <w:noWrap w:val="0"/>
                  <w:vAlign w:val="center"/>
                </w:tcPr>
                <w:p w14:paraId="0B964435">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62" w:type="pct"/>
                  <w:noWrap w:val="0"/>
                  <w:vAlign w:val="center"/>
                </w:tcPr>
                <w:p w14:paraId="2B9532BB">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w:t>
                  </w:r>
                </w:p>
              </w:tc>
              <w:tc>
                <w:tcPr>
                  <w:tcW w:w="1662" w:type="pct"/>
                  <w:noWrap w:val="0"/>
                  <w:vAlign w:val="center"/>
                </w:tcPr>
                <w:p w14:paraId="233EE373">
                  <w:pPr>
                    <w:adjustRightInd w:val="0"/>
                    <w:snapToGrid w:val="0"/>
                    <w:spacing w:line="320" w:lineRule="exac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p>
              </w:tc>
            </w:tr>
            <w:tr w14:paraId="08D66A34">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57" w:type="dxa"/>
                  <w:bottom w:w="0" w:type="dxa"/>
                  <w:right w:w="57" w:type="dxa"/>
                </w:tblCellMar>
              </w:tblPrEx>
              <w:trPr>
                <w:trHeight w:val="90" w:hRule="atLeast"/>
                <w:jc w:val="center"/>
              </w:trPr>
              <w:tc>
                <w:tcPr>
                  <w:tcW w:w="975" w:type="pct"/>
                  <w:noWrap w:val="0"/>
                  <w:vAlign w:val="center"/>
                </w:tcPr>
                <w:p w14:paraId="70A6121E">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NH</w:t>
                  </w:r>
                  <w:r>
                    <w:rPr>
                      <w:rFonts w:hint="default" w:ascii="Times New Roman" w:hAnsi="Times New Roman" w:eastAsia="宋体" w:cs="Times New Roman"/>
                      <w:color w:val="auto"/>
                      <w:sz w:val="21"/>
                      <w:szCs w:val="21"/>
                      <w:vertAlign w:val="subscript"/>
                    </w:rPr>
                    <w:t>3</w:t>
                  </w:r>
                  <w:r>
                    <w:rPr>
                      <w:rFonts w:hint="default" w:ascii="Times New Roman" w:hAnsi="Times New Roman" w:eastAsia="宋体" w:cs="Times New Roman"/>
                      <w:color w:val="auto"/>
                      <w:sz w:val="21"/>
                      <w:szCs w:val="21"/>
                    </w:rPr>
                    <w:t>-N</w:t>
                  </w:r>
                </w:p>
              </w:tc>
              <w:tc>
                <w:tcPr>
                  <w:tcW w:w="799" w:type="pct"/>
                  <w:noWrap w:val="0"/>
                  <w:vAlign w:val="center"/>
                </w:tcPr>
                <w:p w14:paraId="57F28747">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62" w:type="pct"/>
                  <w:noWrap w:val="0"/>
                  <w:vAlign w:val="center"/>
                </w:tcPr>
                <w:p w14:paraId="77192A99">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w:t>
                  </w:r>
                </w:p>
              </w:tc>
              <w:tc>
                <w:tcPr>
                  <w:tcW w:w="1662" w:type="pct"/>
                  <w:noWrap w:val="0"/>
                  <w:vAlign w:val="center"/>
                </w:tcPr>
                <w:p w14:paraId="1EB44853">
                  <w:pPr>
                    <w:adjustRightInd w:val="0"/>
                    <w:snapToGrid w:val="0"/>
                    <w:spacing w:line="320" w:lineRule="exac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5（8）</w:t>
                  </w:r>
                  <w:r>
                    <w:rPr>
                      <w:rFonts w:hint="eastAsia" w:ascii="宋体" w:hAnsi="宋体" w:eastAsia="宋体" w:cs="宋体"/>
                      <w:color w:val="auto"/>
                      <w:sz w:val="21"/>
                      <w:szCs w:val="21"/>
                      <w:vertAlign w:val="superscript"/>
                    </w:rPr>
                    <w:t>①</w:t>
                  </w:r>
                </w:p>
              </w:tc>
            </w:tr>
            <w:tr w14:paraId="5171988D">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57" w:type="dxa"/>
                  <w:bottom w:w="0" w:type="dxa"/>
                  <w:right w:w="57" w:type="dxa"/>
                </w:tblCellMar>
              </w:tblPrEx>
              <w:trPr>
                <w:trHeight w:val="340" w:hRule="atLeast"/>
                <w:jc w:val="center"/>
              </w:trPr>
              <w:tc>
                <w:tcPr>
                  <w:tcW w:w="975" w:type="pct"/>
                  <w:noWrap w:val="0"/>
                  <w:vAlign w:val="center"/>
                </w:tcPr>
                <w:p w14:paraId="1F2BBEE9">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TP</w:t>
                  </w:r>
                </w:p>
              </w:tc>
              <w:tc>
                <w:tcPr>
                  <w:tcW w:w="799" w:type="pct"/>
                  <w:noWrap w:val="0"/>
                  <w:vAlign w:val="center"/>
                </w:tcPr>
                <w:p w14:paraId="5DF6975A">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62" w:type="pct"/>
                  <w:noWrap w:val="0"/>
                  <w:vAlign w:val="center"/>
                </w:tcPr>
                <w:p w14:paraId="5DF224E4">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1.5</w:t>
                  </w:r>
                </w:p>
              </w:tc>
              <w:tc>
                <w:tcPr>
                  <w:tcW w:w="1662" w:type="pct"/>
                  <w:noWrap w:val="0"/>
                  <w:vAlign w:val="center"/>
                </w:tcPr>
                <w:p w14:paraId="2E8D5E74">
                  <w:pPr>
                    <w:adjustRightInd w:val="0"/>
                    <w:snapToGrid w:val="0"/>
                    <w:spacing w:line="320" w:lineRule="exact"/>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0.5</w:t>
                  </w:r>
                </w:p>
              </w:tc>
            </w:tr>
            <w:tr w14:paraId="4FC38483">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57" w:type="dxa"/>
                  <w:bottom w:w="0" w:type="dxa"/>
                  <w:right w:w="57" w:type="dxa"/>
                </w:tblCellMar>
              </w:tblPrEx>
              <w:trPr>
                <w:trHeight w:val="90" w:hRule="atLeast"/>
                <w:jc w:val="center"/>
              </w:trPr>
              <w:tc>
                <w:tcPr>
                  <w:tcW w:w="975" w:type="pct"/>
                  <w:noWrap w:val="0"/>
                  <w:vAlign w:val="center"/>
                </w:tcPr>
                <w:p w14:paraId="50F43C37">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TN</w:t>
                  </w:r>
                </w:p>
              </w:tc>
              <w:tc>
                <w:tcPr>
                  <w:tcW w:w="799" w:type="pct"/>
                  <w:noWrap w:val="0"/>
                  <w:vAlign w:val="center"/>
                </w:tcPr>
                <w:p w14:paraId="591D66D5">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62" w:type="pct"/>
                  <w:noWrap w:val="0"/>
                  <w:vAlign w:val="center"/>
                </w:tcPr>
                <w:p w14:paraId="5B623B9C">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w:t>
                  </w:r>
                </w:p>
              </w:tc>
              <w:tc>
                <w:tcPr>
                  <w:tcW w:w="1662" w:type="pct"/>
                  <w:noWrap w:val="0"/>
                  <w:vAlign w:val="center"/>
                </w:tcPr>
                <w:p w14:paraId="0A8CE7A1">
                  <w:pPr>
                    <w:adjustRightInd w:val="0"/>
                    <w:snapToGrid w:val="0"/>
                    <w:spacing w:line="320" w:lineRule="exact"/>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w:t>
                  </w:r>
                </w:p>
              </w:tc>
            </w:tr>
            <w:tr w14:paraId="065F31B1">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57" w:type="dxa"/>
                  <w:bottom w:w="0" w:type="dxa"/>
                  <w:right w:w="57" w:type="dxa"/>
                </w:tblCellMar>
              </w:tblPrEx>
              <w:trPr>
                <w:trHeight w:val="340" w:hRule="atLeast"/>
                <w:jc w:val="center"/>
              </w:trPr>
              <w:tc>
                <w:tcPr>
                  <w:tcW w:w="975" w:type="pct"/>
                  <w:noWrap w:val="0"/>
                  <w:vAlign w:val="center"/>
                </w:tcPr>
                <w:p w14:paraId="1D3EEDF0">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苯胺类</w:t>
                  </w:r>
                </w:p>
              </w:tc>
              <w:tc>
                <w:tcPr>
                  <w:tcW w:w="1278" w:type="dxa"/>
                  <w:noWrap w:val="0"/>
                  <w:vAlign w:val="center"/>
                </w:tcPr>
                <w:p w14:paraId="24C73FA7">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62" w:type="pct"/>
                  <w:noWrap w:val="0"/>
                  <w:vAlign w:val="center"/>
                </w:tcPr>
                <w:p w14:paraId="4FE119F4">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w:t>
                  </w:r>
                </w:p>
              </w:tc>
              <w:tc>
                <w:tcPr>
                  <w:tcW w:w="1662" w:type="pct"/>
                  <w:noWrap w:val="0"/>
                  <w:vAlign w:val="center"/>
                </w:tcPr>
                <w:p w14:paraId="049914A0">
                  <w:pPr>
                    <w:adjustRightInd w:val="0"/>
                    <w:snapToGrid w:val="0"/>
                    <w:spacing w:line="320" w:lineRule="exact"/>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0.5</w:t>
                  </w:r>
                </w:p>
              </w:tc>
            </w:tr>
            <w:tr w14:paraId="49C854EB">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57" w:type="dxa"/>
                  <w:bottom w:w="0" w:type="dxa"/>
                  <w:right w:w="57" w:type="dxa"/>
                </w:tblCellMar>
              </w:tblPrEx>
              <w:trPr>
                <w:trHeight w:val="340" w:hRule="atLeast"/>
                <w:jc w:val="center"/>
              </w:trPr>
              <w:tc>
                <w:tcPr>
                  <w:tcW w:w="975" w:type="pct"/>
                  <w:noWrap w:val="0"/>
                  <w:vAlign w:val="center"/>
                </w:tcPr>
                <w:p w14:paraId="7C412C15">
                  <w:pPr>
                    <w:adjustRightInd w:val="0"/>
                    <w:snapToGrid w:val="0"/>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硫化物</w:t>
                  </w:r>
                </w:p>
              </w:tc>
              <w:tc>
                <w:tcPr>
                  <w:tcW w:w="1278" w:type="dxa"/>
                  <w:noWrap w:val="0"/>
                  <w:vAlign w:val="center"/>
                </w:tcPr>
                <w:p w14:paraId="0E4B598B">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62" w:type="pct"/>
                  <w:noWrap w:val="0"/>
                  <w:vAlign w:val="center"/>
                </w:tcPr>
                <w:p w14:paraId="2044C0F8">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0.5</w:t>
                  </w:r>
                </w:p>
              </w:tc>
              <w:tc>
                <w:tcPr>
                  <w:tcW w:w="1662" w:type="pct"/>
                  <w:noWrap w:val="0"/>
                  <w:vAlign w:val="center"/>
                </w:tcPr>
                <w:p w14:paraId="0ACA6C05">
                  <w:pPr>
                    <w:adjustRightInd w:val="0"/>
                    <w:snapToGrid w:val="0"/>
                    <w:spacing w:line="320" w:lineRule="exact"/>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w:t>
                  </w:r>
                </w:p>
              </w:tc>
            </w:tr>
            <w:tr w14:paraId="3D123A81">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57" w:type="dxa"/>
                  <w:bottom w:w="0" w:type="dxa"/>
                  <w:right w:w="57" w:type="dxa"/>
                </w:tblCellMar>
              </w:tblPrEx>
              <w:trPr>
                <w:trHeight w:val="340" w:hRule="atLeast"/>
                <w:jc w:val="center"/>
              </w:trPr>
              <w:tc>
                <w:tcPr>
                  <w:tcW w:w="975" w:type="pct"/>
                  <w:noWrap w:val="0"/>
                  <w:vAlign w:val="center"/>
                </w:tcPr>
                <w:p w14:paraId="048B8A81">
                  <w:pPr>
                    <w:adjustRightInd w:val="0"/>
                    <w:snapToGrid w:val="0"/>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二氧化氯</w:t>
                  </w:r>
                </w:p>
              </w:tc>
              <w:tc>
                <w:tcPr>
                  <w:tcW w:w="1278" w:type="dxa"/>
                  <w:noWrap w:val="0"/>
                  <w:vAlign w:val="center"/>
                </w:tcPr>
                <w:p w14:paraId="74A4B551">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1562" w:type="pct"/>
                  <w:noWrap w:val="0"/>
                  <w:vAlign w:val="center"/>
                </w:tcPr>
                <w:p w14:paraId="3CDB25BA">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w:t>
                  </w:r>
                  <w:r>
                    <w:rPr>
                      <w:rFonts w:hint="eastAsia"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5</w:t>
                  </w:r>
                </w:p>
              </w:tc>
              <w:tc>
                <w:tcPr>
                  <w:tcW w:w="1662" w:type="pct"/>
                  <w:noWrap w:val="0"/>
                  <w:vAlign w:val="center"/>
                </w:tcPr>
                <w:p w14:paraId="4BE11F4A">
                  <w:pPr>
                    <w:adjustRightInd w:val="0"/>
                    <w:snapToGrid w:val="0"/>
                    <w:spacing w:line="320" w:lineRule="exact"/>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r>
            <w:tr w14:paraId="072D118D">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57" w:type="dxa"/>
                  <w:bottom w:w="0" w:type="dxa"/>
                  <w:right w:w="57" w:type="dxa"/>
                </w:tblCellMar>
              </w:tblPrEx>
              <w:trPr>
                <w:trHeight w:val="340" w:hRule="atLeast"/>
                <w:jc w:val="center"/>
              </w:trPr>
              <w:tc>
                <w:tcPr>
                  <w:tcW w:w="975" w:type="pct"/>
                  <w:noWrap w:val="0"/>
                  <w:vAlign w:val="center"/>
                </w:tcPr>
                <w:p w14:paraId="7B02F01D">
                  <w:pPr>
                    <w:adjustRightInd w:val="0"/>
                    <w:snapToGrid w:val="0"/>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色度</w:t>
                  </w:r>
                </w:p>
              </w:tc>
              <w:tc>
                <w:tcPr>
                  <w:tcW w:w="1278" w:type="dxa"/>
                  <w:noWrap w:val="0"/>
                  <w:vAlign w:val="center"/>
                </w:tcPr>
                <w:p w14:paraId="6DEE112E">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62" w:type="pct"/>
                  <w:noWrap w:val="0"/>
                  <w:vAlign w:val="center"/>
                </w:tcPr>
                <w:p w14:paraId="025E060F">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80</w:t>
                  </w:r>
                </w:p>
              </w:tc>
              <w:tc>
                <w:tcPr>
                  <w:tcW w:w="1662" w:type="pct"/>
                  <w:noWrap w:val="0"/>
                  <w:vAlign w:val="center"/>
                </w:tcPr>
                <w:p w14:paraId="726ECD7E">
                  <w:pPr>
                    <w:adjustRightInd w:val="0"/>
                    <w:snapToGrid w:val="0"/>
                    <w:spacing w:line="320" w:lineRule="exact"/>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w:t>
                  </w:r>
                </w:p>
              </w:tc>
            </w:tr>
          </w:tbl>
          <w:p w14:paraId="4D9A9CA5">
            <w:pPr>
              <w:keepNext w:val="0"/>
              <w:keepLines w:val="0"/>
              <w:pageBreakBefore w:val="0"/>
              <w:widowControl w:val="0"/>
              <w:tabs>
                <w:tab w:val="left" w:pos="5142"/>
              </w:tabs>
              <w:kinsoku/>
              <w:wordWrap/>
              <w:overflowPunct/>
              <w:topLinePunct w:val="0"/>
              <w:autoSpaceDE/>
              <w:autoSpaceDN/>
              <w:bidi w:val="0"/>
              <w:spacing w:line="240" w:lineRule="auto"/>
              <w:ind w:firstLine="360" w:firstLineChars="200"/>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注：①尾水排放标准中括号外数值为水温&gt;12℃时的控制指标，括号内的数值为水温≤12℃时的控制指标。</w:t>
            </w:r>
          </w:p>
          <w:p w14:paraId="5055418F">
            <w:pPr>
              <w:pStyle w:val="3"/>
              <w:rPr>
                <w:rFonts w:hint="eastAsia"/>
                <w:lang w:eastAsia="zh-CN"/>
              </w:rPr>
            </w:pPr>
          </w:p>
          <w:p w14:paraId="41FB37DB">
            <w:pPr>
              <w:keepNext w:val="0"/>
              <w:keepLines w:val="0"/>
              <w:pageBreakBefore w:val="0"/>
              <w:widowControl w:val="0"/>
              <w:suppressLineNumbers w:val="0"/>
              <w:tabs>
                <w:tab w:val="left" w:pos="5142"/>
              </w:tabs>
              <w:kinsoku/>
              <w:wordWrap/>
              <w:overflowPunct/>
              <w:topLinePunct w:val="0"/>
              <w:autoSpaceDE/>
              <w:autoSpaceDN/>
              <w:bidi w:val="0"/>
              <w:adjustRightInd/>
              <w:snapToGrid w:val="0"/>
              <w:spacing w:before="0" w:beforeAutospacing="0" w:after="0" w:afterAutospacing="0" w:line="360" w:lineRule="auto"/>
              <w:ind w:left="0" w:right="0" w:firstLine="482"/>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3、噪声排放标准</w:t>
            </w:r>
          </w:p>
          <w:p w14:paraId="60815D9F">
            <w:pPr>
              <w:keepNext w:val="0"/>
              <w:keepLines w:val="0"/>
              <w:pageBreakBefore w:val="0"/>
              <w:widowControl w:val="0"/>
              <w:suppressLineNumbers w:val="0"/>
              <w:tabs>
                <w:tab w:val="left" w:pos="5142"/>
              </w:tabs>
              <w:kinsoku/>
              <w:wordWrap/>
              <w:overflowPunct/>
              <w:topLinePunct w:val="0"/>
              <w:autoSpaceDE/>
              <w:autoSpaceDN/>
              <w:bidi w:val="0"/>
              <w:adjustRightInd/>
              <w:snapToGrid w:val="0"/>
              <w:spacing w:before="0" w:beforeAutospacing="0" w:after="0" w:afterAutospacing="0" w:line="360" w:lineRule="auto"/>
              <w:ind w:left="0" w:right="0" w:firstLine="482"/>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根据项目所在地声环境功能区划，</w:t>
            </w:r>
            <w:r>
              <w:rPr>
                <w:rFonts w:hint="default" w:ascii="Times New Roman" w:hAnsi="Times New Roman" w:cs="Times New Roman"/>
                <w:color w:val="auto"/>
                <w:sz w:val="21"/>
                <w:szCs w:val="21"/>
                <w:lang w:val="en-US" w:eastAsia="zh-CN"/>
              </w:rPr>
              <w:t>运营期</w:t>
            </w:r>
            <w:r>
              <w:rPr>
                <w:rFonts w:hint="default" w:ascii="Times New Roman" w:hAnsi="Times New Roman" w:cs="Times New Roman"/>
                <w:color w:val="auto"/>
                <w:sz w:val="21"/>
                <w:szCs w:val="21"/>
                <w:lang w:eastAsia="zh-CN"/>
              </w:rPr>
              <w:t>本项目</w:t>
            </w:r>
            <w:r>
              <w:rPr>
                <w:rFonts w:hint="default" w:ascii="Times New Roman" w:hAnsi="Times New Roman" w:cs="Times New Roman"/>
                <w:color w:val="auto"/>
                <w:sz w:val="21"/>
                <w:szCs w:val="21"/>
              </w:rPr>
              <w:t>厂界噪声排放执行《工业企业厂界环境噪声排放标准》（GB12348-2008）中</w:t>
            </w:r>
            <w:r>
              <w:rPr>
                <w:rFonts w:hint="eastAsia"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rPr>
              <w:t>类标准。具体见表</w:t>
            </w:r>
            <w:r>
              <w:rPr>
                <w:rFonts w:hint="default" w:ascii="Times New Roman" w:hAnsi="Times New Roman" w:cs="Times New Roman"/>
                <w:color w:val="auto"/>
                <w:sz w:val="21"/>
                <w:szCs w:val="21"/>
                <w:lang w:val="en-US" w:eastAsia="zh-CN"/>
              </w:rPr>
              <w:t>3-</w:t>
            </w:r>
            <w:r>
              <w:rPr>
                <w:rFonts w:hint="eastAsia" w:cs="Times New Roman"/>
                <w:color w:val="auto"/>
                <w:sz w:val="21"/>
                <w:szCs w:val="21"/>
                <w:lang w:val="en-US" w:eastAsia="zh-CN"/>
              </w:rPr>
              <w:t>6</w:t>
            </w:r>
            <w:r>
              <w:rPr>
                <w:rFonts w:hint="default" w:ascii="Times New Roman" w:hAnsi="Times New Roman" w:cs="Times New Roman"/>
                <w:color w:val="auto"/>
                <w:sz w:val="21"/>
                <w:szCs w:val="21"/>
              </w:rPr>
              <w:t>。</w:t>
            </w:r>
          </w:p>
          <w:p w14:paraId="081CB858">
            <w:pPr>
              <w:keepNext w:val="0"/>
              <w:keepLines w:val="0"/>
              <w:pageBreakBefore w:val="0"/>
              <w:suppressLineNumbers w:val="0"/>
              <w:tabs>
                <w:tab w:val="left" w:pos="5142"/>
              </w:tabs>
              <w:kinsoku/>
              <w:wordWrap/>
              <w:overflowPunct/>
              <w:topLinePunct w:val="0"/>
              <w:autoSpaceDE/>
              <w:autoSpaceDN/>
              <w:bidi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表</w:t>
            </w:r>
            <w:r>
              <w:rPr>
                <w:rFonts w:hint="default" w:ascii="Times New Roman" w:hAnsi="Times New Roman" w:cs="Times New Roman"/>
                <w:b/>
                <w:color w:val="auto"/>
                <w:sz w:val="21"/>
                <w:szCs w:val="21"/>
                <w:lang w:val="en-US" w:eastAsia="zh-CN"/>
              </w:rPr>
              <w:t>3-</w:t>
            </w:r>
            <w:r>
              <w:rPr>
                <w:rFonts w:hint="eastAsia" w:cs="Times New Roman"/>
                <w:b/>
                <w:color w:val="auto"/>
                <w:sz w:val="21"/>
                <w:szCs w:val="21"/>
                <w:lang w:val="en-US" w:eastAsia="zh-CN"/>
              </w:rPr>
              <w:t xml:space="preserve">6  </w:t>
            </w:r>
            <w:r>
              <w:rPr>
                <w:rFonts w:hint="default" w:ascii="Times New Roman" w:hAnsi="Times New Roman" w:cs="Times New Roman"/>
                <w:b/>
                <w:color w:val="auto"/>
                <w:sz w:val="21"/>
                <w:szCs w:val="21"/>
              </w:rPr>
              <w:t>工业企业厂界环境噪声排放标准</w:t>
            </w:r>
          </w:p>
          <w:tbl>
            <w:tblPr>
              <w:tblStyle w:val="23"/>
              <w:tblW w:w="4998"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614"/>
              <w:gridCol w:w="1587"/>
              <w:gridCol w:w="779"/>
              <w:gridCol w:w="779"/>
              <w:gridCol w:w="3238"/>
            </w:tblGrid>
            <w:tr w14:paraId="2AAECB27">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340" w:hRule="atLeast"/>
                <w:jc w:val="center"/>
              </w:trPr>
              <w:tc>
                <w:tcPr>
                  <w:tcW w:w="1009" w:type="pct"/>
                  <w:vMerge w:val="restart"/>
                  <w:noWrap w:val="0"/>
                  <w:tcMar>
                    <w:left w:w="0" w:type="dxa"/>
                    <w:right w:w="0" w:type="dxa"/>
                  </w:tcMar>
                  <w:vAlign w:val="center"/>
                </w:tcPr>
                <w:p w14:paraId="6C30F725">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firstLine="0" w:firstLineChars="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适用区域</w:t>
                  </w:r>
                </w:p>
              </w:tc>
              <w:tc>
                <w:tcPr>
                  <w:tcW w:w="992" w:type="pct"/>
                  <w:vMerge w:val="restart"/>
                  <w:noWrap w:val="0"/>
                  <w:tcMar>
                    <w:left w:w="0" w:type="dxa"/>
                    <w:right w:w="0" w:type="dxa"/>
                  </w:tcMar>
                  <w:vAlign w:val="center"/>
                </w:tcPr>
                <w:p w14:paraId="00A9A33E">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firstLine="0" w:firstLineChars="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功能区类别</w:t>
                  </w:r>
                </w:p>
              </w:tc>
              <w:tc>
                <w:tcPr>
                  <w:tcW w:w="974" w:type="pct"/>
                  <w:gridSpan w:val="2"/>
                  <w:noWrap w:val="0"/>
                  <w:tcMar>
                    <w:left w:w="0" w:type="dxa"/>
                    <w:right w:w="0" w:type="dxa"/>
                  </w:tcMar>
                  <w:vAlign w:val="center"/>
                </w:tcPr>
                <w:p w14:paraId="69605448">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firstLine="0" w:firstLineChars="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标准限值（dB（A））</w:t>
                  </w:r>
                </w:p>
              </w:tc>
              <w:tc>
                <w:tcPr>
                  <w:tcW w:w="2024" w:type="pct"/>
                  <w:vMerge w:val="restart"/>
                  <w:noWrap w:val="0"/>
                  <w:vAlign w:val="center"/>
                </w:tcPr>
                <w:p w14:paraId="495FBC8F">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firstLine="0" w:firstLineChars="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执行标准</w:t>
                  </w:r>
                </w:p>
              </w:tc>
            </w:tr>
            <w:tr w14:paraId="56657A74">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009" w:type="pct"/>
                  <w:vMerge w:val="continue"/>
                  <w:noWrap w:val="0"/>
                  <w:tcMar>
                    <w:left w:w="0" w:type="dxa"/>
                    <w:right w:w="0" w:type="dxa"/>
                  </w:tcMar>
                  <w:vAlign w:val="center"/>
                </w:tcPr>
                <w:p w14:paraId="238EAEA9">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firstLine="0" w:firstLineChars="0"/>
                    <w:jc w:val="center"/>
                    <w:textAlignment w:val="auto"/>
                    <w:rPr>
                      <w:rFonts w:hint="default" w:ascii="Times New Roman" w:hAnsi="Times New Roman" w:cs="Times New Roman"/>
                      <w:color w:val="auto"/>
                      <w:sz w:val="21"/>
                      <w:szCs w:val="21"/>
                    </w:rPr>
                  </w:pPr>
                </w:p>
              </w:tc>
              <w:tc>
                <w:tcPr>
                  <w:tcW w:w="992" w:type="pct"/>
                  <w:vMerge w:val="continue"/>
                  <w:noWrap w:val="0"/>
                  <w:tcMar>
                    <w:left w:w="0" w:type="dxa"/>
                    <w:right w:w="0" w:type="dxa"/>
                  </w:tcMar>
                  <w:vAlign w:val="center"/>
                </w:tcPr>
                <w:p w14:paraId="78C2CF62">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firstLine="0" w:firstLineChars="0"/>
                    <w:jc w:val="center"/>
                    <w:textAlignment w:val="auto"/>
                    <w:rPr>
                      <w:rFonts w:hint="default" w:ascii="Times New Roman" w:hAnsi="Times New Roman" w:cs="Times New Roman"/>
                      <w:color w:val="auto"/>
                      <w:sz w:val="21"/>
                      <w:szCs w:val="21"/>
                    </w:rPr>
                  </w:pPr>
                </w:p>
              </w:tc>
              <w:tc>
                <w:tcPr>
                  <w:tcW w:w="487" w:type="pct"/>
                  <w:noWrap w:val="0"/>
                  <w:tcMar>
                    <w:left w:w="0" w:type="dxa"/>
                    <w:right w:w="0" w:type="dxa"/>
                  </w:tcMar>
                  <w:vAlign w:val="center"/>
                </w:tcPr>
                <w:p w14:paraId="4F1FD615">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firstLine="0" w:firstLineChars="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昼间</w:t>
                  </w:r>
                </w:p>
              </w:tc>
              <w:tc>
                <w:tcPr>
                  <w:tcW w:w="487" w:type="pct"/>
                  <w:noWrap w:val="0"/>
                  <w:tcMar>
                    <w:left w:w="0" w:type="dxa"/>
                    <w:right w:w="0" w:type="dxa"/>
                  </w:tcMar>
                  <w:vAlign w:val="center"/>
                </w:tcPr>
                <w:p w14:paraId="56C328DC">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firstLine="0" w:firstLineChars="0"/>
                    <w:jc w:val="center"/>
                    <w:textAlignment w:val="auto"/>
                    <w:rPr>
                      <w:rFonts w:hint="eastAsia" w:ascii="Times New Roman" w:hAnsi="Times New Roman" w:eastAsia="宋体" w:cs="Times New Roman"/>
                      <w:b/>
                      <w:color w:val="auto"/>
                      <w:sz w:val="21"/>
                      <w:szCs w:val="21"/>
                      <w:lang w:eastAsia="zh-CN"/>
                    </w:rPr>
                  </w:pPr>
                  <w:r>
                    <w:rPr>
                      <w:rFonts w:hint="eastAsia" w:cs="Times New Roman"/>
                      <w:b/>
                      <w:color w:val="auto"/>
                      <w:sz w:val="21"/>
                      <w:szCs w:val="21"/>
                      <w:lang w:eastAsia="zh-CN"/>
                    </w:rPr>
                    <w:t>夜间</w:t>
                  </w:r>
                </w:p>
              </w:tc>
              <w:tc>
                <w:tcPr>
                  <w:tcW w:w="2024" w:type="pct"/>
                  <w:vMerge w:val="continue"/>
                  <w:noWrap w:val="0"/>
                  <w:vAlign w:val="center"/>
                </w:tcPr>
                <w:p w14:paraId="366F2C1A">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firstLine="0" w:firstLineChars="0"/>
                    <w:jc w:val="center"/>
                    <w:textAlignment w:val="auto"/>
                    <w:rPr>
                      <w:rFonts w:hint="default" w:ascii="Times New Roman" w:hAnsi="Times New Roman" w:cs="Times New Roman"/>
                      <w:b/>
                      <w:color w:val="auto"/>
                      <w:sz w:val="21"/>
                      <w:szCs w:val="21"/>
                    </w:rPr>
                  </w:pPr>
                </w:p>
              </w:tc>
            </w:tr>
            <w:tr w14:paraId="119D3A3A">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009" w:type="pct"/>
                  <w:noWrap w:val="0"/>
                  <w:tcMar>
                    <w:left w:w="0" w:type="dxa"/>
                    <w:right w:w="0" w:type="dxa"/>
                  </w:tcMar>
                  <w:vAlign w:val="center"/>
                </w:tcPr>
                <w:p w14:paraId="71405AEE">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厂界</w:t>
                  </w:r>
                </w:p>
              </w:tc>
              <w:tc>
                <w:tcPr>
                  <w:tcW w:w="992" w:type="pct"/>
                  <w:noWrap w:val="0"/>
                  <w:tcMar>
                    <w:left w:w="0" w:type="dxa"/>
                    <w:right w:w="0" w:type="dxa"/>
                  </w:tcMar>
                  <w:vAlign w:val="center"/>
                </w:tcPr>
                <w:p w14:paraId="3F43115C">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firstLine="0" w:firstLineChars="0"/>
                    <w:jc w:val="center"/>
                    <w:textAlignment w:val="auto"/>
                    <w:rPr>
                      <w:rFonts w:hint="default" w:ascii="Times New Roman" w:hAnsi="Times New Roman" w:cs="Times New Roman"/>
                      <w:color w:val="auto"/>
                      <w:sz w:val="21"/>
                      <w:szCs w:val="21"/>
                    </w:rPr>
                  </w:pPr>
                  <w:r>
                    <w:rPr>
                      <w:rFonts w:hint="eastAsia" w:cs="Times New Roman"/>
                      <w:color w:val="auto"/>
                      <w:sz w:val="21"/>
                      <w:szCs w:val="21"/>
                      <w:lang w:val="en-US" w:eastAsia="zh-CN"/>
                    </w:rPr>
                    <w:t>3</w:t>
                  </w:r>
                  <w:r>
                    <w:rPr>
                      <w:rFonts w:hint="default" w:ascii="Times New Roman" w:hAnsi="Times New Roman" w:cs="Times New Roman"/>
                      <w:color w:val="auto"/>
                      <w:sz w:val="21"/>
                      <w:szCs w:val="21"/>
                    </w:rPr>
                    <w:t>类</w:t>
                  </w:r>
                </w:p>
              </w:tc>
              <w:tc>
                <w:tcPr>
                  <w:tcW w:w="487" w:type="pct"/>
                  <w:noWrap w:val="0"/>
                  <w:tcMar>
                    <w:left w:w="0" w:type="dxa"/>
                    <w:right w:w="0" w:type="dxa"/>
                  </w:tcMar>
                  <w:vAlign w:val="center"/>
                </w:tcPr>
                <w:p w14:paraId="1981679E">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6</w:t>
                  </w:r>
                  <w:r>
                    <w:rPr>
                      <w:rFonts w:hint="eastAsia" w:cs="Times New Roman"/>
                      <w:color w:val="auto"/>
                      <w:sz w:val="21"/>
                      <w:szCs w:val="21"/>
                      <w:lang w:val="en-US" w:eastAsia="zh-CN"/>
                    </w:rPr>
                    <w:t>5</w:t>
                  </w:r>
                </w:p>
              </w:tc>
              <w:tc>
                <w:tcPr>
                  <w:tcW w:w="487" w:type="pct"/>
                  <w:noWrap w:val="0"/>
                  <w:tcMar>
                    <w:left w:w="0" w:type="dxa"/>
                    <w:right w:w="0" w:type="dxa"/>
                  </w:tcMar>
                  <w:vAlign w:val="center"/>
                </w:tcPr>
                <w:p w14:paraId="5754559F">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55</w:t>
                  </w:r>
                </w:p>
              </w:tc>
              <w:tc>
                <w:tcPr>
                  <w:tcW w:w="2024" w:type="pct"/>
                  <w:noWrap w:val="0"/>
                  <w:vAlign w:val="center"/>
                </w:tcPr>
                <w:p w14:paraId="2105E7F2">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《工业企业厂界环境噪声排放标准》（GB12348-2008）</w:t>
                  </w:r>
                </w:p>
              </w:tc>
            </w:tr>
          </w:tbl>
          <w:p w14:paraId="6B3AA6D0">
            <w:pPr>
              <w:keepNext w:val="0"/>
              <w:keepLines w:val="0"/>
              <w:pageBreakBefore w:val="0"/>
              <w:suppressLineNumbers w:val="0"/>
              <w:topLinePunct w:val="0"/>
              <w:autoSpaceDE/>
              <w:autoSpaceDN/>
              <w:bidi w:val="0"/>
              <w:adjustRightInd w:val="0"/>
              <w:snapToGrid w:val="0"/>
              <w:spacing w:before="0" w:beforeAutospacing="0" w:after="0" w:afterAutospacing="0" w:line="320" w:lineRule="exact"/>
              <w:ind w:left="0" w:right="0" w:firstLine="0" w:firstLineChars="0"/>
              <w:jc w:val="both"/>
              <w:rPr>
                <w:rFonts w:hint="default" w:ascii="Times New Roman" w:hAnsi="Times New Roman" w:cs="Times New Roman"/>
                <w:b/>
                <w:color w:val="auto"/>
                <w:sz w:val="21"/>
                <w:szCs w:val="21"/>
              </w:rPr>
            </w:pPr>
          </w:p>
          <w:p w14:paraId="7113A82A">
            <w:pPr>
              <w:keepNext w:val="0"/>
              <w:keepLines w:val="0"/>
              <w:pageBreakBefore w:val="0"/>
              <w:widowControl w:val="0"/>
              <w:suppressLineNumbers w:val="0"/>
              <w:tabs>
                <w:tab w:val="left" w:pos="5142"/>
              </w:tabs>
              <w:kinsoku/>
              <w:wordWrap/>
              <w:overflowPunct/>
              <w:topLinePunct w:val="0"/>
              <w:autoSpaceDE/>
              <w:autoSpaceDN/>
              <w:bidi w:val="0"/>
              <w:snapToGrid w:val="0"/>
              <w:spacing w:before="0" w:beforeAutospacing="0" w:after="0" w:afterAutospacing="0" w:line="360" w:lineRule="auto"/>
              <w:ind w:left="0" w:right="0" w:firstLine="482"/>
              <w:textAlignment w:val="auto"/>
              <w:rPr>
                <w:rFonts w:hint="default" w:ascii="Times New Roman" w:hAnsi="Times New Roman" w:cs="Times New Roman"/>
                <w:b/>
                <w:color w:val="auto"/>
                <w:sz w:val="21"/>
                <w:szCs w:val="21"/>
              </w:rPr>
            </w:pPr>
            <w:r>
              <w:rPr>
                <w:rFonts w:hint="eastAsia" w:cs="Times New Roman"/>
                <w:b/>
                <w:color w:val="auto"/>
                <w:sz w:val="21"/>
                <w:szCs w:val="21"/>
                <w:lang w:val="en-US" w:eastAsia="zh-CN"/>
              </w:rPr>
              <w:t>4</w:t>
            </w:r>
            <w:r>
              <w:rPr>
                <w:rFonts w:hint="default" w:ascii="Times New Roman" w:hAnsi="Times New Roman" w:cs="Times New Roman"/>
                <w:b/>
                <w:color w:val="auto"/>
                <w:sz w:val="21"/>
                <w:szCs w:val="21"/>
              </w:rPr>
              <w:t>、固体废物排放标准</w:t>
            </w:r>
          </w:p>
          <w:p w14:paraId="646CDA3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一般工业固体废物储存执行《一般工业固体废物贮存和填埋污染控制标准》（GB18599-20</w:t>
            </w:r>
            <w:r>
              <w:rPr>
                <w:rFonts w:hint="eastAsia" w:ascii="Times New Roman" w:hAnsi="Times New Roman" w:cs="Times New Roman"/>
                <w:color w:val="auto"/>
                <w:sz w:val="21"/>
                <w:szCs w:val="21"/>
                <w:lang w:val="en-US" w:eastAsia="zh-CN"/>
              </w:rPr>
              <w:t>20</w:t>
            </w:r>
            <w:r>
              <w:rPr>
                <w:rFonts w:hint="default" w:ascii="Times New Roman" w:hAnsi="Times New Roman" w:cs="Times New Roman"/>
                <w:color w:val="auto"/>
                <w:sz w:val="21"/>
                <w:szCs w:val="21"/>
              </w:rPr>
              <w:t>）。危险固废应按照《</w:t>
            </w:r>
            <w:r>
              <w:rPr>
                <w:rFonts w:hint="eastAsia" w:cs="Times New Roman"/>
                <w:color w:val="auto"/>
                <w:sz w:val="21"/>
                <w:szCs w:val="21"/>
                <w:lang w:eastAsia="zh-CN"/>
              </w:rPr>
              <w:t>危险废物贮存污染控制标准</w:t>
            </w:r>
            <w:r>
              <w:rPr>
                <w:rFonts w:hint="default" w:ascii="Times New Roman" w:hAnsi="Times New Roman" w:cs="Times New Roman"/>
                <w:color w:val="auto"/>
                <w:sz w:val="21"/>
                <w:szCs w:val="21"/>
              </w:rPr>
              <w:t>》（</w:t>
            </w:r>
            <w:r>
              <w:rPr>
                <w:rFonts w:hint="eastAsia" w:cs="Times New Roman"/>
                <w:color w:val="auto"/>
                <w:sz w:val="21"/>
                <w:szCs w:val="21"/>
                <w:lang w:val="en-US" w:eastAsia="zh-CN"/>
              </w:rPr>
              <w:t>GB18597-2023</w:t>
            </w:r>
            <w:r>
              <w:rPr>
                <w:rFonts w:hint="default" w:ascii="Times New Roman" w:hAnsi="Times New Roman" w:cs="Times New Roman"/>
                <w:color w:val="auto"/>
                <w:sz w:val="21"/>
                <w:szCs w:val="21"/>
              </w:rPr>
              <w:t>）和《</w:t>
            </w:r>
            <w:r>
              <w:rPr>
                <w:rFonts w:hint="eastAsia" w:cs="Times New Roman"/>
                <w:color w:val="auto"/>
                <w:sz w:val="21"/>
                <w:szCs w:val="21"/>
                <w:lang w:eastAsia="zh-CN"/>
              </w:rPr>
              <w:t>危险废物识别</w:t>
            </w:r>
            <w:r>
              <w:rPr>
                <w:rFonts w:hint="eastAsia" w:cs="Times New Roman"/>
                <w:color w:val="auto"/>
                <w:sz w:val="21"/>
                <w:szCs w:val="21"/>
                <w:lang w:val="en-US" w:eastAsia="zh-CN"/>
              </w:rPr>
              <w:t>标志</w:t>
            </w:r>
            <w:r>
              <w:rPr>
                <w:rFonts w:hint="eastAsia" w:cs="Times New Roman"/>
                <w:color w:val="auto"/>
                <w:sz w:val="21"/>
                <w:szCs w:val="21"/>
                <w:lang w:eastAsia="zh-CN"/>
              </w:rPr>
              <w:t>设置技术规范</w:t>
            </w:r>
            <w:r>
              <w:rPr>
                <w:rFonts w:hint="default" w:ascii="Times New Roman" w:hAnsi="Times New Roman" w:cs="Times New Roman"/>
                <w:color w:val="auto"/>
                <w:sz w:val="21"/>
                <w:szCs w:val="21"/>
              </w:rPr>
              <w:t>》（</w:t>
            </w:r>
            <w:r>
              <w:rPr>
                <w:rFonts w:hint="eastAsia" w:cs="Times New Roman"/>
                <w:color w:val="auto"/>
                <w:sz w:val="21"/>
                <w:szCs w:val="21"/>
                <w:lang w:val="en-US" w:eastAsia="zh-CN"/>
              </w:rPr>
              <w:t>HJ1276-2022</w:t>
            </w:r>
            <w:r>
              <w:rPr>
                <w:rFonts w:hint="default" w:ascii="Times New Roman" w:hAnsi="Times New Roman" w:cs="Times New Roman"/>
                <w:color w:val="auto"/>
                <w:sz w:val="21"/>
                <w:szCs w:val="21"/>
              </w:rPr>
              <w:t>）</w:t>
            </w:r>
            <w:r>
              <w:rPr>
                <w:rFonts w:hint="eastAsia" w:cs="Times New Roman"/>
                <w:color w:val="auto"/>
                <w:sz w:val="21"/>
                <w:szCs w:val="21"/>
                <w:lang w:eastAsia="zh-CN"/>
              </w:rPr>
              <w:t>、</w:t>
            </w:r>
            <w:r>
              <w:rPr>
                <w:rFonts w:hint="eastAsia" w:cs="Times New Roman"/>
                <w:color w:val="auto"/>
                <w:sz w:val="21"/>
                <w:szCs w:val="21"/>
                <w:vertAlign w:val="baseline"/>
                <w:lang w:eastAsia="zh-CN"/>
              </w:rPr>
              <w:t>《江苏省固体废物全过程环境监管工作意见》（苏环办</w:t>
            </w:r>
            <w:r>
              <w:rPr>
                <w:rFonts w:hint="eastAsia" w:cs="Times New Roman"/>
                <w:color w:val="auto"/>
                <w:sz w:val="21"/>
                <w:szCs w:val="21"/>
                <w:vertAlign w:val="baseline"/>
                <w:lang w:val="en-US" w:eastAsia="zh-CN"/>
              </w:rPr>
              <w:t>[2024]16号</w:t>
            </w:r>
            <w:r>
              <w:rPr>
                <w:rFonts w:hint="eastAsia" w:cs="Times New Roman"/>
                <w:color w:val="auto"/>
                <w:sz w:val="21"/>
                <w:szCs w:val="21"/>
                <w:vertAlign w:val="baseline"/>
                <w:lang w:eastAsia="zh-CN"/>
              </w:rPr>
              <w:t>）</w:t>
            </w:r>
            <w:r>
              <w:rPr>
                <w:rFonts w:hint="default" w:ascii="Times New Roman" w:hAnsi="Times New Roman" w:cs="Times New Roman"/>
                <w:color w:val="auto"/>
                <w:sz w:val="21"/>
                <w:szCs w:val="21"/>
              </w:rPr>
              <w:t>中相关规定要求进行危险废物的包装、贮存设施的选址、设计、运行、安全防护、监测和关闭等要求进行合理的贮存</w:t>
            </w:r>
            <w:r>
              <w:rPr>
                <w:rFonts w:hint="eastAsia" w:ascii="Times New Roman" w:hAnsi="Times New Roman" w:cs="Times New Roman"/>
                <w:color w:val="auto"/>
                <w:sz w:val="21"/>
                <w:szCs w:val="21"/>
                <w:lang w:eastAsia="zh-CN"/>
              </w:rPr>
              <w:t>，生活垃圾执行</w:t>
            </w:r>
            <w:r>
              <w:rPr>
                <w:rFonts w:hint="eastAsia" w:cs="Times New Roman"/>
                <w:color w:val="auto"/>
                <w:sz w:val="21"/>
                <w:szCs w:val="21"/>
                <w:lang w:eastAsia="zh-CN"/>
              </w:rPr>
              <w:t>《生活垃圾处理技术指南》（建城〔2010〕61号）</w:t>
            </w:r>
            <w:r>
              <w:rPr>
                <w:rFonts w:hint="default" w:ascii="Times New Roman" w:hAnsi="Times New Roman" w:cs="Times New Roman"/>
                <w:color w:val="auto"/>
                <w:sz w:val="21"/>
                <w:szCs w:val="21"/>
              </w:rPr>
              <w:t>。</w:t>
            </w:r>
          </w:p>
        </w:tc>
      </w:tr>
      <w:tr w14:paraId="45B12E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40" w:hRule="atLeast"/>
          <w:jc w:val="center"/>
        </w:trPr>
        <w:tc>
          <w:tcPr>
            <w:tcW w:w="800" w:type="dxa"/>
            <w:noWrap w:val="0"/>
            <w:vAlign w:val="center"/>
          </w:tcPr>
          <w:p w14:paraId="7102B2A0">
            <w:pPr>
              <w:keepNext w:val="0"/>
              <w:keepLines w:val="0"/>
              <w:pageBreakBefore w:val="0"/>
              <w:topLinePunct w:val="0"/>
              <w:autoSpaceDE/>
              <w:autoSpaceDN/>
              <w:bidi w:val="0"/>
              <w:adjustRightInd w:val="0"/>
              <w:snapToGrid w:val="0"/>
              <w:spacing w:line="320" w:lineRule="exact"/>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总量</w:t>
            </w:r>
          </w:p>
          <w:p w14:paraId="1925CE6C">
            <w:pPr>
              <w:keepNext w:val="0"/>
              <w:keepLines w:val="0"/>
              <w:pageBreakBefore w:val="0"/>
              <w:topLinePunct w:val="0"/>
              <w:autoSpaceDE/>
              <w:autoSpaceDN/>
              <w:bidi w:val="0"/>
              <w:adjustRightInd w:val="0"/>
              <w:snapToGrid w:val="0"/>
              <w:spacing w:line="320" w:lineRule="exact"/>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控制</w:t>
            </w:r>
          </w:p>
          <w:p w14:paraId="14E54BE9">
            <w:pPr>
              <w:keepNext w:val="0"/>
              <w:keepLines w:val="0"/>
              <w:pageBreakBefore w:val="0"/>
              <w:topLinePunct w:val="0"/>
              <w:autoSpaceDE/>
              <w:autoSpaceDN/>
              <w:bidi w:val="0"/>
              <w:adjustRightInd w:val="0"/>
              <w:snapToGrid w:val="0"/>
              <w:spacing w:line="320" w:lineRule="exact"/>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指标</w:t>
            </w:r>
          </w:p>
        </w:tc>
        <w:tc>
          <w:tcPr>
            <w:tcW w:w="8216" w:type="dxa"/>
            <w:noWrap w:val="0"/>
            <w:vAlign w:val="center"/>
          </w:tcPr>
          <w:p w14:paraId="1BC89232">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kern w:val="0"/>
                <w:sz w:val="21"/>
                <w:szCs w:val="21"/>
                <w:lang w:val="en-US" w:eastAsia="zh-CN"/>
              </w:rPr>
            </w:pPr>
          </w:p>
        </w:tc>
      </w:tr>
    </w:tbl>
    <w:p w14:paraId="773756F5">
      <w:pPr>
        <w:pStyle w:val="19"/>
        <w:jc w:val="center"/>
        <w:outlineLvl w:val="0"/>
        <w:rPr>
          <w:rFonts w:ascii="黑体" w:hAnsi="黑体" w:eastAsia="黑体"/>
          <w:snapToGrid w:val="0"/>
          <w:color w:val="auto"/>
          <w:sz w:val="36"/>
          <w:szCs w:val="36"/>
        </w:rPr>
        <w:sectPr>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r>
        <w:rPr>
          <w:rFonts w:ascii="黑体" w:hAnsi="黑体" w:eastAsia="黑体"/>
          <w:snapToGrid w:val="0"/>
          <w:color w:val="auto"/>
          <w:sz w:val="36"/>
          <w:szCs w:val="36"/>
        </w:rPr>
        <w:br w:type="page"/>
      </w:r>
    </w:p>
    <w:p w14:paraId="3E7E78C6">
      <w:pPr>
        <w:pStyle w:val="19"/>
        <w:jc w:val="center"/>
        <w:outlineLvl w:val="0"/>
        <w:rPr>
          <w:rFonts w:hint="default" w:ascii="Times New Roman" w:hAnsi="Times New Roman" w:eastAsia="宋体" w:cs="Times New Roman"/>
          <w:b/>
          <w:bCs/>
          <w:snapToGrid w:val="0"/>
          <w:color w:val="000000"/>
          <w:sz w:val="30"/>
          <w:szCs w:val="30"/>
        </w:rPr>
      </w:pPr>
      <w:r>
        <w:rPr>
          <w:rFonts w:hint="default" w:ascii="Times New Roman" w:hAnsi="Times New Roman" w:eastAsia="宋体" w:cs="Times New Roman"/>
          <w:b/>
          <w:bCs/>
          <w:snapToGrid w:val="0"/>
          <w:color w:val="000000"/>
          <w:sz w:val="30"/>
          <w:szCs w:val="30"/>
        </w:rPr>
        <w:t>四、主要环境影响和保护措施</w:t>
      </w:r>
    </w:p>
    <w:tbl>
      <w:tblPr>
        <w:tblStyle w:val="23"/>
        <w:tblW w:w="501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0"/>
        <w:gridCol w:w="8345"/>
      </w:tblGrid>
      <w:tr w14:paraId="3B95CB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371" w:type="pct"/>
            <w:noWrap w:val="0"/>
            <w:tcMar>
              <w:left w:w="28" w:type="dxa"/>
              <w:right w:w="28" w:type="dxa"/>
            </w:tcMar>
            <w:vAlign w:val="center"/>
          </w:tcPr>
          <w:p w14:paraId="570921C2">
            <w:pPr>
              <w:pStyle w:val="19"/>
              <w:adjustRightInd w:val="0"/>
              <w:snapToGrid w:val="0"/>
              <w:spacing w:before="0" w:beforeAutospacing="0" w:after="0" w:afterAutospacing="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施工</w:t>
            </w:r>
          </w:p>
          <w:p w14:paraId="159B83C0">
            <w:pPr>
              <w:pStyle w:val="19"/>
              <w:adjustRightInd w:val="0"/>
              <w:snapToGrid w:val="0"/>
              <w:spacing w:before="0" w:beforeAutospacing="0" w:after="0" w:afterAutospacing="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期环</w:t>
            </w:r>
          </w:p>
          <w:p w14:paraId="5909A032">
            <w:pPr>
              <w:pStyle w:val="19"/>
              <w:adjustRightInd w:val="0"/>
              <w:snapToGrid w:val="0"/>
              <w:spacing w:before="0" w:beforeAutospacing="0" w:after="0" w:afterAutospacing="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境保</w:t>
            </w:r>
          </w:p>
          <w:p w14:paraId="386CAEDA">
            <w:pPr>
              <w:pStyle w:val="19"/>
              <w:adjustRightInd w:val="0"/>
              <w:snapToGrid w:val="0"/>
              <w:spacing w:before="0" w:beforeAutospacing="0" w:after="0" w:afterAutospacing="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护措</w:t>
            </w:r>
          </w:p>
          <w:p w14:paraId="5FD84404">
            <w:pPr>
              <w:pStyle w:val="19"/>
              <w:adjustRightInd w:val="0"/>
              <w:snapToGrid w:val="0"/>
              <w:spacing w:before="0" w:beforeAutospacing="0" w:after="0" w:afterAutospacing="0"/>
              <w:jc w:val="center"/>
              <w:rPr>
                <w:rFonts w:hint="default" w:ascii="Times New Roman" w:hAnsi="Times New Roman" w:eastAsia="宋体" w:cs="Times New Roman"/>
                <w:bCs/>
                <w:color w:val="000000"/>
                <w:kern w:val="2"/>
                <w:sz w:val="21"/>
                <w:szCs w:val="21"/>
              </w:rPr>
            </w:pPr>
            <w:r>
              <w:rPr>
                <w:rFonts w:hint="default" w:ascii="Times New Roman" w:hAnsi="Times New Roman" w:eastAsia="宋体" w:cs="Times New Roman"/>
                <w:color w:val="000000"/>
                <w:kern w:val="2"/>
                <w:sz w:val="21"/>
                <w:szCs w:val="21"/>
              </w:rPr>
              <w:t>施</w:t>
            </w:r>
          </w:p>
        </w:tc>
        <w:tc>
          <w:tcPr>
            <w:tcW w:w="4628" w:type="pct"/>
            <w:noWrap w:val="0"/>
            <w:vAlign w:val="center"/>
          </w:tcPr>
          <w:p w14:paraId="7EEA5B8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bCs/>
                <w:color w:val="000000"/>
                <w:spacing w:val="-10"/>
                <w:szCs w:val="21"/>
                <w:lang w:eastAsia="zh-CN"/>
              </w:rPr>
            </w:pPr>
            <w:r>
              <w:rPr>
                <w:rFonts w:hint="eastAsia" w:cs="Times New Roman"/>
                <w:color w:val="auto"/>
                <w:lang w:eastAsia="zh-CN"/>
              </w:rPr>
              <w:t>本项目利用现有厂房</w:t>
            </w:r>
            <w:r>
              <w:rPr>
                <w:rFonts w:hint="default" w:ascii="Times New Roman" w:hAnsi="Times New Roman" w:eastAsia="宋体" w:cs="Times New Roman"/>
                <w:color w:val="auto"/>
              </w:rPr>
              <w:t>，不</w:t>
            </w:r>
            <w:r>
              <w:rPr>
                <w:rFonts w:hint="default" w:ascii="Times New Roman" w:hAnsi="Times New Roman" w:cs="Times New Roman"/>
                <w:color w:val="auto"/>
                <w:lang w:eastAsia="zh-CN"/>
              </w:rPr>
              <w:t>再</w:t>
            </w:r>
            <w:r>
              <w:rPr>
                <w:rFonts w:hint="default" w:ascii="Times New Roman" w:hAnsi="Times New Roman" w:eastAsia="宋体" w:cs="Times New Roman"/>
                <w:color w:val="auto"/>
              </w:rPr>
              <w:t>新增建筑物</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kern w:val="2"/>
                <w:sz w:val="21"/>
                <w:szCs w:val="21"/>
              </w:rPr>
              <w:t>施工期工作主要为后</w:t>
            </w:r>
            <w:r>
              <w:rPr>
                <w:rFonts w:hint="eastAsia" w:cs="Times New Roman"/>
                <w:color w:val="auto"/>
                <w:kern w:val="2"/>
                <w:sz w:val="21"/>
                <w:szCs w:val="21"/>
                <w:lang w:eastAsia="zh-CN"/>
              </w:rPr>
              <w:t>续设</w:t>
            </w:r>
            <w:r>
              <w:rPr>
                <w:rFonts w:hint="default" w:ascii="Times New Roman" w:hAnsi="Times New Roman" w:eastAsia="宋体" w:cs="Times New Roman"/>
                <w:color w:val="auto"/>
                <w:kern w:val="2"/>
                <w:sz w:val="21"/>
                <w:szCs w:val="21"/>
              </w:rPr>
              <w:t>备的安装及调试，</w:t>
            </w:r>
            <w:r>
              <w:rPr>
                <w:rFonts w:hint="default" w:ascii="Times New Roman" w:hAnsi="Times New Roman" w:eastAsia="宋体" w:cs="Times New Roman"/>
                <w:color w:val="auto"/>
                <w:kern w:val="2"/>
                <w:sz w:val="21"/>
                <w:szCs w:val="21"/>
                <w:lang w:eastAsia="zh-CN"/>
              </w:rPr>
              <w:t>故</w:t>
            </w:r>
            <w:r>
              <w:rPr>
                <w:rFonts w:hint="default" w:ascii="Times New Roman" w:hAnsi="Times New Roman" w:eastAsia="宋体" w:cs="Times New Roman"/>
                <w:color w:val="auto"/>
                <w:kern w:val="2"/>
                <w:sz w:val="21"/>
                <w:szCs w:val="21"/>
              </w:rPr>
              <w:t>不</w:t>
            </w:r>
            <w:r>
              <w:rPr>
                <w:rFonts w:hint="eastAsia" w:cs="Times New Roman"/>
                <w:color w:val="auto"/>
                <w:kern w:val="2"/>
                <w:sz w:val="21"/>
                <w:szCs w:val="21"/>
                <w:lang w:eastAsia="zh-CN"/>
              </w:rPr>
              <w:t>做</w:t>
            </w:r>
            <w:r>
              <w:rPr>
                <w:rFonts w:hint="default" w:ascii="Times New Roman" w:hAnsi="Times New Roman" w:eastAsia="宋体" w:cs="Times New Roman"/>
                <w:color w:val="auto"/>
                <w:kern w:val="2"/>
                <w:sz w:val="21"/>
                <w:szCs w:val="21"/>
              </w:rPr>
              <w:t>具体分析</w:t>
            </w:r>
            <w:r>
              <w:rPr>
                <w:rFonts w:hint="default" w:ascii="Times New Roman" w:hAnsi="Times New Roman" w:eastAsia="宋体" w:cs="Times New Roman"/>
                <w:color w:val="auto"/>
                <w:sz w:val="21"/>
                <w:szCs w:val="21"/>
              </w:rPr>
              <w:t>。</w:t>
            </w:r>
          </w:p>
        </w:tc>
      </w:tr>
    </w:tbl>
    <w:p w14:paraId="0CEDB1C0">
      <w:pPr>
        <w:rPr>
          <w:rFonts w:hint="default" w:ascii="Times New Roman" w:hAnsi="Times New Roman" w:eastAsia="宋体" w:cs="Times New Roman"/>
          <w:color w:val="000000"/>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tbl>
      <w:tblPr>
        <w:tblStyle w:val="23"/>
        <w:tblW w:w="5001"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2373"/>
      </w:tblGrid>
      <w:tr w14:paraId="3605E6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80" w:hRule="atLeast"/>
          <w:jc w:val="center"/>
        </w:trPr>
        <w:tc>
          <w:tcPr>
            <w:tcW w:w="295" w:type="pct"/>
            <w:noWrap w:val="0"/>
            <w:tcMar>
              <w:left w:w="28" w:type="dxa"/>
              <w:right w:w="28" w:type="dxa"/>
            </w:tcMar>
            <w:vAlign w:val="center"/>
          </w:tcPr>
          <w:p w14:paraId="60BD602E">
            <w:pPr>
              <w:adjustRightInd w:val="0"/>
              <w:snapToGrid w:val="0"/>
              <w:jc w:val="center"/>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运营</w:t>
            </w:r>
          </w:p>
          <w:p w14:paraId="1AAC0090">
            <w:pPr>
              <w:adjustRightInd w:val="0"/>
              <w:snapToGrid w:val="0"/>
              <w:jc w:val="center"/>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期环</w:t>
            </w:r>
          </w:p>
          <w:p w14:paraId="07193BB4">
            <w:pPr>
              <w:adjustRightInd w:val="0"/>
              <w:snapToGrid w:val="0"/>
              <w:jc w:val="center"/>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境影</w:t>
            </w:r>
          </w:p>
          <w:p w14:paraId="4F949BD4">
            <w:pPr>
              <w:adjustRightInd w:val="0"/>
              <w:snapToGrid w:val="0"/>
              <w:jc w:val="center"/>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响和</w:t>
            </w:r>
          </w:p>
          <w:p w14:paraId="6770AAB7">
            <w:pPr>
              <w:adjustRightInd w:val="0"/>
              <w:snapToGrid w:val="0"/>
              <w:jc w:val="center"/>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保护</w:t>
            </w:r>
          </w:p>
          <w:p w14:paraId="273E8826">
            <w:pPr>
              <w:pStyle w:val="19"/>
              <w:adjustRightInd w:val="0"/>
              <w:snapToGrid w:val="0"/>
              <w:spacing w:before="0" w:beforeAutospacing="0" w:after="0" w:afterAutospacing="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bCs/>
                <w:color w:val="000000"/>
                <w:sz w:val="21"/>
                <w:szCs w:val="21"/>
              </w:rPr>
              <w:t>措施</w:t>
            </w:r>
          </w:p>
        </w:tc>
        <w:tc>
          <w:tcPr>
            <w:tcW w:w="4704" w:type="pct"/>
            <w:noWrap w:val="0"/>
            <w:vAlign w:val="center"/>
          </w:tcPr>
          <w:p w14:paraId="38D39F79">
            <w:pPr>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b/>
                <w:bCs/>
                <w:color w:val="000000"/>
                <w:lang w:val="en-US" w:eastAsia="zh-CN"/>
              </w:rPr>
            </w:pPr>
            <w:r>
              <w:rPr>
                <w:rFonts w:hint="eastAsia" w:ascii="Times New Roman" w:hAnsi="Times New Roman" w:eastAsia="宋体" w:cs="Times New Roman"/>
                <w:b/>
                <w:bCs/>
                <w:color w:val="000000"/>
                <w:lang w:val="en-US" w:eastAsia="zh-CN"/>
              </w:rPr>
              <w:t>（一）</w:t>
            </w:r>
            <w:r>
              <w:rPr>
                <w:rFonts w:hint="default" w:ascii="Times New Roman" w:hAnsi="Times New Roman" w:eastAsia="宋体" w:cs="Times New Roman"/>
                <w:b/>
                <w:bCs/>
                <w:color w:val="000000"/>
                <w:lang w:val="en-US" w:eastAsia="zh-CN"/>
              </w:rPr>
              <w:t>大气</w:t>
            </w:r>
          </w:p>
          <w:p w14:paraId="292CE1E4">
            <w:pPr>
              <w:adjustRightInd w:val="0"/>
              <w:snapToGrid w:val="0"/>
              <w:spacing w:line="360" w:lineRule="auto"/>
              <w:ind w:firstLine="480"/>
              <w:rPr>
                <w:rFonts w:hint="default" w:ascii="Times New Roman" w:hAnsi="Times New Roman" w:cs="Times New Roman"/>
                <w:b/>
                <w:bCs/>
                <w:color w:val="auto"/>
                <w:lang w:val="en-US" w:eastAsia="zh-CN"/>
              </w:rPr>
            </w:pPr>
            <w:r>
              <w:rPr>
                <w:rFonts w:hint="eastAsia"/>
                <w:color w:val="auto"/>
                <w:lang w:val="en-US" w:eastAsia="zh-CN"/>
              </w:rPr>
              <w:t>建设项目废气污染物排放源情况见下表4-1。</w:t>
            </w:r>
          </w:p>
          <w:p w14:paraId="457B458D">
            <w:pPr>
              <w:spacing w:line="240" w:lineRule="auto"/>
              <w:ind w:firstLine="0" w:firstLineChars="0"/>
              <w:jc w:val="center"/>
              <w:rPr>
                <w:rFonts w:hint="default" w:ascii="Times New Roman" w:hAnsi="Times New Roman" w:eastAsia="宋体" w:cs="Times New Roman"/>
                <w:b/>
                <w:bCs/>
                <w:color w:val="auto"/>
                <w:szCs w:val="24"/>
              </w:rPr>
            </w:pPr>
            <w:r>
              <w:rPr>
                <w:rFonts w:hint="default" w:ascii="Times New Roman" w:hAnsi="Times New Roman" w:eastAsia="宋体" w:cs="Times New Roman"/>
                <w:b/>
                <w:bCs/>
                <w:color w:val="auto"/>
                <w:szCs w:val="24"/>
              </w:rPr>
              <w:t>表</w:t>
            </w:r>
            <w:r>
              <w:rPr>
                <w:rFonts w:hint="default" w:ascii="Times New Roman" w:hAnsi="Times New Roman" w:eastAsia="宋体" w:cs="Times New Roman"/>
                <w:b/>
                <w:bCs/>
                <w:color w:val="auto"/>
                <w:szCs w:val="24"/>
                <w:lang w:val="en-US" w:eastAsia="zh-CN"/>
              </w:rPr>
              <w:t>4</w:t>
            </w:r>
            <w:r>
              <w:rPr>
                <w:rFonts w:hint="default" w:ascii="Times New Roman" w:hAnsi="Times New Roman" w:eastAsia="宋体" w:cs="Times New Roman"/>
                <w:b/>
                <w:bCs/>
                <w:color w:val="auto"/>
                <w:szCs w:val="24"/>
              </w:rPr>
              <w:t>-</w:t>
            </w:r>
            <w:r>
              <w:rPr>
                <w:rFonts w:hint="eastAsia" w:ascii="Times New Roman" w:hAnsi="Times New Roman" w:cs="Times New Roman"/>
                <w:b/>
                <w:bCs/>
                <w:color w:val="auto"/>
                <w:szCs w:val="24"/>
                <w:lang w:val="en-US" w:eastAsia="zh-CN"/>
              </w:rPr>
              <w:t>1</w:t>
            </w:r>
            <w:r>
              <w:rPr>
                <w:rFonts w:hint="default" w:ascii="Times New Roman" w:hAnsi="Times New Roman" w:eastAsia="宋体" w:cs="Times New Roman"/>
                <w:b/>
                <w:bCs/>
                <w:color w:val="auto"/>
                <w:szCs w:val="24"/>
              </w:rPr>
              <w:t xml:space="preserve">  </w:t>
            </w:r>
            <w:r>
              <w:rPr>
                <w:rFonts w:hint="eastAsia" w:ascii="Times New Roman" w:hAnsi="Times New Roman" w:eastAsia="宋体" w:cs="Times New Roman"/>
                <w:b/>
                <w:bCs/>
                <w:color w:val="auto"/>
                <w:szCs w:val="24"/>
                <w:lang w:eastAsia="zh-CN"/>
              </w:rPr>
              <w:t>建设</w:t>
            </w:r>
            <w:r>
              <w:rPr>
                <w:rFonts w:hint="default" w:ascii="Times New Roman" w:hAnsi="Times New Roman" w:eastAsia="宋体" w:cs="Times New Roman"/>
                <w:b/>
                <w:bCs/>
                <w:color w:val="auto"/>
                <w:szCs w:val="24"/>
              </w:rPr>
              <w:t>项目</w:t>
            </w:r>
            <w:r>
              <w:rPr>
                <w:rFonts w:hint="eastAsia" w:ascii="Times New Roman" w:hAnsi="Times New Roman" w:eastAsia="宋体" w:cs="Times New Roman"/>
                <w:b/>
                <w:bCs/>
                <w:color w:val="auto"/>
                <w:szCs w:val="24"/>
                <w:lang w:eastAsia="zh-CN"/>
              </w:rPr>
              <w:t>有组织</w:t>
            </w:r>
            <w:r>
              <w:rPr>
                <w:rFonts w:hint="default" w:ascii="Times New Roman" w:hAnsi="Times New Roman" w:eastAsia="宋体" w:cs="Times New Roman"/>
                <w:b/>
                <w:bCs/>
                <w:color w:val="auto"/>
                <w:szCs w:val="24"/>
              </w:rPr>
              <w:t>废气</w:t>
            </w:r>
            <w:r>
              <w:rPr>
                <w:rFonts w:hint="eastAsia" w:ascii="Times New Roman" w:hAnsi="Times New Roman" w:eastAsia="宋体" w:cs="Times New Roman"/>
                <w:b/>
                <w:bCs/>
                <w:color w:val="auto"/>
                <w:szCs w:val="24"/>
                <w:lang w:val="en-US" w:eastAsia="zh-CN"/>
              </w:rPr>
              <w:t>污染物排放源</w:t>
            </w:r>
            <w:r>
              <w:rPr>
                <w:rFonts w:hint="default" w:ascii="Times New Roman" w:hAnsi="Times New Roman" w:eastAsia="宋体" w:cs="Times New Roman"/>
                <w:b/>
                <w:bCs/>
                <w:color w:val="auto"/>
                <w:szCs w:val="24"/>
              </w:rPr>
              <w:t>情况</w:t>
            </w:r>
            <w:r>
              <w:rPr>
                <w:rFonts w:hint="default" w:ascii="Times New Roman" w:hAnsi="Times New Roman" w:eastAsia="宋体" w:cs="Times New Roman"/>
                <w:b/>
                <w:bCs/>
                <w:color w:val="auto"/>
                <w:szCs w:val="24"/>
                <w:lang w:val="en-US" w:eastAsia="zh-CN"/>
              </w:rPr>
              <w:t>一览表</w:t>
            </w:r>
          </w:p>
          <w:tbl>
            <w:tblPr>
              <w:tblStyle w:val="23"/>
              <w:tblW w:w="1215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377"/>
              <w:gridCol w:w="279"/>
              <w:gridCol w:w="516"/>
              <w:gridCol w:w="516"/>
              <w:gridCol w:w="286"/>
              <w:gridCol w:w="987"/>
              <w:gridCol w:w="1042"/>
              <w:gridCol w:w="395"/>
              <w:gridCol w:w="395"/>
              <w:gridCol w:w="442"/>
              <w:gridCol w:w="423"/>
              <w:gridCol w:w="476"/>
              <w:gridCol w:w="518"/>
              <w:gridCol w:w="197"/>
              <w:gridCol w:w="474"/>
              <w:gridCol w:w="598"/>
              <w:gridCol w:w="628"/>
              <w:gridCol w:w="552"/>
              <w:gridCol w:w="1871"/>
              <w:gridCol w:w="532"/>
              <w:gridCol w:w="362"/>
              <w:gridCol w:w="284"/>
            </w:tblGrid>
            <w:tr w14:paraId="6D392BD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155" w:type="pct"/>
                  <w:vMerge w:val="restart"/>
                  <w:tcBorders>
                    <w:tl2br w:val="nil"/>
                    <w:tr2bl w:val="nil"/>
                  </w:tcBorders>
                  <w:noWrap w:val="0"/>
                  <w:vAlign w:val="center"/>
                </w:tcPr>
                <w:p w14:paraId="0FDC5FC6">
                  <w:pPr>
                    <w:pStyle w:val="48"/>
                    <w:keepNext w:val="0"/>
                    <w:keepLines w:val="0"/>
                    <w:pageBreakBefore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产排污环节</w:t>
                  </w:r>
                </w:p>
              </w:tc>
              <w:tc>
                <w:tcPr>
                  <w:tcW w:w="115" w:type="pct"/>
                  <w:vMerge w:val="restart"/>
                  <w:tcBorders>
                    <w:tl2br w:val="nil"/>
                    <w:tr2bl w:val="nil"/>
                  </w:tcBorders>
                  <w:noWrap w:val="0"/>
                  <w:tcMar>
                    <w:left w:w="0" w:type="dxa"/>
                    <w:right w:w="0" w:type="dxa"/>
                  </w:tcMar>
                  <w:vAlign w:val="center"/>
                </w:tcPr>
                <w:p w14:paraId="3A086F8A">
                  <w:pPr>
                    <w:pStyle w:val="48"/>
                    <w:keepNext w:val="0"/>
                    <w:keepLines w:val="0"/>
                    <w:pageBreakBefore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污染物种类</w:t>
                  </w:r>
                </w:p>
              </w:tc>
              <w:tc>
                <w:tcPr>
                  <w:tcW w:w="424" w:type="pct"/>
                  <w:gridSpan w:val="2"/>
                  <w:tcBorders>
                    <w:tl2br w:val="nil"/>
                    <w:tr2bl w:val="nil"/>
                  </w:tcBorders>
                  <w:noWrap w:val="0"/>
                  <w:tcMar>
                    <w:left w:w="0" w:type="dxa"/>
                    <w:right w:w="0" w:type="dxa"/>
                  </w:tcMar>
                  <w:vAlign w:val="center"/>
                </w:tcPr>
                <w:p w14:paraId="1EB7171C">
                  <w:pPr>
                    <w:pStyle w:val="48"/>
                    <w:keepNext w:val="0"/>
                    <w:keepLines w:val="0"/>
                    <w:pageBreakBefore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产生状况</w:t>
                  </w:r>
                </w:p>
              </w:tc>
              <w:tc>
                <w:tcPr>
                  <w:tcW w:w="118" w:type="pct"/>
                  <w:vMerge w:val="restart"/>
                  <w:tcBorders>
                    <w:tl2br w:val="nil"/>
                    <w:tr2bl w:val="nil"/>
                  </w:tcBorders>
                  <w:noWrap w:val="0"/>
                  <w:tcMar>
                    <w:left w:w="0" w:type="dxa"/>
                    <w:right w:w="0" w:type="dxa"/>
                  </w:tcMar>
                  <w:vAlign w:val="center"/>
                </w:tcPr>
                <w:p w14:paraId="58E6DC2A">
                  <w:pPr>
                    <w:pStyle w:val="48"/>
                    <w:keepNext w:val="0"/>
                    <w:keepLines w:val="0"/>
                    <w:pageBreakBefore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排放形式</w:t>
                  </w:r>
                </w:p>
              </w:tc>
              <w:tc>
                <w:tcPr>
                  <w:tcW w:w="1341" w:type="pct"/>
                  <w:gridSpan w:val="5"/>
                  <w:tcBorders>
                    <w:tl2br w:val="nil"/>
                    <w:tr2bl w:val="nil"/>
                  </w:tcBorders>
                  <w:noWrap w:val="0"/>
                  <w:tcMar>
                    <w:left w:w="0" w:type="dxa"/>
                    <w:right w:w="0" w:type="dxa"/>
                  </w:tcMar>
                  <w:vAlign w:val="center"/>
                </w:tcPr>
                <w:p w14:paraId="17E9495C">
                  <w:pPr>
                    <w:pStyle w:val="48"/>
                    <w:keepNext w:val="0"/>
                    <w:keepLines w:val="0"/>
                    <w:pageBreakBefore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治理设施</w:t>
                  </w:r>
                </w:p>
              </w:tc>
              <w:tc>
                <w:tcPr>
                  <w:tcW w:w="583" w:type="pct"/>
                  <w:gridSpan w:val="3"/>
                  <w:tcBorders>
                    <w:tl2br w:val="nil"/>
                    <w:tr2bl w:val="nil"/>
                  </w:tcBorders>
                  <w:noWrap w:val="0"/>
                  <w:tcMar>
                    <w:left w:w="0" w:type="dxa"/>
                    <w:right w:w="0" w:type="dxa"/>
                  </w:tcMar>
                  <w:vAlign w:val="center"/>
                </w:tcPr>
                <w:p w14:paraId="49F8C7AE">
                  <w:pPr>
                    <w:pStyle w:val="48"/>
                    <w:keepNext w:val="0"/>
                    <w:keepLines w:val="0"/>
                    <w:pageBreakBefore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排放情况</w:t>
                  </w:r>
                </w:p>
              </w:tc>
              <w:tc>
                <w:tcPr>
                  <w:tcW w:w="1776" w:type="pct"/>
                  <w:gridSpan w:val="6"/>
                  <w:tcBorders>
                    <w:tl2br w:val="nil"/>
                    <w:tr2bl w:val="nil"/>
                  </w:tcBorders>
                  <w:noWrap w:val="0"/>
                  <w:tcMar>
                    <w:left w:w="0" w:type="dxa"/>
                    <w:right w:w="0" w:type="dxa"/>
                  </w:tcMar>
                  <w:vAlign w:val="center"/>
                </w:tcPr>
                <w:p w14:paraId="7991B6E4">
                  <w:pPr>
                    <w:pStyle w:val="48"/>
                    <w:keepNext w:val="0"/>
                    <w:keepLines w:val="0"/>
                    <w:pageBreakBefore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排放口基本情况</w:t>
                  </w:r>
                </w:p>
              </w:tc>
              <w:tc>
                <w:tcPr>
                  <w:tcW w:w="367" w:type="pct"/>
                  <w:gridSpan w:val="2"/>
                  <w:tcBorders>
                    <w:tl2br w:val="nil"/>
                    <w:tr2bl w:val="nil"/>
                  </w:tcBorders>
                  <w:noWrap w:val="0"/>
                  <w:tcMar>
                    <w:left w:w="0" w:type="dxa"/>
                    <w:right w:w="0" w:type="dxa"/>
                  </w:tcMar>
                  <w:vAlign w:val="center"/>
                </w:tcPr>
                <w:p w14:paraId="7907810B">
                  <w:pPr>
                    <w:pStyle w:val="48"/>
                    <w:keepNext w:val="0"/>
                    <w:keepLines w:val="0"/>
                    <w:pageBreakBefore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排放标准</w:t>
                  </w:r>
                </w:p>
              </w:tc>
              <w:tc>
                <w:tcPr>
                  <w:tcW w:w="116" w:type="pct"/>
                  <w:vMerge w:val="restart"/>
                  <w:tcBorders>
                    <w:tl2br w:val="nil"/>
                    <w:tr2bl w:val="nil"/>
                  </w:tcBorders>
                  <w:noWrap w:val="0"/>
                  <w:tcMar>
                    <w:left w:w="0" w:type="dxa"/>
                    <w:right w:w="0" w:type="dxa"/>
                  </w:tcMar>
                  <w:vAlign w:val="center"/>
                </w:tcPr>
                <w:p w14:paraId="337EF622">
                  <w:pPr>
                    <w:pStyle w:val="48"/>
                    <w:keepNext w:val="0"/>
                    <w:keepLines w:val="0"/>
                    <w:pageBreakBefore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工作时间h</w:t>
                  </w:r>
                </w:p>
              </w:tc>
            </w:tr>
            <w:tr w14:paraId="3CC426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155" w:type="pct"/>
                  <w:vMerge w:val="continue"/>
                  <w:tcBorders>
                    <w:tl2br w:val="nil"/>
                    <w:tr2bl w:val="nil"/>
                  </w:tcBorders>
                  <w:noWrap w:val="0"/>
                  <w:vAlign w:val="center"/>
                </w:tcPr>
                <w:p w14:paraId="68A6EBB0">
                  <w:pPr>
                    <w:pStyle w:val="48"/>
                    <w:keepNext w:val="0"/>
                    <w:keepLines w:val="0"/>
                    <w:pageBreakBefore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b/>
                      <w:bCs w:val="0"/>
                      <w:color w:val="auto"/>
                      <w:sz w:val="21"/>
                      <w:szCs w:val="21"/>
                      <w:lang w:val="en-US" w:eastAsia="zh-CN"/>
                    </w:rPr>
                  </w:pPr>
                </w:p>
              </w:tc>
              <w:tc>
                <w:tcPr>
                  <w:tcW w:w="115" w:type="pct"/>
                  <w:vMerge w:val="continue"/>
                  <w:tcBorders>
                    <w:tl2br w:val="nil"/>
                    <w:tr2bl w:val="nil"/>
                  </w:tcBorders>
                  <w:noWrap w:val="0"/>
                  <w:tcMar>
                    <w:left w:w="0" w:type="dxa"/>
                    <w:right w:w="0" w:type="dxa"/>
                  </w:tcMar>
                  <w:vAlign w:val="center"/>
                </w:tcPr>
                <w:p w14:paraId="0959D7EC">
                  <w:pPr>
                    <w:pStyle w:val="48"/>
                    <w:keepNext w:val="0"/>
                    <w:keepLines w:val="0"/>
                    <w:pageBreakBefore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b/>
                      <w:bCs w:val="0"/>
                      <w:color w:val="auto"/>
                      <w:sz w:val="21"/>
                      <w:szCs w:val="21"/>
                      <w:lang w:val="en-US" w:eastAsia="zh-CN"/>
                    </w:rPr>
                  </w:pPr>
                </w:p>
              </w:tc>
              <w:tc>
                <w:tcPr>
                  <w:tcW w:w="212" w:type="pct"/>
                  <w:tcBorders>
                    <w:tl2br w:val="nil"/>
                    <w:tr2bl w:val="nil"/>
                  </w:tcBorders>
                  <w:noWrap w:val="0"/>
                  <w:tcMar>
                    <w:left w:w="0" w:type="dxa"/>
                    <w:right w:w="0" w:type="dxa"/>
                  </w:tcMar>
                  <w:vAlign w:val="center"/>
                </w:tcPr>
                <w:p w14:paraId="69E62977">
                  <w:pPr>
                    <w:pStyle w:val="48"/>
                    <w:keepNext w:val="0"/>
                    <w:keepLines w:val="0"/>
                    <w:pageBreakBefore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浓度</w:t>
                  </w:r>
                </w:p>
                <w:p w14:paraId="417AC173">
                  <w:pPr>
                    <w:pStyle w:val="48"/>
                    <w:keepNext w:val="0"/>
                    <w:keepLines w:val="0"/>
                    <w:pageBreakBefore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mg/ m</w:t>
                  </w:r>
                  <w:r>
                    <w:rPr>
                      <w:rFonts w:hint="default" w:ascii="Times New Roman" w:hAnsi="Times New Roman" w:eastAsia="宋体" w:cs="Times New Roman"/>
                      <w:b/>
                      <w:bCs w:val="0"/>
                      <w:color w:val="auto"/>
                      <w:sz w:val="21"/>
                      <w:szCs w:val="21"/>
                      <w:vertAlign w:val="superscript"/>
                      <w:lang w:val="en-US" w:eastAsia="zh-CN"/>
                    </w:rPr>
                    <w:t>3</w:t>
                  </w:r>
                </w:p>
              </w:tc>
              <w:tc>
                <w:tcPr>
                  <w:tcW w:w="212" w:type="pct"/>
                  <w:tcBorders>
                    <w:tl2br w:val="nil"/>
                    <w:tr2bl w:val="nil"/>
                  </w:tcBorders>
                  <w:noWrap w:val="0"/>
                  <w:tcMar>
                    <w:left w:w="0" w:type="dxa"/>
                    <w:right w:w="0" w:type="dxa"/>
                  </w:tcMar>
                  <w:vAlign w:val="center"/>
                </w:tcPr>
                <w:p w14:paraId="42203D99">
                  <w:pPr>
                    <w:pStyle w:val="48"/>
                    <w:keepNext w:val="0"/>
                    <w:keepLines w:val="0"/>
                    <w:pageBreakBefore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产生量</w:t>
                  </w:r>
                </w:p>
                <w:p w14:paraId="0126A91B">
                  <w:pPr>
                    <w:pStyle w:val="48"/>
                    <w:keepNext w:val="0"/>
                    <w:keepLines w:val="0"/>
                    <w:pageBreakBefore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t/a</w:t>
                  </w:r>
                </w:p>
              </w:tc>
              <w:tc>
                <w:tcPr>
                  <w:tcW w:w="118" w:type="pct"/>
                  <w:vMerge w:val="continue"/>
                  <w:tcBorders>
                    <w:tl2br w:val="nil"/>
                    <w:tr2bl w:val="nil"/>
                  </w:tcBorders>
                  <w:noWrap w:val="0"/>
                  <w:tcMar>
                    <w:left w:w="0" w:type="dxa"/>
                    <w:right w:w="0" w:type="dxa"/>
                  </w:tcMar>
                  <w:vAlign w:val="center"/>
                </w:tcPr>
                <w:p w14:paraId="24339D72">
                  <w:pPr>
                    <w:pStyle w:val="48"/>
                    <w:keepNext w:val="0"/>
                    <w:keepLines w:val="0"/>
                    <w:pageBreakBefore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b/>
                      <w:bCs w:val="0"/>
                      <w:color w:val="auto"/>
                      <w:sz w:val="21"/>
                      <w:szCs w:val="21"/>
                      <w:lang w:val="en-US" w:eastAsia="zh-CN"/>
                    </w:rPr>
                  </w:pPr>
                </w:p>
              </w:tc>
              <w:tc>
                <w:tcPr>
                  <w:tcW w:w="406" w:type="pct"/>
                  <w:tcBorders>
                    <w:tl2br w:val="nil"/>
                    <w:tr2bl w:val="nil"/>
                  </w:tcBorders>
                  <w:noWrap w:val="0"/>
                  <w:tcMar>
                    <w:left w:w="0" w:type="dxa"/>
                    <w:right w:w="0" w:type="dxa"/>
                  </w:tcMar>
                  <w:vAlign w:val="center"/>
                </w:tcPr>
                <w:p w14:paraId="21A783C2">
                  <w:pPr>
                    <w:pStyle w:val="48"/>
                    <w:keepNext w:val="0"/>
                    <w:keepLines w:val="0"/>
                    <w:pageBreakBefore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b/>
                      <w:bCs w:val="0"/>
                      <w:color w:val="auto"/>
                      <w:sz w:val="21"/>
                      <w:szCs w:val="21"/>
                      <w:lang w:val="en-US" w:eastAsia="zh-CN"/>
                    </w:rPr>
                  </w:pPr>
                  <w:r>
                    <w:rPr>
                      <w:rFonts w:hint="eastAsia" w:ascii="Times New Roman" w:hAnsi="Times New Roman" w:eastAsia="宋体" w:cs="Times New Roman"/>
                      <w:b/>
                      <w:bCs w:val="0"/>
                      <w:color w:val="auto"/>
                      <w:sz w:val="21"/>
                      <w:szCs w:val="21"/>
                      <w:lang w:val="en-US" w:eastAsia="zh-CN"/>
                    </w:rPr>
                    <w:t>风量m</w:t>
                  </w:r>
                  <w:r>
                    <w:rPr>
                      <w:rFonts w:hint="eastAsia" w:ascii="Times New Roman" w:hAnsi="Times New Roman" w:eastAsia="宋体" w:cs="Times New Roman"/>
                      <w:b/>
                      <w:bCs w:val="0"/>
                      <w:color w:val="auto"/>
                      <w:sz w:val="21"/>
                      <w:szCs w:val="21"/>
                      <w:vertAlign w:val="superscript"/>
                      <w:lang w:val="en-US" w:eastAsia="zh-CN"/>
                    </w:rPr>
                    <w:t>3</w:t>
                  </w:r>
                  <w:r>
                    <w:rPr>
                      <w:rFonts w:hint="eastAsia" w:ascii="Times New Roman" w:hAnsi="Times New Roman" w:eastAsia="宋体" w:cs="Times New Roman"/>
                      <w:b/>
                      <w:bCs w:val="0"/>
                      <w:color w:val="auto"/>
                      <w:sz w:val="21"/>
                      <w:szCs w:val="21"/>
                      <w:lang w:val="en-US" w:eastAsia="zh-CN"/>
                    </w:rPr>
                    <w:t>/h</w:t>
                  </w:r>
                </w:p>
              </w:tc>
              <w:tc>
                <w:tcPr>
                  <w:tcW w:w="429" w:type="pct"/>
                  <w:tcBorders>
                    <w:tl2br w:val="nil"/>
                    <w:tr2bl w:val="nil"/>
                  </w:tcBorders>
                  <w:noWrap w:val="0"/>
                  <w:tcMar>
                    <w:left w:w="0" w:type="dxa"/>
                    <w:right w:w="0" w:type="dxa"/>
                  </w:tcMar>
                  <w:vAlign w:val="center"/>
                </w:tcPr>
                <w:p w14:paraId="1E646C84">
                  <w:pPr>
                    <w:pStyle w:val="48"/>
                    <w:keepNext w:val="0"/>
                    <w:keepLines w:val="0"/>
                    <w:pageBreakBefore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措施</w:t>
                  </w:r>
                </w:p>
              </w:tc>
              <w:tc>
                <w:tcPr>
                  <w:tcW w:w="162" w:type="pct"/>
                  <w:tcBorders>
                    <w:tl2br w:val="nil"/>
                    <w:tr2bl w:val="nil"/>
                  </w:tcBorders>
                  <w:noWrap w:val="0"/>
                  <w:tcMar>
                    <w:left w:w="0" w:type="dxa"/>
                    <w:right w:w="0" w:type="dxa"/>
                  </w:tcMar>
                  <w:vAlign w:val="center"/>
                </w:tcPr>
                <w:p w14:paraId="3302266D">
                  <w:pPr>
                    <w:pStyle w:val="48"/>
                    <w:keepNext w:val="0"/>
                    <w:keepLines w:val="0"/>
                    <w:pageBreakBefore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收集效率%</w:t>
                  </w:r>
                </w:p>
              </w:tc>
              <w:tc>
                <w:tcPr>
                  <w:tcW w:w="162" w:type="pct"/>
                  <w:tcBorders>
                    <w:tl2br w:val="nil"/>
                    <w:tr2bl w:val="nil"/>
                  </w:tcBorders>
                  <w:noWrap w:val="0"/>
                  <w:tcMar>
                    <w:left w:w="0" w:type="dxa"/>
                    <w:right w:w="0" w:type="dxa"/>
                  </w:tcMar>
                  <w:vAlign w:val="center"/>
                </w:tcPr>
                <w:p w14:paraId="0A207A97">
                  <w:pPr>
                    <w:pStyle w:val="48"/>
                    <w:keepNext w:val="0"/>
                    <w:keepLines w:val="0"/>
                    <w:pageBreakBefore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治理工艺去除率%</w:t>
                  </w:r>
                </w:p>
              </w:tc>
              <w:tc>
                <w:tcPr>
                  <w:tcW w:w="181" w:type="pct"/>
                  <w:tcBorders>
                    <w:tl2br w:val="nil"/>
                    <w:tr2bl w:val="nil"/>
                  </w:tcBorders>
                  <w:noWrap w:val="0"/>
                  <w:tcMar>
                    <w:left w:w="0" w:type="dxa"/>
                    <w:right w:w="0" w:type="dxa"/>
                  </w:tcMar>
                  <w:vAlign w:val="center"/>
                </w:tcPr>
                <w:p w14:paraId="08A95DED">
                  <w:pPr>
                    <w:pStyle w:val="48"/>
                    <w:keepNext w:val="0"/>
                    <w:keepLines w:val="0"/>
                    <w:pageBreakBefore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是否为可行技术</w:t>
                  </w:r>
                </w:p>
              </w:tc>
              <w:tc>
                <w:tcPr>
                  <w:tcW w:w="174" w:type="pct"/>
                  <w:tcBorders>
                    <w:tl2br w:val="nil"/>
                    <w:tr2bl w:val="nil"/>
                  </w:tcBorders>
                  <w:noWrap w:val="0"/>
                  <w:tcMar>
                    <w:left w:w="0" w:type="dxa"/>
                    <w:right w:w="0" w:type="dxa"/>
                  </w:tcMar>
                  <w:vAlign w:val="center"/>
                </w:tcPr>
                <w:p w14:paraId="26D2543A">
                  <w:pPr>
                    <w:pStyle w:val="48"/>
                    <w:keepNext w:val="0"/>
                    <w:keepLines w:val="0"/>
                    <w:pageBreakBefore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浓度</w:t>
                  </w:r>
                </w:p>
                <w:p w14:paraId="6D295E64">
                  <w:pPr>
                    <w:pStyle w:val="48"/>
                    <w:keepNext w:val="0"/>
                    <w:keepLines w:val="0"/>
                    <w:pageBreakBefore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mg/ m</w:t>
                  </w:r>
                  <w:r>
                    <w:rPr>
                      <w:rFonts w:hint="default" w:ascii="Times New Roman" w:hAnsi="Times New Roman" w:eastAsia="宋体" w:cs="Times New Roman"/>
                      <w:b/>
                      <w:bCs w:val="0"/>
                      <w:color w:val="auto"/>
                      <w:sz w:val="21"/>
                      <w:szCs w:val="21"/>
                      <w:vertAlign w:val="superscript"/>
                      <w:lang w:val="en-US" w:eastAsia="zh-CN"/>
                    </w:rPr>
                    <w:t>3</w:t>
                  </w:r>
                </w:p>
              </w:tc>
              <w:tc>
                <w:tcPr>
                  <w:tcW w:w="196" w:type="pct"/>
                  <w:tcBorders>
                    <w:tl2br w:val="nil"/>
                    <w:tr2bl w:val="nil"/>
                  </w:tcBorders>
                  <w:noWrap w:val="0"/>
                  <w:tcMar>
                    <w:left w:w="0" w:type="dxa"/>
                    <w:right w:w="0" w:type="dxa"/>
                  </w:tcMar>
                  <w:vAlign w:val="center"/>
                </w:tcPr>
                <w:p w14:paraId="2EB4A880">
                  <w:pPr>
                    <w:pStyle w:val="48"/>
                    <w:keepNext w:val="0"/>
                    <w:keepLines w:val="0"/>
                    <w:pageBreakBefore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速率</w:t>
                  </w:r>
                </w:p>
                <w:p w14:paraId="4BEC181F">
                  <w:pPr>
                    <w:pStyle w:val="48"/>
                    <w:keepNext w:val="0"/>
                    <w:keepLines w:val="0"/>
                    <w:pageBreakBefore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kg/h</w:t>
                  </w:r>
                </w:p>
              </w:tc>
              <w:tc>
                <w:tcPr>
                  <w:tcW w:w="213" w:type="pct"/>
                  <w:tcBorders>
                    <w:tl2br w:val="nil"/>
                    <w:tr2bl w:val="nil"/>
                  </w:tcBorders>
                  <w:noWrap w:val="0"/>
                  <w:tcMar>
                    <w:left w:w="0" w:type="dxa"/>
                    <w:right w:w="0" w:type="dxa"/>
                  </w:tcMar>
                  <w:vAlign w:val="center"/>
                </w:tcPr>
                <w:p w14:paraId="620ADD92">
                  <w:pPr>
                    <w:pStyle w:val="48"/>
                    <w:keepNext w:val="0"/>
                    <w:keepLines w:val="0"/>
                    <w:pageBreakBefore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排放量t/a</w:t>
                  </w:r>
                </w:p>
              </w:tc>
              <w:tc>
                <w:tcPr>
                  <w:tcW w:w="81" w:type="pct"/>
                  <w:tcBorders>
                    <w:tl2br w:val="nil"/>
                    <w:tr2bl w:val="nil"/>
                  </w:tcBorders>
                  <w:noWrap w:val="0"/>
                  <w:tcMar>
                    <w:left w:w="0" w:type="dxa"/>
                    <w:right w:w="0" w:type="dxa"/>
                  </w:tcMar>
                  <w:vAlign w:val="center"/>
                </w:tcPr>
                <w:p w14:paraId="427A7BE6">
                  <w:pPr>
                    <w:pStyle w:val="48"/>
                    <w:keepNext w:val="0"/>
                    <w:keepLines w:val="0"/>
                    <w:pageBreakBefore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高度m</w:t>
                  </w:r>
                </w:p>
              </w:tc>
              <w:tc>
                <w:tcPr>
                  <w:tcW w:w="195" w:type="pct"/>
                  <w:tcBorders>
                    <w:tl2br w:val="nil"/>
                    <w:tr2bl w:val="nil"/>
                  </w:tcBorders>
                  <w:noWrap w:val="0"/>
                  <w:tcMar>
                    <w:left w:w="0" w:type="dxa"/>
                    <w:right w:w="0" w:type="dxa"/>
                  </w:tcMar>
                  <w:vAlign w:val="center"/>
                </w:tcPr>
                <w:p w14:paraId="6C3FEF81">
                  <w:pPr>
                    <w:pStyle w:val="48"/>
                    <w:keepNext w:val="0"/>
                    <w:keepLines w:val="0"/>
                    <w:pageBreakBefore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排气筒内径m</w:t>
                  </w:r>
                </w:p>
              </w:tc>
              <w:tc>
                <w:tcPr>
                  <w:tcW w:w="246" w:type="pct"/>
                  <w:tcBorders>
                    <w:tl2br w:val="nil"/>
                    <w:tr2bl w:val="nil"/>
                  </w:tcBorders>
                  <w:noWrap w:val="0"/>
                  <w:tcMar>
                    <w:left w:w="0" w:type="dxa"/>
                    <w:right w:w="0" w:type="dxa"/>
                  </w:tcMar>
                  <w:vAlign w:val="center"/>
                </w:tcPr>
                <w:p w14:paraId="353209A4">
                  <w:pPr>
                    <w:pStyle w:val="48"/>
                    <w:keepNext w:val="0"/>
                    <w:keepLines w:val="0"/>
                    <w:pageBreakBefore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温度℃</w:t>
                  </w:r>
                </w:p>
              </w:tc>
              <w:tc>
                <w:tcPr>
                  <w:tcW w:w="258" w:type="pct"/>
                  <w:tcBorders>
                    <w:tl2br w:val="nil"/>
                    <w:tr2bl w:val="nil"/>
                  </w:tcBorders>
                  <w:noWrap w:val="0"/>
                  <w:tcMar>
                    <w:left w:w="0" w:type="dxa"/>
                    <w:right w:w="0" w:type="dxa"/>
                  </w:tcMar>
                  <w:vAlign w:val="center"/>
                </w:tcPr>
                <w:p w14:paraId="36D2DE92">
                  <w:pPr>
                    <w:pStyle w:val="48"/>
                    <w:keepNext w:val="0"/>
                    <w:keepLines w:val="0"/>
                    <w:pageBreakBefore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编号及名称</w:t>
                  </w:r>
                </w:p>
              </w:tc>
              <w:tc>
                <w:tcPr>
                  <w:tcW w:w="227" w:type="pct"/>
                  <w:tcBorders>
                    <w:tl2br w:val="nil"/>
                    <w:tr2bl w:val="nil"/>
                  </w:tcBorders>
                  <w:noWrap w:val="0"/>
                  <w:tcMar>
                    <w:left w:w="0" w:type="dxa"/>
                    <w:right w:w="0" w:type="dxa"/>
                  </w:tcMar>
                  <w:vAlign w:val="center"/>
                </w:tcPr>
                <w:p w14:paraId="7C0DF812">
                  <w:pPr>
                    <w:pStyle w:val="48"/>
                    <w:keepNext w:val="0"/>
                    <w:keepLines w:val="0"/>
                    <w:pageBreakBefore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类型</w:t>
                  </w:r>
                </w:p>
              </w:tc>
              <w:tc>
                <w:tcPr>
                  <w:tcW w:w="769" w:type="pct"/>
                  <w:tcBorders>
                    <w:tl2br w:val="nil"/>
                    <w:tr2bl w:val="nil"/>
                  </w:tcBorders>
                  <w:noWrap w:val="0"/>
                  <w:tcMar>
                    <w:left w:w="0" w:type="dxa"/>
                    <w:right w:w="0" w:type="dxa"/>
                  </w:tcMar>
                  <w:vAlign w:val="center"/>
                </w:tcPr>
                <w:p w14:paraId="195241B4">
                  <w:pPr>
                    <w:pStyle w:val="48"/>
                    <w:keepNext w:val="0"/>
                    <w:keepLines w:val="0"/>
                    <w:pageBreakBefore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地理坐标</w:t>
                  </w:r>
                </w:p>
              </w:tc>
              <w:tc>
                <w:tcPr>
                  <w:tcW w:w="218" w:type="pct"/>
                  <w:tcBorders>
                    <w:tl2br w:val="nil"/>
                    <w:tr2bl w:val="nil"/>
                  </w:tcBorders>
                  <w:noWrap w:val="0"/>
                  <w:tcMar>
                    <w:left w:w="0" w:type="dxa"/>
                    <w:right w:w="0" w:type="dxa"/>
                  </w:tcMar>
                  <w:vAlign w:val="center"/>
                </w:tcPr>
                <w:p w14:paraId="2A9365C5">
                  <w:pPr>
                    <w:pStyle w:val="48"/>
                    <w:keepNext w:val="0"/>
                    <w:keepLines w:val="0"/>
                    <w:pageBreakBefore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浓度</w:t>
                  </w:r>
                </w:p>
                <w:p w14:paraId="45C20CC9">
                  <w:pPr>
                    <w:pStyle w:val="48"/>
                    <w:keepNext w:val="0"/>
                    <w:keepLines w:val="0"/>
                    <w:pageBreakBefore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bCs w:val="0"/>
                      <w:color w:val="auto"/>
                      <w:sz w:val="21"/>
                      <w:szCs w:val="21"/>
                      <w:lang w:val="en-US" w:eastAsia="zh-CN"/>
                    </w:rPr>
                    <w:t>mg/m</w:t>
                  </w:r>
                  <w:r>
                    <w:rPr>
                      <w:rFonts w:hint="default" w:ascii="Times New Roman" w:hAnsi="Times New Roman" w:eastAsia="宋体" w:cs="Times New Roman"/>
                      <w:b/>
                      <w:bCs w:val="0"/>
                      <w:color w:val="auto"/>
                      <w:sz w:val="21"/>
                      <w:szCs w:val="21"/>
                      <w:vertAlign w:val="superscript"/>
                      <w:lang w:val="en-US" w:eastAsia="zh-CN"/>
                    </w:rPr>
                    <w:t>3</w:t>
                  </w:r>
                </w:p>
              </w:tc>
              <w:tc>
                <w:tcPr>
                  <w:tcW w:w="148" w:type="pct"/>
                  <w:tcBorders>
                    <w:tl2br w:val="nil"/>
                    <w:tr2bl w:val="nil"/>
                  </w:tcBorders>
                  <w:noWrap w:val="0"/>
                  <w:tcMar>
                    <w:left w:w="0" w:type="dxa"/>
                    <w:right w:w="0" w:type="dxa"/>
                  </w:tcMar>
                  <w:vAlign w:val="center"/>
                </w:tcPr>
                <w:p w14:paraId="4B612F38">
                  <w:pPr>
                    <w:pStyle w:val="48"/>
                    <w:keepNext w:val="0"/>
                    <w:keepLines w:val="0"/>
                    <w:pageBreakBefore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速率</w:t>
                  </w:r>
                </w:p>
                <w:p w14:paraId="6D934697">
                  <w:pPr>
                    <w:pStyle w:val="48"/>
                    <w:keepNext w:val="0"/>
                    <w:keepLines w:val="0"/>
                    <w:pageBreakBefore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bCs w:val="0"/>
                      <w:color w:val="auto"/>
                      <w:sz w:val="21"/>
                      <w:szCs w:val="21"/>
                      <w:lang w:val="en-US" w:eastAsia="zh-CN"/>
                    </w:rPr>
                    <w:t>kg/h</w:t>
                  </w:r>
                </w:p>
              </w:tc>
              <w:tc>
                <w:tcPr>
                  <w:tcW w:w="116" w:type="pct"/>
                  <w:vMerge w:val="continue"/>
                  <w:tcBorders>
                    <w:tl2br w:val="nil"/>
                    <w:tr2bl w:val="nil"/>
                  </w:tcBorders>
                  <w:noWrap w:val="0"/>
                  <w:tcMar>
                    <w:left w:w="0" w:type="dxa"/>
                    <w:right w:w="0" w:type="dxa"/>
                  </w:tcMar>
                  <w:vAlign w:val="center"/>
                </w:tcPr>
                <w:p w14:paraId="1F76AEE2">
                  <w:pPr>
                    <w:pStyle w:val="48"/>
                    <w:keepNext w:val="0"/>
                    <w:keepLines w:val="0"/>
                    <w:pageBreakBefore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b/>
                      <w:bCs w:val="0"/>
                      <w:color w:val="auto"/>
                      <w:sz w:val="21"/>
                      <w:szCs w:val="21"/>
                      <w:lang w:val="en-US" w:eastAsia="zh-CN"/>
                    </w:rPr>
                  </w:pPr>
                </w:p>
              </w:tc>
            </w:tr>
            <w:tr w14:paraId="6B34F9D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155" w:type="pct"/>
                  <w:vMerge w:val="restart"/>
                  <w:tcBorders>
                    <w:tl2br w:val="nil"/>
                    <w:tr2bl w:val="nil"/>
                  </w:tcBorders>
                  <w:noWrap w:val="0"/>
                  <w:vAlign w:val="center"/>
                </w:tcPr>
                <w:p w14:paraId="3F3509ED">
                  <w:pPr>
                    <w:pStyle w:val="48"/>
                    <w:keepNext w:val="0"/>
                    <w:keepLines w:val="0"/>
                    <w:pageBreakBefore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生物质热解气燃烧</w:t>
                  </w:r>
                  <w:r>
                    <w:rPr>
                      <w:rFonts w:hint="eastAsia" w:ascii="Times New Roman" w:hAnsi="Times New Roman" w:cs="Times New Roman"/>
                      <w:color w:val="auto"/>
                      <w:sz w:val="21"/>
                      <w:szCs w:val="21"/>
                      <w:lang w:val="en-US" w:eastAsia="zh-CN"/>
                    </w:rPr>
                    <w:t>、脱硝废气</w:t>
                  </w:r>
                </w:p>
              </w:tc>
              <w:tc>
                <w:tcPr>
                  <w:tcW w:w="115" w:type="pct"/>
                  <w:tcBorders>
                    <w:tl2br w:val="nil"/>
                    <w:tr2bl w:val="nil"/>
                  </w:tcBorders>
                  <w:noWrap w:val="0"/>
                  <w:tcMar>
                    <w:left w:w="0" w:type="dxa"/>
                    <w:right w:w="0" w:type="dxa"/>
                  </w:tcMar>
                  <w:vAlign w:val="center"/>
                </w:tcPr>
                <w:p w14:paraId="74A031C3">
                  <w:pPr>
                    <w:pStyle w:val="48"/>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outlineLvl w:val="9"/>
                    <w:rPr>
                      <w:rFonts w:hint="default" w:ascii="Times New Roman" w:hAnsi="Times New Roman" w:cs="Times New Roman"/>
                      <w:b w:val="0"/>
                      <w:bCs/>
                      <w:color w:val="auto"/>
                      <w:sz w:val="21"/>
                      <w:szCs w:val="21"/>
                      <w:lang w:val="en-US" w:eastAsia="zh-CN"/>
                    </w:rPr>
                  </w:pPr>
                  <w:r>
                    <w:rPr>
                      <w:rFonts w:hint="eastAsia" w:ascii="Times New Roman" w:hAnsi="Times New Roman" w:cs="Times New Roman"/>
                      <w:b w:val="0"/>
                      <w:bCs w:val="0"/>
                      <w:iCs/>
                      <w:snapToGrid w:val="0"/>
                      <w:color w:val="auto"/>
                      <w:spacing w:val="-4"/>
                      <w:kern w:val="0"/>
                      <w:sz w:val="21"/>
                      <w:szCs w:val="21"/>
                      <w:lang w:val="en-US" w:eastAsia="zh-CN" w:bidi="en-US"/>
                    </w:rPr>
                    <w:t>颗粒物</w:t>
                  </w:r>
                </w:p>
              </w:tc>
              <w:tc>
                <w:tcPr>
                  <w:tcW w:w="212" w:type="pct"/>
                  <w:tcBorders>
                    <w:tl2br w:val="nil"/>
                    <w:tr2bl w:val="nil"/>
                  </w:tcBorders>
                  <w:shd w:val="clear" w:color="auto" w:fill="auto"/>
                  <w:noWrap w:val="0"/>
                  <w:tcMar>
                    <w:left w:w="0" w:type="dxa"/>
                    <w:right w:w="0" w:type="dxa"/>
                  </w:tcMar>
                  <w:vAlign w:val="center"/>
                </w:tcPr>
                <w:p w14:paraId="62633D57">
                  <w:pPr>
                    <w:pStyle w:val="48"/>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pacing w:val="-12"/>
                      <w:kern w:val="0"/>
                      <w:sz w:val="21"/>
                      <w:szCs w:val="21"/>
                      <w:lang w:val="en-US" w:eastAsia="zh-CN" w:bidi="ar-SA"/>
                    </w:rPr>
                  </w:pPr>
                  <w:r>
                    <w:rPr>
                      <w:rFonts w:hint="eastAsia" w:ascii="Times New Roman" w:hAnsi="Times New Roman" w:cs="Times New Roman"/>
                      <w:color w:val="auto"/>
                      <w:spacing w:val="-12"/>
                      <w:kern w:val="0"/>
                      <w:sz w:val="21"/>
                      <w:szCs w:val="21"/>
                      <w:lang w:val="en-US" w:eastAsia="zh-CN" w:bidi="ar-SA"/>
                    </w:rPr>
                    <w:t>38.76</w:t>
                  </w:r>
                </w:p>
              </w:tc>
              <w:tc>
                <w:tcPr>
                  <w:tcW w:w="212" w:type="pct"/>
                  <w:tcBorders>
                    <w:tl2br w:val="nil"/>
                    <w:tr2bl w:val="nil"/>
                  </w:tcBorders>
                  <w:shd w:val="clear" w:color="auto" w:fill="auto"/>
                  <w:noWrap w:val="0"/>
                  <w:tcMar>
                    <w:left w:w="0" w:type="dxa"/>
                    <w:right w:w="0" w:type="dxa"/>
                  </w:tcMar>
                  <w:vAlign w:val="center"/>
                </w:tcPr>
                <w:p w14:paraId="7676DC55">
                  <w:pPr>
                    <w:pStyle w:val="48"/>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pacing w:val="-12"/>
                      <w:kern w:val="0"/>
                      <w:sz w:val="21"/>
                      <w:szCs w:val="21"/>
                      <w:lang w:val="en-US" w:eastAsia="zh-CN" w:bidi="ar-SA"/>
                    </w:rPr>
                  </w:pPr>
                  <w:r>
                    <w:rPr>
                      <w:rFonts w:hint="eastAsia" w:ascii="Times New Roman" w:hAnsi="Times New Roman" w:cs="Times New Roman"/>
                      <w:color w:val="auto"/>
                      <w:spacing w:val="-12"/>
                      <w:kern w:val="0"/>
                      <w:sz w:val="21"/>
                      <w:szCs w:val="21"/>
                      <w:lang w:val="en-US" w:eastAsia="zh-CN" w:bidi="ar-SA"/>
                    </w:rPr>
                    <w:t>0.2299</w:t>
                  </w:r>
                </w:p>
              </w:tc>
              <w:tc>
                <w:tcPr>
                  <w:tcW w:w="118" w:type="pct"/>
                  <w:vMerge w:val="restart"/>
                  <w:tcBorders>
                    <w:tl2br w:val="nil"/>
                    <w:tr2bl w:val="nil"/>
                  </w:tcBorders>
                  <w:noWrap w:val="0"/>
                  <w:tcMar>
                    <w:left w:w="0" w:type="dxa"/>
                    <w:right w:w="0" w:type="dxa"/>
                  </w:tcMar>
                  <w:vAlign w:val="center"/>
                </w:tcPr>
                <w:p w14:paraId="53FC44E9">
                  <w:pPr>
                    <w:pStyle w:val="48"/>
                    <w:keepNext w:val="0"/>
                    <w:keepLines w:val="0"/>
                    <w:pageBreakBefore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有组织</w:t>
                  </w:r>
                </w:p>
              </w:tc>
              <w:tc>
                <w:tcPr>
                  <w:tcW w:w="406" w:type="pct"/>
                  <w:vMerge w:val="restart"/>
                  <w:tcBorders>
                    <w:tl2br w:val="nil"/>
                    <w:tr2bl w:val="nil"/>
                  </w:tcBorders>
                  <w:noWrap w:val="0"/>
                  <w:tcMar>
                    <w:left w:w="0" w:type="dxa"/>
                    <w:right w:w="0" w:type="dxa"/>
                  </w:tcMar>
                  <w:vAlign w:val="center"/>
                </w:tcPr>
                <w:p w14:paraId="1882419D">
                  <w:pPr>
                    <w:pStyle w:val="48"/>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5931300/720≈8238</w:t>
                  </w:r>
                </w:p>
              </w:tc>
              <w:tc>
                <w:tcPr>
                  <w:tcW w:w="429" w:type="pct"/>
                  <w:tcBorders>
                    <w:tl2br w:val="nil"/>
                    <w:tr2bl w:val="nil"/>
                  </w:tcBorders>
                  <w:noWrap w:val="0"/>
                  <w:tcMar>
                    <w:left w:w="0" w:type="dxa"/>
                    <w:right w:w="0" w:type="dxa"/>
                  </w:tcMar>
                  <w:vAlign w:val="center"/>
                </w:tcPr>
                <w:p w14:paraId="4BAEEE55">
                  <w:pPr>
                    <w:pStyle w:val="48"/>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袋式除尘</w:t>
                  </w:r>
                </w:p>
              </w:tc>
              <w:tc>
                <w:tcPr>
                  <w:tcW w:w="162" w:type="pct"/>
                  <w:vMerge w:val="restart"/>
                  <w:tcBorders>
                    <w:tl2br w:val="nil"/>
                    <w:tr2bl w:val="nil"/>
                  </w:tcBorders>
                  <w:noWrap w:val="0"/>
                  <w:tcMar>
                    <w:left w:w="0" w:type="dxa"/>
                    <w:right w:w="0" w:type="dxa"/>
                  </w:tcMar>
                  <w:vAlign w:val="center"/>
                </w:tcPr>
                <w:p w14:paraId="324F48D8">
                  <w:pPr>
                    <w:pStyle w:val="48"/>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100</w:t>
                  </w:r>
                </w:p>
              </w:tc>
              <w:tc>
                <w:tcPr>
                  <w:tcW w:w="162" w:type="pct"/>
                  <w:tcBorders>
                    <w:tl2br w:val="nil"/>
                    <w:tr2bl w:val="nil"/>
                  </w:tcBorders>
                  <w:noWrap w:val="0"/>
                  <w:tcMar>
                    <w:left w:w="0" w:type="dxa"/>
                    <w:right w:w="0" w:type="dxa"/>
                  </w:tcMar>
                  <w:vAlign w:val="center"/>
                </w:tcPr>
                <w:p w14:paraId="4D5B8183">
                  <w:pPr>
                    <w:pStyle w:val="48"/>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99</w:t>
                  </w:r>
                </w:p>
              </w:tc>
              <w:tc>
                <w:tcPr>
                  <w:tcW w:w="181" w:type="pct"/>
                  <w:vMerge w:val="restart"/>
                  <w:tcBorders>
                    <w:tl2br w:val="nil"/>
                    <w:tr2bl w:val="nil"/>
                  </w:tcBorders>
                  <w:noWrap w:val="0"/>
                  <w:tcMar>
                    <w:left w:w="0" w:type="dxa"/>
                    <w:right w:w="0" w:type="dxa"/>
                  </w:tcMar>
                  <w:vAlign w:val="center"/>
                </w:tcPr>
                <w:p w14:paraId="1FC164A0">
                  <w:pPr>
                    <w:pStyle w:val="48"/>
                    <w:keepNext w:val="0"/>
                    <w:keepLines w:val="0"/>
                    <w:pageBreakBefore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是</w:t>
                  </w:r>
                </w:p>
              </w:tc>
              <w:tc>
                <w:tcPr>
                  <w:tcW w:w="174" w:type="pct"/>
                  <w:tcBorders>
                    <w:tl2br w:val="nil"/>
                    <w:tr2bl w:val="nil"/>
                  </w:tcBorders>
                  <w:shd w:val="clear" w:color="auto" w:fill="auto"/>
                  <w:noWrap w:val="0"/>
                  <w:tcMar>
                    <w:left w:w="0" w:type="dxa"/>
                    <w:right w:w="0" w:type="dxa"/>
                  </w:tcMar>
                  <w:vAlign w:val="center"/>
                </w:tcPr>
                <w:p w14:paraId="79E7877E">
                  <w:pPr>
                    <w:pStyle w:val="48"/>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pacing w:val="-12"/>
                      <w:kern w:val="0"/>
                      <w:sz w:val="21"/>
                      <w:szCs w:val="21"/>
                      <w:lang w:val="en-US" w:eastAsia="zh-CN" w:bidi="ar-SA"/>
                    </w:rPr>
                  </w:pPr>
                  <w:r>
                    <w:rPr>
                      <w:rFonts w:hint="eastAsia" w:ascii="Times New Roman" w:hAnsi="Times New Roman" w:cs="Times New Roman"/>
                      <w:color w:val="auto"/>
                      <w:spacing w:val="-12"/>
                      <w:kern w:val="0"/>
                      <w:sz w:val="21"/>
                      <w:szCs w:val="21"/>
                      <w:lang w:val="en-US" w:eastAsia="zh-CN" w:bidi="ar-SA"/>
                    </w:rPr>
                    <w:t>0.39</w:t>
                  </w:r>
                </w:p>
              </w:tc>
              <w:tc>
                <w:tcPr>
                  <w:tcW w:w="196" w:type="pct"/>
                  <w:tcBorders>
                    <w:tl2br w:val="nil"/>
                    <w:tr2bl w:val="nil"/>
                  </w:tcBorders>
                  <w:shd w:val="clear" w:color="auto" w:fill="auto"/>
                  <w:noWrap w:val="0"/>
                  <w:tcMar>
                    <w:left w:w="0" w:type="dxa"/>
                    <w:right w:w="0" w:type="dxa"/>
                  </w:tcMar>
                  <w:vAlign w:val="center"/>
                </w:tcPr>
                <w:p w14:paraId="3387C97F">
                  <w:pPr>
                    <w:pStyle w:val="48"/>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pacing w:val="-12"/>
                      <w:kern w:val="0"/>
                      <w:sz w:val="21"/>
                      <w:szCs w:val="21"/>
                      <w:lang w:val="en-US" w:eastAsia="zh-CN" w:bidi="ar-SA"/>
                    </w:rPr>
                  </w:pPr>
                  <w:r>
                    <w:rPr>
                      <w:rFonts w:hint="eastAsia" w:ascii="Times New Roman" w:hAnsi="Times New Roman" w:cs="Times New Roman"/>
                      <w:color w:val="auto"/>
                      <w:spacing w:val="-12"/>
                      <w:kern w:val="0"/>
                      <w:sz w:val="21"/>
                      <w:szCs w:val="21"/>
                      <w:lang w:val="en-US" w:eastAsia="zh-CN" w:bidi="ar-SA"/>
                    </w:rPr>
                    <w:t>0.003</w:t>
                  </w:r>
                </w:p>
              </w:tc>
              <w:tc>
                <w:tcPr>
                  <w:tcW w:w="213" w:type="pct"/>
                  <w:tcBorders>
                    <w:tl2br w:val="nil"/>
                    <w:tr2bl w:val="nil"/>
                  </w:tcBorders>
                  <w:shd w:val="clear" w:color="auto" w:fill="auto"/>
                  <w:noWrap w:val="0"/>
                  <w:tcMar>
                    <w:left w:w="0" w:type="dxa"/>
                    <w:right w:w="0" w:type="dxa"/>
                  </w:tcMar>
                  <w:vAlign w:val="center"/>
                </w:tcPr>
                <w:p w14:paraId="079DD065">
                  <w:pPr>
                    <w:pStyle w:val="48"/>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pacing w:val="-12"/>
                      <w:kern w:val="0"/>
                      <w:sz w:val="21"/>
                      <w:szCs w:val="21"/>
                      <w:lang w:val="en-US" w:eastAsia="zh-CN" w:bidi="ar-SA"/>
                    </w:rPr>
                  </w:pPr>
                  <w:r>
                    <w:rPr>
                      <w:rFonts w:hint="eastAsia" w:ascii="Times New Roman" w:hAnsi="Times New Roman" w:cs="Times New Roman"/>
                      <w:color w:val="auto"/>
                      <w:spacing w:val="-12"/>
                      <w:kern w:val="0"/>
                      <w:sz w:val="21"/>
                      <w:szCs w:val="21"/>
                      <w:lang w:val="en-US" w:eastAsia="zh-CN" w:bidi="ar-SA"/>
                    </w:rPr>
                    <w:t>0.0023</w:t>
                  </w:r>
                </w:p>
              </w:tc>
              <w:tc>
                <w:tcPr>
                  <w:tcW w:w="81" w:type="pct"/>
                  <w:vMerge w:val="restart"/>
                  <w:tcBorders>
                    <w:tl2br w:val="nil"/>
                    <w:tr2bl w:val="nil"/>
                  </w:tcBorders>
                  <w:noWrap w:val="0"/>
                  <w:tcMar>
                    <w:left w:w="0" w:type="dxa"/>
                    <w:right w:w="0" w:type="dxa"/>
                  </w:tcMar>
                  <w:vAlign w:val="center"/>
                </w:tcPr>
                <w:p w14:paraId="0A45638C">
                  <w:pPr>
                    <w:pStyle w:val="48"/>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8</w:t>
                  </w:r>
                </w:p>
              </w:tc>
              <w:tc>
                <w:tcPr>
                  <w:tcW w:w="195" w:type="pct"/>
                  <w:vMerge w:val="restart"/>
                  <w:tcBorders>
                    <w:tl2br w:val="nil"/>
                    <w:tr2bl w:val="nil"/>
                  </w:tcBorders>
                  <w:noWrap w:val="0"/>
                  <w:tcMar>
                    <w:left w:w="0" w:type="dxa"/>
                    <w:right w:w="0" w:type="dxa"/>
                  </w:tcMar>
                  <w:vAlign w:val="center"/>
                </w:tcPr>
                <w:p w14:paraId="226ADFB7">
                  <w:pPr>
                    <w:pStyle w:val="48"/>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0.6</w:t>
                  </w:r>
                </w:p>
              </w:tc>
              <w:tc>
                <w:tcPr>
                  <w:tcW w:w="246" w:type="pct"/>
                  <w:vMerge w:val="restart"/>
                  <w:tcBorders>
                    <w:tl2br w:val="nil"/>
                    <w:tr2bl w:val="nil"/>
                  </w:tcBorders>
                  <w:noWrap w:val="0"/>
                  <w:tcMar>
                    <w:left w:w="0" w:type="dxa"/>
                    <w:right w:w="0" w:type="dxa"/>
                  </w:tcMar>
                  <w:vAlign w:val="center"/>
                </w:tcPr>
                <w:p w14:paraId="018DE22E">
                  <w:pPr>
                    <w:pStyle w:val="48"/>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50</w:t>
                  </w:r>
                </w:p>
              </w:tc>
              <w:tc>
                <w:tcPr>
                  <w:tcW w:w="258" w:type="pct"/>
                  <w:vMerge w:val="restart"/>
                  <w:tcBorders>
                    <w:tl2br w:val="nil"/>
                    <w:tr2bl w:val="nil"/>
                  </w:tcBorders>
                  <w:noWrap w:val="0"/>
                  <w:tcMar>
                    <w:left w:w="0" w:type="dxa"/>
                    <w:right w:w="0" w:type="dxa"/>
                  </w:tcMar>
                  <w:vAlign w:val="center"/>
                </w:tcPr>
                <w:p w14:paraId="4112E30E">
                  <w:pPr>
                    <w:pStyle w:val="48"/>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DA003</w:t>
                  </w:r>
                </w:p>
              </w:tc>
              <w:tc>
                <w:tcPr>
                  <w:tcW w:w="227" w:type="pct"/>
                  <w:vMerge w:val="restart"/>
                  <w:tcBorders>
                    <w:tl2br w:val="nil"/>
                    <w:tr2bl w:val="nil"/>
                  </w:tcBorders>
                  <w:noWrap w:val="0"/>
                  <w:tcMar>
                    <w:left w:w="0" w:type="dxa"/>
                    <w:right w:w="0" w:type="dxa"/>
                  </w:tcMar>
                  <w:vAlign w:val="center"/>
                </w:tcPr>
                <w:p w14:paraId="6BD8BD95">
                  <w:pPr>
                    <w:pStyle w:val="48"/>
                    <w:keepNext w:val="0"/>
                    <w:keepLines w:val="0"/>
                    <w:pageBreakBefore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一般排放口</w:t>
                  </w:r>
                </w:p>
              </w:tc>
              <w:tc>
                <w:tcPr>
                  <w:tcW w:w="769" w:type="pct"/>
                  <w:vMerge w:val="restart"/>
                  <w:tcBorders>
                    <w:tl2br w:val="nil"/>
                    <w:tr2bl w:val="nil"/>
                  </w:tcBorders>
                  <w:noWrap w:val="0"/>
                  <w:tcMar>
                    <w:left w:w="0" w:type="dxa"/>
                    <w:right w:w="0" w:type="dxa"/>
                  </w:tcMar>
                  <w:vAlign w:val="center"/>
                </w:tcPr>
                <w:p w14:paraId="60542945">
                  <w:pPr>
                    <w:pStyle w:val="48"/>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120°35′56.878″</w:t>
                  </w:r>
                </w:p>
                <w:p w14:paraId="43061ED4">
                  <w:pPr>
                    <w:pStyle w:val="48"/>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lang w:val="en-US" w:eastAsia="zh-CN"/>
                    </w:rPr>
                  </w:pPr>
                  <w:r>
                    <w:rPr>
                      <w:rFonts w:hint="default" w:ascii="Times New Roman" w:hAnsi="Times New Roman" w:cs="Times New Roman"/>
                      <w:lang w:val="en-US" w:eastAsia="zh-CN"/>
                    </w:rPr>
                    <w:t>32°24′1.0188″</w:t>
                  </w:r>
                </w:p>
              </w:tc>
              <w:tc>
                <w:tcPr>
                  <w:tcW w:w="218" w:type="pct"/>
                  <w:tcBorders>
                    <w:tl2br w:val="nil"/>
                    <w:tr2bl w:val="nil"/>
                  </w:tcBorders>
                  <w:noWrap w:val="0"/>
                  <w:tcMar>
                    <w:left w:w="0" w:type="dxa"/>
                    <w:right w:w="0" w:type="dxa"/>
                  </w:tcMar>
                  <w:vAlign w:val="center"/>
                </w:tcPr>
                <w:p w14:paraId="16FCE5E2">
                  <w:pPr>
                    <w:pStyle w:val="48"/>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10</w:t>
                  </w:r>
                </w:p>
              </w:tc>
              <w:tc>
                <w:tcPr>
                  <w:tcW w:w="148" w:type="pct"/>
                  <w:tcBorders>
                    <w:tl2br w:val="nil"/>
                    <w:tr2bl w:val="nil"/>
                  </w:tcBorders>
                  <w:noWrap w:val="0"/>
                  <w:tcMar>
                    <w:left w:w="0" w:type="dxa"/>
                    <w:right w:w="0" w:type="dxa"/>
                  </w:tcMar>
                  <w:vAlign w:val="center"/>
                </w:tcPr>
                <w:p w14:paraId="32F7CBF4">
                  <w:pPr>
                    <w:pStyle w:val="48"/>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w:t>
                  </w:r>
                </w:p>
              </w:tc>
              <w:tc>
                <w:tcPr>
                  <w:tcW w:w="116" w:type="pct"/>
                  <w:vMerge w:val="restart"/>
                  <w:tcBorders>
                    <w:tl2br w:val="nil"/>
                    <w:tr2bl w:val="nil"/>
                  </w:tcBorders>
                  <w:noWrap w:val="0"/>
                  <w:tcMar>
                    <w:left w:w="0" w:type="dxa"/>
                    <w:right w:w="0" w:type="dxa"/>
                  </w:tcMar>
                  <w:vAlign w:val="center"/>
                </w:tcPr>
                <w:p w14:paraId="1165D968">
                  <w:pPr>
                    <w:pStyle w:val="48"/>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720</w:t>
                  </w:r>
                </w:p>
              </w:tc>
            </w:tr>
            <w:tr w14:paraId="5CCFA54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155" w:type="pct"/>
                  <w:vMerge w:val="continue"/>
                  <w:tcBorders>
                    <w:tl2br w:val="nil"/>
                    <w:tr2bl w:val="nil"/>
                  </w:tcBorders>
                  <w:noWrap w:val="0"/>
                  <w:vAlign w:val="center"/>
                </w:tcPr>
                <w:p w14:paraId="6DE0704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宋体" w:cs="Times New Roman"/>
                      <w:color w:val="auto"/>
                      <w:sz w:val="21"/>
                      <w:szCs w:val="21"/>
                      <w:lang w:val="en-US" w:eastAsia="zh-CN"/>
                    </w:rPr>
                  </w:pPr>
                </w:p>
              </w:tc>
              <w:tc>
                <w:tcPr>
                  <w:tcW w:w="115" w:type="pct"/>
                  <w:tcBorders>
                    <w:tl2br w:val="nil"/>
                    <w:tr2bl w:val="nil"/>
                  </w:tcBorders>
                  <w:noWrap w:val="0"/>
                  <w:tcMar>
                    <w:left w:w="0" w:type="dxa"/>
                    <w:right w:w="0" w:type="dxa"/>
                  </w:tcMar>
                  <w:vAlign w:val="center"/>
                </w:tcPr>
                <w:p w14:paraId="1ADD6585">
                  <w:pPr>
                    <w:pStyle w:val="48"/>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outlineLvl w:val="9"/>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val="0"/>
                      <w:iCs/>
                      <w:snapToGrid w:val="0"/>
                      <w:color w:val="auto"/>
                      <w:spacing w:val="-4"/>
                      <w:kern w:val="0"/>
                      <w:sz w:val="21"/>
                      <w:szCs w:val="21"/>
                      <w:lang w:val="en-US" w:eastAsia="zh-CN" w:bidi="en-US"/>
                    </w:rPr>
                    <w:t>二氧化硫</w:t>
                  </w:r>
                </w:p>
              </w:tc>
              <w:tc>
                <w:tcPr>
                  <w:tcW w:w="212" w:type="pct"/>
                  <w:tcBorders>
                    <w:tl2br w:val="nil"/>
                    <w:tr2bl w:val="nil"/>
                  </w:tcBorders>
                  <w:shd w:val="clear" w:color="auto" w:fill="auto"/>
                  <w:noWrap w:val="0"/>
                  <w:tcMar>
                    <w:left w:w="0" w:type="dxa"/>
                    <w:right w:w="0" w:type="dxa"/>
                  </w:tcMar>
                  <w:vAlign w:val="center"/>
                </w:tcPr>
                <w:p w14:paraId="7BAD4C51">
                  <w:pPr>
                    <w:pStyle w:val="48"/>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宋体" w:eastAsia="宋体" w:cs="Times New Roman"/>
                      <w:color w:val="auto"/>
                      <w:spacing w:val="-12"/>
                      <w:kern w:val="0"/>
                      <w:sz w:val="21"/>
                      <w:szCs w:val="21"/>
                      <w:lang w:val="en-US" w:eastAsia="zh-CN" w:bidi="ar-SA"/>
                    </w:rPr>
                  </w:pPr>
                  <w:r>
                    <w:rPr>
                      <w:rFonts w:hint="eastAsia" w:ascii="Times New Roman" w:cs="Times New Roman"/>
                      <w:color w:val="auto"/>
                      <w:spacing w:val="-12"/>
                      <w:kern w:val="0"/>
                      <w:sz w:val="21"/>
                      <w:szCs w:val="21"/>
                      <w:lang w:val="en-US" w:eastAsia="zh-CN" w:bidi="ar-SA"/>
                    </w:rPr>
                    <w:t>26.45</w:t>
                  </w:r>
                </w:p>
              </w:tc>
              <w:tc>
                <w:tcPr>
                  <w:tcW w:w="212" w:type="pct"/>
                  <w:tcBorders>
                    <w:tl2br w:val="nil"/>
                    <w:tr2bl w:val="nil"/>
                  </w:tcBorders>
                  <w:shd w:val="clear" w:color="auto" w:fill="auto"/>
                  <w:noWrap w:val="0"/>
                  <w:tcMar>
                    <w:left w:w="0" w:type="dxa"/>
                    <w:right w:w="0" w:type="dxa"/>
                  </w:tcMar>
                  <w:vAlign w:val="center"/>
                </w:tcPr>
                <w:p w14:paraId="1D03728E">
                  <w:pPr>
                    <w:pStyle w:val="48"/>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宋体" w:eastAsia="宋体" w:cs="Times New Roman"/>
                      <w:color w:val="auto"/>
                      <w:spacing w:val="-12"/>
                      <w:kern w:val="0"/>
                      <w:sz w:val="21"/>
                      <w:szCs w:val="21"/>
                      <w:lang w:val="en-US" w:eastAsia="zh-CN" w:bidi="ar-SA"/>
                    </w:rPr>
                  </w:pPr>
                  <w:r>
                    <w:rPr>
                      <w:rFonts w:hint="eastAsia" w:ascii="Times New Roman" w:cs="Times New Roman"/>
                      <w:color w:val="auto"/>
                      <w:spacing w:val="-12"/>
                      <w:kern w:val="0"/>
                      <w:sz w:val="21"/>
                      <w:szCs w:val="21"/>
                      <w:lang w:val="en-US" w:eastAsia="zh-CN" w:bidi="ar-SA"/>
                    </w:rPr>
                    <w:t>0.1569</w:t>
                  </w:r>
                </w:p>
              </w:tc>
              <w:tc>
                <w:tcPr>
                  <w:tcW w:w="118" w:type="pct"/>
                  <w:vMerge w:val="continue"/>
                  <w:tcBorders>
                    <w:tl2br w:val="nil"/>
                    <w:tr2bl w:val="nil"/>
                  </w:tcBorders>
                  <w:noWrap w:val="0"/>
                  <w:tcMar>
                    <w:left w:w="0" w:type="dxa"/>
                    <w:right w:w="0" w:type="dxa"/>
                  </w:tcMar>
                  <w:vAlign w:val="center"/>
                </w:tcPr>
                <w:p w14:paraId="34EC69DD">
                  <w:pPr>
                    <w:pStyle w:val="48"/>
                    <w:keepNext w:val="0"/>
                    <w:keepLines w:val="0"/>
                    <w:pageBreakBefore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cs="Times New Roman"/>
                      <w:b w:val="0"/>
                      <w:bCs/>
                      <w:color w:val="auto"/>
                      <w:sz w:val="21"/>
                      <w:szCs w:val="21"/>
                      <w:lang w:val="en-US" w:eastAsia="zh-CN"/>
                    </w:rPr>
                  </w:pPr>
                </w:p>
              </w:tc>
              <w:tc>
                <w:tcPr>
                  <w:tcW w:w="406" w:type="pct"/>
                  <w:vMerge w:val="continue"/>
                  <w:tcBorders>
                    <w:tl2br w:val="nil"/>
                    <w:tr2bl w:val="nil"/>
                  </w:tcBorders>
                  <w:noWrap w:val="0"/>
                  <w:tcMar>
                    <w:left w:w="0" w:type="dxa"/>
                    <w:right w:w="0" w:type="dxa"/>
                  </w:tcMar>
                  <w:vAlign w:val="center"/>
                </w:tcPr>
                <w:p w14:paraId="079E3781">
                  <w:pPr>
                    <w:pStyle w:val="48"/>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val="0"/>
                      <w:bCs/>
                      <w:color w:val="auto"/>
                      <w:sz w:val="21"/>
                      <w:szCs w:val="21"/>
                      <w:lang w:val="en-US" w:eastAsia="zh-CN"/>
                    </w:rPr>
                  </w:pPr>
                </w:p>
              </w:tc>
              <w:tc>
                <w:tcPr>
                  <w:tcW w:w="429" w:type="pct"/>
                  <w:tcBorders>
                    <w:tl2br w:val="nil"/>
                    <w:tr2bl w:val="nil"/>
                  </w:tcBorders>
                  <w:noWrap w:val="0"/>
                  <w:tcMar>
                    <w:left w:w="0" w:type="dxa"/>
                    <w:right w:w="0" w:type="dxa"/>
                  </w:tcMar>
                  <w:vAlign w:val="center"/>
                </w:tcPr>
                <w:p w14:paraId="386B0629">
                  <w:pPr>
                    <w:pStyle w:val="48"/>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eastAsia" w:ascii="Times New Roman" w:hAnsi="Times New Roman"/>
                      <w:color w:val="auto"/>
                      <w:sz w:val="21"/>
                      <w:szCs w:val="21"/>
                      <w:highlight w:val="none"/>
                      <w:lang w:eastAsia="zh-CN"/>
                    </w:rPr>
                  </w:pPr>
                  <w:r>
                    <w:rPr>
                      <w:rFonts w:hint="eastAsia" w:ascii="Times New Roman" w:hAnsi="Times New Roman"/>
                      <w:color w:val="auto"/>
                      <w:sz w:val="21"/>
                      <w:szCs w:val="21"/>
                      <w:highlight w:val="none"/>
                      <w:lang w:eastAsia="zh-CN"/>
                    </w:rPr>
                    <w:t>旋转喷雾干燥法</w:t>
                  </w:r>
                </w:p>
              </w:tc>
              <w:tc>
                <w:tcPr>
                  <w:tcW w:w="162" w:type="pct"/>
                  <w:vMerge w:val="continue"/>
                  <w:tcBorders>
                    <w:tl2br w:val="nil"/>
                    <w:tr2bl w:val="nil"/>
                  </w:tcBorders>
                  <w:noWrap w:val="0"/>
                  <w:tcMar>
                    <w:left w:w="0" w:type="dxa"/>
                    <w:right w:w="0" w:type="dxa"/>
                  </w:tcMar>
                  <w:vAlign w:val="center"/>
                </w:tcPr>
                <w:p w14:paraId="22A28B2E">
                  <w:pPr>
                    <w:pStyle w:val="48"/>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val="0"/>
                      <w:bCs/>
                      <w:color w:val="auto"/>
                      <w:sz w:val="21"/>
                      <w:szCs w:val="21"/>
                      <w:lang w:val="en-US" w:eastAsia="zh-CN"/>
                    </w:rPr>
                  </w:pPr>
                </w:p>
              </w:tc>
              <w:tc>
                <w:tcPr>
                  <w:tcW w:w="162" w:type="pct"/>
                  <w:tcBorders>
                    <w:tl2br w:val="nil"/>
                    <w:tr2bl w:val="nil"/>
                  </w:tcBorders>
                  <w:noWrap w:val="0"/>
                  <w:tcMar>
                    <w:left w:w="0" w:type="dxa"/>
                    <w:right w:w="0" w:type="dxa"/>
                  </w:tcMar>
                  <w:vAlign w:val="center"/>
                </w:tcPr>
                <w:p w14:paraId="48BE7A8B">
                  <w:pPr>
                    <w:pStyle w:val="48"/>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70</w:t>
                  </w:r>
                </w:p>
              </w:tc>
              <w:tc>
                <w:tcPr>
                  <w:tcW w:w="181" w:type="pct"/>
                  <w:vMerge w:val="continue"/>
                  <w:tcBorders>
                    <w:tl2br w:val="nil"/>
                    <w:tr2bl w:val="nil"/>
                  </w:tcBorders>
                  <w:noWrap w:val="0"/>
                  <w:tcMar>
                    <w:left w:w="0" w:type="dxa"/>
                    <w:right w:w="0" w:type="dxa"/>
                  </w:tcMar>
                  <w:vAlign w:val="center"/>
                </w:tcPr>
                <w:p w14:paraId="3A5B68B2">
                  <w:pPr>
                    <w:pStyle w:val="48"/>
                    <w:keepNext w:val="0"/>
                    <w:keepLines w:val="0"/>
                    <w:pageBreakBefore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cs="Times New Roman"/>
                      <w:b w:val="0"/>
                      <w:bCs/>
                      <w:color w:val="auto"/>
                      <w:sz w:val="21"/>
                      <w:szCs w:val="21"/>
                      <w:lang w:val="en-US" w:eastAsia="zh-CN"/>
                    </w:rPr>
                  </w:pPr>
                </w:p>
              </w:tc>
              <w:tc>
                <w:tcPr>
                  <w:tcW w:w="174" w:type="pct"/>
                  <w:tcBorders>
                    <w:tl2br w:val="nil"/>
                    <w:tr2bl w:val="nil"/>
                  </w:tcBorders>
                  <w:shd w:val="clear" w:color="auto" w:fill="auto"/>
                  <w:noWrap w:val="0"/>
                  <w:tcMar>
                    <w:left w:w="0" w:type="dxa"/>
                    <w:right w:w="0" w:type="dxa"/>
                  </w:tcMar>
                  <w:vAlign w:val="center"/>
                </w:tcPr>
                <w:p w14:paraId="50959B97">
                  <w:pPr>
                    <w:pStyle w:val="48"/>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宋体" w:eastAsia="宋体" w:cs="Times New Roman"/>
                      <w:color w:val="auto"/>
                      <w:spacing w:val="-12"/>
                      <w:kern w:val="0"/>
                      <w:sz w:val="21"/>
                      <w:szCs w:val="21"/>
                      <w:lang w:val="en-US" w:eastAsia="zh-CN" w:bidi="ar-SA"/>
                    </w:rPr>
                  </w:pPr>
                  <w:r>
                    <w:rPr>
                      <w:rFonts w:hint="eastAsia" w:ascii="Times New Roman" w:cs="Times New Roman"/>
                      <w:color w:val="auto"/>
                      <w:spacing w:val="-12"/>
                      <w:kern w:val="0"/>
                      <w:sz w:val="21"/>
                      <w:szCs w:val="21"/>
                      <w:lang w:val="en-US" w:eastAsia="zh-CN" w:bidi="ar-SA"/>
                    </w:rPr>
                    <w:t>7.94</w:t>
                  </w:r>
                </w:p>
              </w:tc>
              <w:tc>
                <w:tcPr>
                  <w:tcW w:w="196" w:type="pct"/>
                  <w:tcBorders>
                    <w:tl2br w:val="nil"/>
                    <w:tr2bl w:val="nil"/>
                  </w:tcBorders>
                  <w:shd w:val="clear" w:color="auto" w:fill="auto"/>
                  <w:noWrap w:val="0"/>
                  <w:tcMar>
                    <w:left w:w="0" w:type="dxa"/>
                    <w:right w:w="0" w:type="dxa"/>
                  </w:tcMar>
                  <w:vAlign w:val="center"/>
                </w:tcPr>
                <w:p w14:paraId="3CD0DCC6">
                  <w:pPr>
                    <w:pStyle w:val="48"/>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宋体" w:eastAsia="宋体" w:cs="Times New Roman"/>
                      <w:color w:val="auto"/>
                      <w:spacing w:val="-12"/>
                      <w:kern w:val="0"/>
                      <w:sz w:val="21"/>
                      <w:szCs w:val="21"/>
                      <w:lang w:val="en-US" w:eastAsia="zh-CN" w:bidi="ar-SA"/>
                    </w:rPr>
                  </w:pPr>
                  <w:r>
                    <w:rPr>
                      <w:rFonts w:hint="eastAsia" w:ascii="Times New Roman" w:cs="Times New Roman"/>
                      <w:color w:val="auto"/>
                      <w:spacing w:val="-12"/>
                      <w:kern w:val="0"/>
                      <w:sz w:val="21"/>
                      <w:szCs w:val="21"/>
                      <w:lang w:val="en-US" w:eastAsia="zh-CN" w:bidi="ar-SA"/>
                    </w:rPr>
                    <w:t>0.065</w:t>
                  </w:r>
                </w:p>
              </w:tc>
              <w:tc>
                <w:tcPr>
                  <w:tcW w:w="213" w:type="pct"/>
                  <w:tcBorders>
                    <w:tl2br w:val="nil"/>
                    <w:tr2bl w:val="nil"/>
                  </w:tcBorders>
                  <w:shd w:val="clear" w:color="auto" w:fill="auto"/>
                  <w:noWrap w:val="0"/>
                  <w:tcMar>
                    <w:left w:w="0" w:type="dxa"/>
                    <w:right w:w="0" w:type="dxa"/>
                  </w:tcMar>
                  <w:vAlign w:val="center"/>
                </w:tcPr>
                <w:p w14:paraId="37A2E2A3">
                  <w:pPr>
                    <w:pStyle w:val="48"/>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宋体" w:eastAsia="宋体" w:cs="Times New Roman"/>
                      <w:color w:val="auto"/>
                      <w:spacing w:val="-12"/>
                      <w:kern w:val="0"/>
                      <w:sz w:val="21"/>
                      <w:szCs w:val="21"/>
                      <w:lang w:val="en-US" w:eastAsia="zh-CN" w:bidi="ar-SA"/>
                    </w:rPr>
                  </w:pPr>
                  <w:r>
                    <w:rPr>
                      <w:rFonts w:hint="eastAsia" w:ascii="Times New Roman" w:cs="Times New Roman"/>
                      <w:color w:val="auto"/>
                      <w:spacing w:val="-12"/>
                      <w:kern w:val="0"/>
                      <w:sz w:val="21"/>
                      <w:szCs w:val="21"/>
                      <w:lang w:val="en-US" w:eastAsia="zh-CN" w:bidi="ar-SA"/>
                    </w:rPr>
                    <w:t>0.0471</w:t>
                  </w:r>
                </w:p>
              </w:tc>
              <w:tc>
                <w:tcPr>
                  <w:tcW w:w="81" w:type="pct"/>
                  <w:vMerge w:val="continue"/>
                  <w:tcBorders>
                    <w:tl2br w:val="nil"/>
                    <w:tr2bl w:val="nil"/>
                  </w:tcBorders>
                  <w:noWrap w:val="0"/>
                  <w:tcMar>
                    <w:left w:w="0" w:type="dxa"/>
                    <w:right w:w="0" w:type="dxa"/>
                  </w:tcMar>
                  <w:vAlign w:val="center"/>
                </w:tcPr>
                <w:p w14:paraId="45C8E502">
                  <w:pPr>
                    <w:pStyle w:val="48"/>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val="0"/>
                      <w:bCs/>
                      <w:color w:val="auto"/>
                      <w:sz w:val="21"/>
                      <w:szCs w:val="21"/>
                      <w:lang w:val="en-US" w:eastAsia="zh-CN"/>
                    </w:rPr>
                  </w:pPr>
                </w:p>
              </w:tc>
              <w:tc>
                <w:tcPr>
                  <w:tcW w:w="195" w:type="pct"/>
                  <w:vMerge w:val="continue"/>
                  <w:tcBorders>
                    <w:tl2br w:val="nil"/>
                    <w:tr2bl w:val="nil"/>
                  </w:tcBorders>
                  <w:noWrap w:val="0"/>
                  <w:tcMar>
                    <w:left w:w="0" w:type="dxa"/>
                    <w:right w:w="0" w:type="dxa"/>
                  </w:tcMar>
                  <w:vAlign w:val="center"/>
                </w:tcPr>
                <w:p w14:paraId="0AFB074E">
                  <w:pPr>
                    <w:pStyle w:val="48"/>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val="0"/>
                      <w:bCs/>
                      <w:color w:val="auto"/>
                      <w:sz w:val="21"/>
                      <w:szCs w:val="21"/>
                      <w:lang w:val="en-US" w:eastAsia="zh-CN"/>
                    </w:rPr>
                  </w:pPr>
                </w:p>
              </w:tc>
              <w:tc>
                <w:tcPr>
                  <w:tcW w:w="246" w:type="pct"/>
                  <w:vMerge w:val="continue"/>
                  <w:tcBorders>
                    <w:tl2br w:val="nil"/>
                    <w:tr2bl w:val="nil"/>
                  </w:tcBorders>
                  <w:noWrap w:val="0"/>
                  <w:tcMar>
                    <w:left w:w="0" w:type="dxa"/>
                    <w:right w:w="0" w:type="dxa"/>
                  </w:tcMar>
                  <w:vAlign w:val="center"/>
                </w:tcPr>
                <w:p w14:paraId="1BC4DDF7">
                  <w:pPr>
                    <w:pStyle w:val="48"/>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val="0"/>
                      <w:bCs/>
                      <w:color w:val="auto"/>
                      <w:sz w:val="21"/>
                      <w:szCs w:val="21"/>
                      <w:lang w:val="en-US" w:eastAsia="zh-CN"/>
                    </w:rPr>
                  </w:pPr>
                </w:p>
              </w:tc>
              <w:tc>
                <w:tcPr>
                  <w:tcW w:w="258" w:type="pct"/>
                  <w:vMerge w:val="continue"/>
                  <w:tcBorders>
                    <w:tl2br w:val="nil"/>
                    <w:tr2bl w:val="nil"/>
                  </w:tcBorders>
                  <w:noWrap w:val="0"/>
                  <w:tcMar>
                    <w:left w:w="0" w:type="dxa"/>
                    <w:right w:w="0" w:type="dxa"/>
                  </w:tcMar>
                  <w:vAlign w:val="center"/>
                </w:tcPr>
                <w:p w14:paraId="2EFDE130">
                  <w:pPr>
                    <w:pStyle w:val="48"/>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val="0"/>
                      <w:bCs/>
                      <w:color w:val="auto"/>
                      <w:sz w:val="21"/>
                      <w:szCs w:val="21"/>
                      <w:lang w:val="en-US" w:eastAsia="zh-CN"/>
                    </w:rPr>
                  </w:pPr>
                </w:p>
              </w:tc>
              <w:tc>
                <w:tcPr>
                  <w:tcW w:w="227" w:type="pct"/>
                  <w:vMerge w:val="continue"/>
                  <w:tcBorders>
                    <w:tl2br w:val="nil"/>
                    <w:tr2bl w:val="nil"/>
                  </w:tcBorders>
                  <w:noWrap w:val="0"/>
                  <w:tcMar>
                    <w:left w:w="0" w:type="dxa"/>
                    <w:right w:w="0" w:type="dxa"/>
                  </w:tcMar>
                  <w:vAlign w:val="center"/>
                </w:tcPr>
                <w:p w14:paraId="69C67948">
                  <w:pPr>
                    <w:pStyle w:val="48"/>
                    <w:keepNext w:val="0"/>
                    <w:keepLines w:val="0"/>
                    <w:pageBreakBefore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cs="Times New Roman"/>
                      <w:b w:val="0"/>
                      <w:bCs/>
                      <w:color w:val="auto"/>
                      <w:sz w:val="21"/>
                      <w:szCs w:val="21"/>
                      <w:lang w:val="en-US" w:eastAsia="zh-CN"/>
                    </w:rPr>
                  </w:pPr>
                </w:p>
              </w:tc>
              <w:tc>
                <w:tcPr>
                  <w:tcW w:w="769" w:type="pct"/>
                  <w:vMerge w:val="continue"/>
                  <w:tcBorders>
                    <w:tl2br w:val="nil"/>
                    <w:tr2bl w:val="nil"/>
                  </w:tcBorders>
                  <w:noWrap w:val="0"/>
                  <w:tcMar>
                    <w:left w:w="0" w:type="dxa"/>
                    <w:right w:w="0" w:type="dxa"/>
                  </w:tcMar>
                  <w:vAlign w:val="center"/>
                </w:tcPr>
                <w:p w14:paraId="14B50159">
                  <w:pPr>
                    <w:bidi w:val="0"/>
                    <w:jc w:val="center"/>
                    <w:rPr>
                      <w:rFonts w:hint="default"/>
                      <w:lang w:val="en-US" w:eastAsia="zh-CN"/>
                    </w:rPr>
                  </w:pPr>
                </w:p>
              </w:tc>
              <w:tc>
                <w:tcPr>
                  <w:tcW w:w="218" w:type="pct"/>
                  <w:tcBorders>
                    <w:tl2br w:val="nil"/>
                    <w:tr2bl w:val="nil"/>
                  </w:tcBorders>
                  <w:noWrap w:val="0"/>
                  <w:tcMar>
                    <w:left w:w="0" w:type="dxa"/>
                    <w:right w:w="0" w:type="dxa"/>
                  </w:tcMar>
                  <w:vAlign w:val="center"/>
                </w:tcPr>
                <w:p w14:paraId="7EAA09AA">
                  <w:pPr>
                    <w:pStyle w:val="48"/>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35</w:t>
                  </w:r>
                </w:p>
              </w:tc>
              <w:tc>
                <w:tcPr>
                  <w:tcW w:w="148" w:type="pct"/>
                  <w:tcBorders>
                    <w:tl2br w:val="nil"/>
                    <w:tr2bl w:val="nil"/>
                  </w:tcBorders>
                  <w:noWrap w:val="0"/>
                  <w:tcMar>
                    <w:left w:w="0" w:type="dxa"/>
                    <w:right w:w="0" w:type="dxa"/>
                  </w:tcMar>
                  <w:vAlign w:val="center"/>
                </w:tcPr>
                <w:p w14:paraId="12FCF974">
                  <w:pPr>
                    <w:pStyle w:val="48"/>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w:t>
                  </w:r>
                </w:p>
              </w:tc>
              <w:tc>
                <w:tcPr>
                  <w:tcW w:w="116" w:type="pct"/>
                  <w:vMerge w:val="continue"/>
                  <w:tcBorders>
                    <w:tl2br w:val="nil"/>
                    <w:tr2bl w:val="nil"/>
                  </w:tcBorders>
                  <w:noWrap w:val="0"/>
                  <w:tcMar>
                    <w:left w:w="0" w:type="dxa"/>
                    <w:right w:w="0" w:type="dxa"/>
                  </w:tcMar>
                  <w:vAlign w:val="center"/>
                </w:tcPr>
                <w:p w14:paraId="1A026FD3">
                  <w:pPr>
                    <w:pStyle w:val="48"/>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val="0"/>
                      <w:bCs/>
                      <w:color w:val="auto"/>
                      <w:sz w:val="21"/>
                      <w:szCs w:val="21"/>
                      <w:lang w:val="en-US" w:eastAsia="zh-CN"/>
                    </w:rPr>
                  </w:pPr>
                </w:p>
              </w:tc>
            </w:tr>
            <w:tr w14:paraId="7DBED16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155" w:type="pct"/>
                  <w:vMerge w:val="continue"/>
                  <w:tcBorders>
                    <w:tl2br w:val="nil"/>
                    <w:tr2bl w:val="nil"/>
                  </w:tcBorders>
                  <w:noWrap w:val="0"/>
                  <w:vAlign w:val="center"/>
                </w:tcPr>
                <w:p w14:paraId="331F0EA2">
                  <w:pPr>
                    <w:pStyle w:val="48"/>
                    <w:keepNext w:val="0"/>
                    <w:keepLines w:val="0"/>
                    <w:pageBreakBefore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 w:val="21"/>
                      <w:szCs w:val="21"/>
                      <w:lang w:val="en-US" w:eastAsia="zh-CN"/>
                    </w:rPr>
                  </w:pPr>
                </w:p>
              </w:tc>
              <w:tc>
                <w:tcPr>
                  <w:tcW w:w="115" w:type="pct"/>
                  <w:tcBorders>
                    <w:tl2br w:val="nil"/>
                    <w:tr2bl w:val="nil"/>
                  </w:tcBorders>
                  <w:noWrap w:val="0"/>
                  <w:tcMar>
                    <w:left w:w="0" w:type="dxa"/>
                    <w:right w:w="0" w:type="dxa"/>
                  </w:tcMar>
                  <w:vAlign w:val="center"/>
                </w:tcPr>
                <w:p w14:paraId="12844FB3">
                  <w:pPr>
                    <w:pStyle w:val="48"/>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outlineLvl w:val="9"/>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val="0"/>
                      <w:iCs/>
                      <w:snapToGrid w:val="0"/>
                      <w:color w:val="auto"/>
                      <w:spacing w:val="-4"/>
                      <w:kern w:val="0"/>
                      <w:sz w:val="21"/>
                      <w:szCs w:val="21"/>
                      <w:lang w:val="en-US" w:eastAsia="zh-CN" w:bidi="en-US"/>
                    </w:rPr>
                    <w:t>氮氧化物</w:t>
                  </w:r>
                </w:p>
              </w:tc>
              <w:tc>
                <w:tcPr>
                  <w:tcW w:w="212" w:type="pct"/>
                  <w:tcBorders>
                    <w:tl2br w:val="nil"/>
                    <w:tr2bl w:val="nil"/>
                  </w:tcBorders>
                  <w:shd w:val="clear" w:color="auto" w:fill="auto"/>
                  <w:noWrap w:val="0"/>
                  <w:tcMar>
                    <w:left w:w="0" w:type="dxa"/>
                    <w:right w:w="0" w:type="dxa"/>
                  </w:tcMar>
                  <w:vAlign w:val="center"/>
                </w:tcPr>
                <w:p w14:paraId="560D479C">
                  <w:pPr>
                    <w:pStyle w:val="48"/>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宋体" w:eastAsia="宋体" w:cs="Times New Roman"/>
                      <w:color w:val="auto"/>
                      <w:spacing w:val="-12"/>
                      <w:kern w:val="0"/>
                      <w:sz w:val="21"/>
                      <w:szCs w:val="21"/>
                      <w:lang w:val="en-US" w:eastAsia="zh-CN" w:bidi="ar-SA"/>
                    </w:rPr>
                  </w:pPr>
                  <w:r>
                    <w:rPr>
                      <w:rFonts w:hint="eastAsia" w:ascii="Times New Roman" w:cs="Times New Roman"/>
                      <w:color w:val="auto"/>
                      <w:spacing w:val="-12"/>
                      <w:kern w:val="0"/>
                      <w:sz w:val="21"/>
                      <w:szCs w:val="21"/>
                      <w:lang w:val="en-US" w:eastAsia="zh-CN" w:bidi="ar-SA"/>
                    </w:rPr>
                    <w:t>150.00</w:t>
                  </w:r>
                </w:p>
              </w:tc>
              <w:tc>
                <w:tcPr>
                  <w:tcW w:w="212" w:type="pct"/>
                  <w:tcBorders>
                    <w:tl2br w:val="nil"/>
                    <w:tr2bl w:val="nil"/>
                  </w:tcBorders>
                  <w:shd w:val="clear" w:color="auto" w:fill="auto"/>
                  <w:noWrap w:val="0"/>
                  <w:tcMar>
                    <w:left w:w="0" w:type="dxa"/>
                    <w:right w:w="0" w:type="dxa"/>
                  </w:tcMar>
                  <w:vAlign w:val="center"/>
                </w:tcPr>
                <w:p w14:paraId="07404065">
                  <w:pPr>
                    <w:pStyle w:val="48"/>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宋体" w:eastAsia="宋体" w:cs="Times New Roman"/>
                      <w:color w:val="auto"/>
                      <w:spacing w:val="-12"/>
                      <w:kern w:val="0"/>
                      <w:sz w:val="21"/>
                      <w:szCs w:val="21"/>
                      <w:lang w:val="en-US" w:eastAsia="zh-CN" w:bidi="ar-SA"/>
                    </w:rPr>
                  </w:pPr>
                  <w:r>
                    <w:rPr>
                      <w:rFonts w:hint="eastAsia" w:ascii="Times New Roman" w:cs="Times New Roman"/>
                      <w:color w:val="auto"/>
                      <w:spacing w:val="-12"/>
                      <w:kern w:val="0"/>
                      <w:sz w:val="21"/>
                      <w:szCs w:val="21"/>
                      <w:lang w:val="en-US" w:eastAsia="zh-CN" w:bidi="ar-SA"/>
                    </w:rPr>
                    <w:t>0.8897</w:t>
                  </w:r>
                </w:p>
              </w:tc>
              <w:tc>
                <w:tcPr>
                  <w:tcW w:w="118" w:type="pct"/>
                  <w:vMerge w:val="continue"/>
                  <w:tcBorders>
                    <w:tl2br w:val="nil"/>
                    <w:tr2bl w:val="nil"/>
                  </w:tcBorders>
                  <w:noWrap w:val="0"/>
                  <w:tcMar>
                    <w:left w:w="0" w:type="dxa"/>
                    <w:right w:w="0" w:type="dxa"/>
                  </w:tcMar>
                  <w:vAlign w:val="center"/>
                </w:tcPr>
                <w:p w14:paraId="1DACE0DC">
                  <w:pPr>
                    <w:pStyle w:val="48"/>
                    <w:keepNext w:val="0"/>
                    <w:keepLines w:val="0"/>
                    <w:pageBreakBefore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cs="Times New Roman"/>
                      <w:b w:val="0"/>
                      <w:bCs/>
                      <w:color w:val="auto"/>
                      <w:sz w:val="21"/>
                      <w:szCs w:val="21"/>
                      <w:lang w:val="en-US" w:eastAsia="zh-CN"/>
                    </w:rPr>
                  </w:pPr>
                </w:p>
              </w:tc>
              <w:tc>
                <w:tcPr>
                  <w:tcW w:w="406" w:type="pct"/>
                  <w:vMerge w:val="continue"/>
                  <w:tcBorders>
                    <w:tl2br w:val="nil"/>
                    <w:tr2bl w:val="nil"/>
                  </w:tcBorders>
                  <w:noWrap w:val="0"/>
                  <w:tcMar>
                    <w:left w:w="0" w:type="dxa"/>
                    <w:right w:w="0" w:type="dxa"/>
                  </w:tcMar>
                  <w:vAlign w:val="center"/>
                </w:tcPr>
                <w:p w14:paraId="1EDEE586">
                  <w:pPr>
                    <w:pStyle w:val="48"/>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val="0"/>
                      <w:bCs/>
                      <w:color w:val="auto"/>
                      <w:sz w:val="21"/>
                      <w:szCs w:val="21"/>
                      <w:lang w:val="en-US" w:eastAsia="zh-CN"/>
                    </w:rPr>
                  </w:pPr>
                </w:p>
              </w:tc>
              <w:tc>
                <w:tcPr>
                  <w:tcW w:w="429" w:type="pct"/>
                  <w:tcBorders>
                    <w:tl2br w:val="nil"/>
                    <w:tr2bl w:val="nil"/>
                  </w:tcBorders>
                  <w:noWrap w:val="0"/>
                  <w:tcMar>
                    <w:left w:w="0" w:type="dxa"/>
                    <w:right w:w="0" w:type="dxa"/>
                  </w:tcMar>
                  <w:vAlign w:val="center"/>
                </w:tcPr>
                <w:p w14:paraId="5AE7D5E5">
                  <w:pPr>
                    <w:pStyle w:val="48"/>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低氮燃烧+SCR</w:t>
                  </w:r>
                </w:p>
              </w:tc>
              <w:tc>
                <w:tcPr>
                  <w:tcW w:w="162" w:type="pct"/>
                  <w:vMerge w:val="continue"/>
                  <w:tcBorders>
                    <w:tl2br w:val="nil"/>
                    <w:tr2bl w:val="nil"/>
                  </w:tcBorders>
                  <w:noWrap w:val="0"/>
                  <w:tcMar>
                    <w:left w:w="0" w:type="dxa"/>
                    <w:right w:w="0" w:type="dxa"/>
                  </w:tcMar>
                  <w:vAlign w:val="center"/>
                </w:tcPr>
                <w:p w14:paraId="35596768">
                  <w:pPr>
                    <w:pStyle w:val="48"/>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val="0"/>
                      <w:bCs/>
                      <w:color w:val="auto"/>
                      <w:sz w:val="21"/>
                      <w:szCs w:val="21"/>
                      <w:lang w:val="en-US" w:eastAsia="zh-CN"/>
                    </w:rPr>
                  </w:pPr>
                </w:p>
              </w:tc>
              <w:tc>
                <w:tcPr>
                  <w:tcW w:w="162" w:type="pct"/>
                  <w:tcBorders>
                    <w:tl2br w:val="nil"/>
                    <w:tr2bl w:val="nil"/>
                  </w:tcBorders>
                  <w:noWrap w:val="0"/>
                  <w:tcMar>
                    <w:left w:w="0" w:type="dxa"/>
                    <w:right w:w="0" w:type="dxa"/>
                  </w:tcMar>
                  <w:vAlign w:val="center"/>
                </w:tcPr>
                <w:p w14:paraId="1D09C933">
                  <w:pPr>
                    <w:pStyle w:val="48"/>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89.5</w:t>
                  </w:r>
                </w:p>
              </w:tc>
              <w:tc>
                <w:tcPr>
                  <w:tcW w:w="181" w:type="pct"/>
                  <w:vMerge w:val="continue"/>
                  <w:tcBorders>
                    <w:tl2br w:val="nil"/>
                    <w:tr2bl w:val="nil"/>
                  </w:tcBorders>
                  <w:noWrap w:val="0"/>
                  <w:tcMar>
                    <w:left w:w="0" w:type="dxa"/>
                    <w:right w:w="0" w:type="dxa"/>
                  </w:tcMar>
                  <w:vAlign w:val="center"/>
                </w:tcPr>
                <w:p w14:paraId="5F369027">
                  <w:pPr>
                    <w:pStyle w:val="48"/>
                    <w:keepNext w:val="0"/>
                    <w:keepLines w:val="0"/>
                    <w:pageBreakBefore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cs="Times New Roman"/>
                      <w:b w:val="0"/>
                      <w:bCs/>
                      <w:color w:val="auto"/>
                      <w:sz w:val="21"/>
                      <w:szCs w:val="21"/>
                      <w:lang w:val="en-US" w:eastAsia="zh-CN"/>
                    </w:rPr>
                  </w:pPr>
                </w:p>
              </w:tc>
              <w:tc>
                <w:tcPr>
                  <w:tcW w:w="174" w:type="pct"/>
                  <w:tcBorders>
                    <w:tl2br w:val="nil"/>
                    <w:tr2bl w:val="nil"/>
                  </w:tcBorders>
                  <w:shd w:val="clear" w:color="auto" w:fill="auto"/>
                  <w:noWrap w:val="0"/>
                  <w:tcMar>
                    <w:left w:w="0" w:type="dxa"/>
                    <w:right w:w="0" w:type="dxa"/>
                  </w:tcMar>
                  <w:vAlign w:val="center"/>
                </w:tcPr>
                <w:p w14:paraId="1037069E">
                  <w:pPr>
                    <w:pStyle w:val="48"/>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宋体" w:eastAsia="宋体" w:cs="Times New Roman"/>
                      <w:color w:val="auto"/>
                      <w:spacing w:val="-12"/>
                      <w:kern w:val="0"/>
                      <w:sz w:val="21"/>
                      <w:szCs w:val="21"/>
                      <w:lang w:val="en-US" w:eastAsia="zh-CN" w:bidi="ar-SA"/>
                    </w:rPr>
                  </w:pPr>
                  <w:r>
                    <w:rPr>
                      <w:rFonts w:hint="eastAsia" w:ascii="Times New Roman" w:cs="Times New Roman"/>
                      <w:color w:val="auto"/>
                      <w:spacing w:val="-12"/>
                      <w:kern w:val="0"/>
                      <w:sz w:val="21"/>
                      <w:szCs w:val="21"/>
                      <w:lang w:val="en-US" w:eastAsia="zh-CN" w:bidi="ar-SA"/>
                    </w:rPr>
                    <w:t>15.75</w:t>
                  </w:r>
                </w:p>
              </w:tc>
              <w:tc>
                <w:tcPr>
                  <w:tcW w:w="196" w:type="pct"/>
                  <w:tcBorders>
                    <w:tl2br w:val="nil"/>
                    <w:tr2bl w:val="nil"/>
                  </w:tcBorders>
                  <w:shd w:val="clear" w:color="auto" w:fill="auto"/>
                  <w:noWrap w:val="0"/>
                  <w:tcMar>
                    <w:left w:w="0" w:type="dxa"/>
                    <w:right w:w="0" w:type="dxa"/>
                  </w:tcMar>
                  <w:vAlign w:val="center"/>
                </w:tcPr>
                <w:p w14:paraId="2395A138">
                  <w:pPr>
                    <w:pStyle w:val="48"/>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宋体" w:eastAsia="宋体" w:cs="Times New Roman"/>
                      <w:color w:val="auto"/>
                      <w:spacing w:val="-12"/>
                      <w:kern w:val="0"/>
                      <w:sz w:val="21"/>
                      <w:szCs w:val="21"/>
                      <w:lang w:val="en-US" w:eastAsia="zh-CN" w:bidi="ar-SA"/>
                    </w:rPr>
                  </w:pPr>
                  <w:r>
                    <w:rPr>
                      <w:rFonts w:hint="eastAsia" w:ascii="Times New Roman" w:cs="Times New Roman"/>
                      <w:color w:val="auto"/>
                      <w:spacing w:val="-12"/>
                      <w:kern w:val="0"/>
                      <w:sz w:val="21"/>
                      <w:szCs w:val="21"/>
                      <w:lang w:val="en-US" w:eastAsia="zh-CN" w:bidi="ar-SA"/>
                    </w:rPr>
                    <w:t>0.130</w:t>
                  </w:r>
                </w:p>
              </w:tc>
              <w:tc>
                <w:tcPr>
                  <w:tcW w:w="213" w:type="pct"/>
                  <w:tcBorders>
                    <w:tl2br w:val="nil"/>
                    <w:tr2bl w:val="nil"/>
                  </w:tcBorders>
                  <w:shd w:val="clear" w:color="auto" w:fill="auto"/>
                  <w:noWrap w:val="0"/>
                  <w:tcMar>
                    <w:left w:w="0" w:type="dxa"/>
                    <w:right w:w="0" w:type="dxa"/>
                  </w:tcMar>
                  <w:vAlign w:val="center"/>
                </w:tcPr>
                <w:p w14:paraId="11008270">
                  <w:pPr>
                    <w:pStyle w:val="48"/>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宋体" w:eastAsia="宋体" w:cs="Times New Roman"/>
                      <w:color w:val="auto"/>
                      <w:spacing w:val="-12"/>
                      <w:kern w:val="0"/>
                      <w:sz w:val="21"/>
                      <w:szCs w:val="21"/>
                      <w:lang w:val="en-US" w:eastAsia="zh-CN" w:bidi="ar-SA"/>
                    </w:rPr>
                  </w:pPr>
                  <w:r>
                    <w:rPr>
                      <w:rFonts w:hint="eastAsia" w:ascii="Times New Roman" w:cs="Times New Roman"/>
                      <w:color w:val="auto"/>
                      <w:spacing w:val="-12"/>
                      <w:kern w:val="0"/>
                      <w:sz w:val="21"/>
                      <w:szCs w:val="21"/>
                      <w:lang w:val="en-US" w:eastAsia="zh-CN" w:bidi="ar-SA"/>
                    </w:rPr>
                    <w:t>0.0934</w:t>
                  </w:r>
                </w:p>
              </w:tc>
              <w:tc>
                <w:tcPr>
                  <w:tcW w:w="81" w:type="pct"/>
                  <w:vMerge w:val="continue"/>
                  <w:tcBorders>
                    <w:tl2br w:val="nil"/>
                    <w:tr2bl w:val="nil"/>
                  </w:tcBorders>
                  <w:noWrap w:val="0"/>
                  <w:tcMar>
                    <w:left w:w="0" w:type="dxa"/>
                    <w:right w:w="0" w:type="dxa"/>
                  </w:tcMar>
                  <w:vAlign w:val="center"/>
                </w:tcPr>
                <w:p w14:paraId="55AAAEC6">
                  <w:pPr>
                    <w:pStyle w:val="48"/>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val="0"/>
                      <w:bCs/>
                      <w:color w:val="auto"/>
                      <w:sz w:val="21"/>
                      <w:szCs w:val="21"/>
                      <w:lang w:val="en-US" w:eastAsia="zh-CN"/>
                    </w:rPr>
                  </w:pPr>
                </w:p>
              </w:tc>
              <w:tc>
                <w:tcPr>
                  <w:tcW w:w="195" w:type="pct"/>
                  <w:vMerge w:val="continue"/>
                  <w:tcBorders>
                    <w:tl2br w:val="nil"/>
                    <w:tr2bl w:val="nil"/>
                  </w:tcBorders>
                  <w:noWrap w:val="0"/>
                  <w:tcMar>
                    <w:left w:w="0" w:type="dxa"/>
                    <w:right w:w="0" w:type="dxa"/>
                  </w:tcMar>
                  <w:vAlign w:val="center"/>
                </w:tcPr>
                <w:p w14:paraId="0F7CD2A2">
                  <w:pPr>
                    <w:pStyle w:val="48"/>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val="0"/>
                      <w:bCs/>
                      <w:color w:val="auto"/>
                      <w:sz w:val="21"/>
                      <w:szCs w:val="21"/>
                      <w:lang w:val="en-US" w:eastAsia="zh-CN"/>
                    </w:rPr>
                  </w:pPr>
                </w:p>
              </w:tc>
              <w:tc>
                <w:tcPr>
                  <w:tcW w:w="246" w:type="pct"/>
                  <w:vMerge w:val="continue"/>
                  <w:tcBorders>
                    <w:tl2br w:val="nil"/>
                    <w:tr2bl w:val="nil"/>
                  </w:tcBorders>
                  <w:noWrap w:val="0"/>
                  <w:tcMar>
                    <w:left w:w="0" w:type="dxa"/>
                    <w:right w:w="0" w:type="dxa"/>
                  </w:tcMar>
                  <w:vAlign w:val="center"/>
                </w:tcPr>
                <w:p w14:paraId="52849781">
                  <w:pPr>
                    <w:pStyle w:val="48"/>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val="0"/>
                      <w:bCs/>
                      <w:color w:val="auto"/>
                      <w:sz w:val="21"/>
                      <w:szCs w:val="21"/>
                      <w:lang w:val="en-US" w:eastAsia="zh-CN"/>
                    </w:rPr>
                  </w:pPr>
                </w:p>
              </w:tc>
              <w:tc>
                <w:tcPr>
                  <w:tcW w:w="258" w:type="pct"/>
                  <w:vMerge w:val="continue"/>
                  <w:tcBorders>
                    <w:tl2br w:val="nil"/>
                    <w:tr2bl w:val="nil"/>
                  </w:tcBorders>
                  <w:noWrap w:val="0"/>
                  <w:tcMar>
                    <w:left w:w="0" w:type="dxa"/>
                    <w:right w:w="0" w:type="dxa"/>
                  </w:tcMar>
                  <w:vAlign w:val="center"/>
                </w:tcPr>
                <w:p w14:paraId="57F16773">
                  <w:pPr>
                    <w:pStyle w:val="48"/>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val="0"/>
                      <w:bCs/>
                      <w:color w:val="auto"/>
                      <w:sz w:val="21"/>
                      <w:szCs w:val="21"/>
                      <w:lang w:val="en-US" w:eastAsia="zh-CN"/>
                    </w:rPr>
                  </w:pPr>
                </w:p>
              </w:tc>
              <w:tc>
                <w:tcPr>
                  <w:tcW w:w="227" w:type="pct"/>
                  <w:vMerge w:val="continue"/>
                  <w:tcBorders>
                    <w:tl2br w:val="nil"/>
                    <w:tr2bl w:val="nil"/>
                  </w:tcBorders>
                  <w:noWrap w:val="0"/>
                  <w:tcMar>
                    <w:left w:w="0" w:type="dxa"/>
                    <w:right w:w="0" w:type="dxa"/>
                  </w:tcMar>
                  <w:vAlign w:val="center"/>
                </w:tcPr>
                <w:p w14:paraId="158ACF59">
                  <w:pPr>
                    <w:pStyle w:val="48"/>
                    <w:keepNext w:val="0"/>
                    <w:keepLines w:val="0"/>
                    <w:pageBreakBefore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cs="Times New Roman"/>
                      <w:b w:val="0"/>
                      <w:bCs/>
                      <w:color w:val="auto"/>
                      <w:sz w:val="21"/>
                      <w:szCs w:val="21"/>
                      <w:lang w:val="en-US" w:eastAsia="zh-CN"/>
                    </w:rPr>
                  </w:pPr>
                </w:p>
              </w:tc>
              <w:tc>
                <w:tcPr>
                  <w:tcW w:w="769" w:type="pct"/>
                  <w:vMerge w:val="continue"/>
                  <w:tcBorders>
                    <w:tl2br w:val="nil"/>
                    <w:tr2bl w:val="nil"/>
                  </w:tcBorders>
                  <w:noWrap w:val="0"/>
                  <w:tcMar>
                    <w:left w:w="0" w:type="dxa"/>
                    <w:right w:w="0" w:type="dxa"/>
                  </w:tcMar>
                  <w:vAlign w:val="center"/>
                </w:tcPr>
                <w:p w14:paraId="6D594092">
                  <w:pPr>
                    <w:pStyle w:val="9"/>
                    <w:jc w:val="center"/>
                    <w:rPr>
                      <w:rFonts w:hint="default"/>
                      <w:lang w:val="en-US" w:eastAsia="zh-CN"/>
                    </w:rPr>
                  </w:pPr>
                </w:p>
              </w:tc>
              <w:tc>
                <w:tcPr>
                  <w:tcW w:w="218" w:type="pct"/>
                  <w:tcBorders>
                    <w:tl2br w:val="nil"/>
                    <w:tr2bl w:val="nil"/>
                  </w:tcBorders>
                  <w:noWrap w:val="0"/>
                  <w:tcMar>
                    <w:left w:w="0" w:type="dxa"/>
                    <w:right w:w="0" w:type="dxa"/>
                  </w:tcMar>
                  <w:vAlign w:val="center"/>
                </w:tcPr>
                <w:p w14:paraId="1A85E34C">
                  <w:pPr>
                    <w:pStyle w:val="48"/>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50</w:t>
                  </w:r>
                </w:p>
              </w:tc>
              <w:tc>
                <w:tcPr>
                  <w:tcW w:w="148" w:type="pct"/>
                  <w:tcBorders>
                    <w:tl2br w:val="nil"/>
                    <w:tr2bl w:val="nil"/>
                  </w:tcBorders>
                  <w:noWrap w:val="0"/>
                  <w:tcMar>
                    <w:left w:w="0" w:type="dxa"/>
                    <w:right w:w="0" w:type="dxa"/>
                  </w:tcMar>
                  <w:vAlign w:val="center"/>
                </w:tcPr>
                <w:p w14:paraId="20FEF123">
                  <w:pPr>
                    <w:pStyle w:val="48"/>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w:t>
                  </w:r>
                </w:p>
              </w:tc>
              <w:tc>
                <w:tcPr>
                  <w:tcW w:w="116" w:type="pct"/>
                  <w:vMerge w:val="continue"/>
                  <w:tcBorders>
                    <w:tl2br w:val="nil"/>
                    <w:tr2bl w:val="nil"/>
                  </w:tcBorders>
                  <w:noWrap w:val="0"/>
                  <w:tcMar>
                    <w:left w:w="0" w:type="dxa"/>
                    <w:right w:w="0" w:type="dxa"/>
                  </w:tcMar>
                  <w:vAlign w:val="center"/>
                </w:tcPr>
                <w:p w14:paraId="6EDA2DF3">
                  <w:pPr>
                    <w:pStyle w:val="48"/>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val="0"/>
                      <w:bCs/>
                      <w:color w:val="auto"/>
                      <w:sz w:val="21"/>
                      <w:szCs w:val="21"/>
                      <w:lang w:val="en-US" w:eastAsia="zh-CN"/>
                    </w:rPr>
                  </w:pPr>
                </w:p>
              </w:tc>
            </w:tr>
            <w:tr w14:paraId="7343FD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155" w:type="pct"/>
                  <w:vMerge w:val="continue"/>
                  <w:tcBorders>
                    <w:tl2br w:val="nil"/>
                    <w:tr2bl w:val="nil"/>
                  </w:tcBorders>
                  <w:noWrap w:val="0"/>
                  <w:vAlign w:val="center"/>
                </w:tcPr>
                <w:p w14:paraId="1CF55305">
                  <w:pPr>
                    <w:pStyle w:val="48"/>
                    <w:keepNext w:val="0"/>
                    <w:keepLines w:val="0"/>
                    <w:pageBreakBefore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 w:val="21"/>
                      <w:szCs w:val="21"/>
                      <w:lang w:val="en-US" w:eastAsia="zh-CN"/>
                    </w:rPr>
                  </w:pPr>
                </w:p>
              </w:tc>
              <w:tc>
                <w:tcPr>
                  <w:tcW w:w="115" w:type="pct"/>
                  <w:tcBorders>
                    <w:tl2br w:val="nil"/>
                    <w:tr2bl w:val="nil"/>
                  </w:tcBorders>
                  <w:noWrap w:val="0"/>
                  <w:tcMar>
                    <w:left w:w="0" w:type="dxa"/>
                    <w:right w:w="0" w:type="dxa"/>
                  </w:tcMar>
                  <w:vAlign w:val="center"/>
                </w:tcPr>
                <w:p w14:paraId="055F9AA8">
                  <w:pPr>
                    <w:pStyle w:val="48"/>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outlineLvl w:val="9"/>
                    <w:rPr>
                      <w:rFonts w:hint="eastAsia" w:ascii="Times New Roman" w:hAnsi="Times New Roman" w:cs="Times New Roman"/>
                      <w:b w:val="0"/>
                      <w:bCs w:val="0"/>
                      <w:iCs/>
                      <w:snapToGrid w:val="0"/>
                      <w:color w:val="auto"/>
                      <w:spacing w:val="-4"/>
                      <w:kern w:val="0"/>
                      <w:sz w:val="21"/>
                      <w:szCs w:val="21"/>
                      <w:lang w:val="en-US" w:eastAsia="zh-CN" w:bidi="en-US"/>
                    </w:rPr>
                  </w:pPr>
                  <w:r>
                    <w:rPr>
                      <w:rFonts w:hint="eastAsia" w:ascii="Times New Roman" w:hAnsi="Times New Roman" w:cs="Times New Roman"/>
                      <w:b w:val="0"/>
                      <w:bCs w:val="0"/>
                      <w:iCs/>
                      <w:snapToGrid w:val="0"/>
                      <w:color w:val="auto"/>
                      <w:spacing w:val="-4"/>
                      <w:kern w:val="0"/>
                      <w:sz w:val="21"/>
                      <w:szCs w:val="21"/>
                      <w:lang w:val="en-US" w:eastAsia="zh-CN" w:bidi="en-US"/>
                    </w:rPr>
                    <w:t>氨</w:t>
                  </w:r>
                </w:p>
              </w:tc>
              <w:tc>
                <w:tcPr>
                  <w:tcW w:w="212" w:type="pct"/>
                  <w:tcBorders>
                    <w:tl2br w:val="nil"/>
                    <w:tr2bl w:val="nil"/>
                  </w:tcBorders>
                  <w:shd w:val="clear" w:color="auto" w:fill="auto"/>
                  <w:noWrap w:val="0"/>
                  <w:tcMar>
                    <w:left w:w="0" w:type="dxa"/>
                    <w:right w:w="0" w:type="dxa"/>
                  </w:tcMar>
                  <w:vAlign w:val="center"/>
                </w:tcPr>
                <w:p w14:paraId="49682D18">
                  <w:pPr>
                    <w:pStyle w:val="48"/>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宋体" w:eastAsia="宋体" w:cs="Times New Roman"/>
                      <w:color w:val="auto"/>
                      <w:spacing w:val="-12"/>
                      <w:kern w:val="0"/>
                      <w:sz w:val="21"/>
                      <w:szCs w:val="21"/>
                      <w:lang w:val="en-US" w:eastAsia="zh-CN" w:bidi="ar-SA"/>
                    </w:rPr>
                  </w:pPr>
                  <w:r>
                    <w:rPr>
                      <w:rFonts w:hint="eastAsia" w:ascii="Times New Roman" w:cs="Times New Roman"/>
                      <w:color w:val="auto"/>
                      <w:spacing w:val="-12"/>
                      <w:kern w:val="0"/>
                      <w:sz w:val="21"/>
                      <w:szCs w:val="21"/>
                      <w:lang w:val="en-US" w:eastAsia="zh-CN" w:bidi="ar-SA"/>
                    </w:rPr>
                    <w:t>2.28</w:t>
                  </w:r>
                </w:p>
              </w:tc>
              <w:tc>
                <w:tcPr>
                  <w:tcW w:w="212" w:type="pct"/>
                  <w:tcBorders>
                    <w:tl2br w:val="nil"/>
                    <w:tr2bl w:val="nil"/>
                  </w:tcBorders>
                  <w:shd w:val="clear" w:color="auto" w:fill="auto"/>
                  <w:noWrap w:val="0"/>
                  <w:tcMar>
                    <w:left w:w="0" w:type="dxa"/>
                    <w:right w:w="0" w:type="dxa"/>
                  </w:tcMar>
                  <w:vAlign w:val="center"/>
                </w:tcPr>
                <w:p w14:paraId="6E54B599">
                  <w:pPr>
                    <w:pStyle w:val="48"/>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宋体" w:eastAsia="宋体" w:cs="Times New Roman"/>
                      <w:color w:val="auto"/>
                      <w:spacing w:val="-12"/>
                      <w:kern w:val="0"/>
                      <w:sz w:val="21"/>
                      <w:szCs w:val="21"/>
                      <w:lang w:val="en-US" w:eastAsia="zh-CN" w:bidi="ar-SA"/>
                    </w:rPr>
                  </w:pPr>
                  <w:r>
                    <w:rPr>
                      <w:rFonts w:hint="eastAsia" w:ascii="Times New Roman" w:cs="Times New Roman"/>
                      <w:color w:val="auto"/>
                      <w:spacing w:val="-12"/>
                      <w:kern w:val="0"/>
                      <w:sz w:val="21"/>
                      <w:szCs w:val="21"/>
                      <w:lang w:val="en-US" w:eastAsia="zh-CN" w:bidi="ar-SA"/>
                    </w:rPr>
                    <w:t>0.0135</w:t>
                  </w:r>
                </w:p>
              </w:tc>
              <w:tc>
                <w:tcPr>
                  <w:tcW w:w="118" w:type="pct"/>
                  <w:vMerge w:val="continue"/>
                  <w:tcBorders>
                    <w:tl2br w:val="nil"/>
                    <w:tr2bl w:val="nil"/>
                  </w:tcBorders>
                  <w:noWrap w:val="0"/>
                  <w:tcMar>
                    <w:left w:w="0" w:type="dxa"/>
                    <w:right w:w="0" w:type="dxa"/>
                  </w:tcMar>
                  <w:vAlign w:val="center"/>
                </w:tcPr>
                <w:p w14:paraId="16D4A6C5">
                  <w:pPr>
                    <w:pStyle w:val="48"/>
                    <w:keepNext w:val="0"/>
                    <w:keepLines w:val="0"/>
                    <w:pageBreakBefore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cs="Times New Roman"/>
                      <w:b w:val="0"/>
                      <w:bCs/>
                      <w:color w:val="auto"/>
                      <w:sz w:val="21"/>
                      <w:szCs w:val="21"/>
                      <w:lang w:val="en-US" w:eastAsia="zh-CN"/>
                    </w:rPr>
                  </w:pPr>
                </w:p>
              </w:tc>
              <w:tc>
                <w:tcPr>
                  <w:tcW w:w="406" w:type="pct"/>
                  <w:vMerge w:val="continue"/>
                  <w:tcBorders>
                    <w:tl2br w:val="nil"/>
                    <w:tr2bl w:val="nil"/>
                  </w:tcBorders>
                  <w:noWrap w:val="0"/>
                  <w:tcMar>
                    <w:left w:w="0" w:type="dxa"/>
                    <w:right w:w="0" w:type="dxa"/>
                  </w:tcMar>
                  <w:vAlign w:val="center"/>
                </w:tcPr>
                <w:p w14:paraId="157D3C78">
                  <w:pPr>
                    <w:pStyle w:val="48"/>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val="0"/>
                      <w:bCs/>
                      <w:color w:val="auto"/>
                      <w:sz w:val="21"/>
                      <w:szCs w:val="21"/>
                      <w:lang w:val="en-US" w:eastAsia="zh-CN"/>
                    </w:rPr>
                  </w:pPr>
                </w:p>
              </w:tc>
              <w:tc>
                <w:tcPr>
                  <w:tcW w:w="429" w:type="pct"/>
                  <w:tcBorders>
                    <w:tl2br w:val="nil"/>
                    <w:tr2bl w:val="nil"/>
                  </w:tcBorders>
                  <w:noWrap w:val="0"/>
                  <w:tcMar>
                    <w:left w:w="0" w:type="dxa"/>
                    <w:right w:w="0" w:type="dxa"/>
                  </w:tcMar>
                  <w:vAlign w:val="center"/>
                </w:tcPr>
                <w:p w14:paraId="08353F97">
                  <w:pPr>
                    <w:pStyle w:val="48"/>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w:t>
                  </w:r>
                </w:p>
              </w:tc>
              <w:tc>
                <w:tcPr>
                  <w:tcW w:w="162" w:type="pct"/>
                  <w:vMerge w:val="continue"/>
                  <w:tcBorders>
                    <w:tl2br w:val="nil"/>
                    <w:tr2bl w:val="nil"/>
                  </w:tcBorders>
                  <w:noWrap w:val="0"/>
                  <w:tcMar>
                    <w:left w:w="0" w:type="dxa"/>
                    <w:right w:w="0" w:type="dxa"/>
                  </w:tcMar>
                  <w:vAlign w:val="center"/>
                </w:tcPr>
                <w:p w14:paraId="535052E8">
                  <w:pPr>
                    <w:pStyle w:val="48"/>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val="0"/>
                      <w:bCs/>
                      <w:color w:val="auto"/>
                      <w:sz w:val="21"/>
                      <w:szCs w:val="21"/>
                      <w:lang w:val="en-US" w:eastAsia="zh-CN"/>
                    </w:rPr>
                  </w:pPr>
                </w:p>
              </w:tc>
              <w:tc>
                <w:tcPr>
                  <w:tcW w:w="162" w:type="pct"/>
                  <w:tcBorders>
                    <w:tl2br w:val="nil"/>
                    <w:tr2bl w:val="nil"/>
                  </w:tcBorders>
                  <w:noWrap w:val="0"/>
                  <w:tcMar>
                    <w:left w:w="0" w:type="dxa"/>
                    <w:right w:w="0" w:type="dxa"/>
                  </w:tcMar>
                  <w:vAlign w:val="center"/>
                </w:tcPr>
                <w:p w14:paraId="248BFC01">
                  <w:pPr>
                    <w:pStyle w:val="48"/>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0</w:t>
                  </w:r>
                </w:p>
              </w:tc>
              <w:tc>
                <w:tcPr>
                  <w:tcW w:w="181" w:type="pct"/>
                  <w:vMerge w:val="continue"/>
                  <w:tcBorders>
                    <w:tl2br w:val="nil"/>
                    <w:tr2bl w:val="nil"/>
                  </w:tcBorders>
                  <w:noWrap w:val="0"/>
                  <w:tcMar>
                    <w:left w:w="0" w:type="dxa"/>
                    <w:right w:w="0" w:type="dxa"/>
                  </w:tcMar>
                  <w:vAlign w:val="center"/>
                </w:tcPr>
                <w:p w14:paraId="35CC4431">
                  <w:pPr>
                    <w:pStyle w:val="48"/>
                    <w:keepNext w:val="0"/>
                    <w:keepLines w:val="0"/>
                    <w:pageBreakBefore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cs="Times New Roman"/>
                      <w:b w:val="0"/>
                      <w:bCs/>
                      <w:color w:val="auto"/>
                      <w:sz w:val="21"/>
                      <w:szCs w:val="21"/>
                      <w:lang w:val="en-US" w:eastAsia="zh-CN"/>
                    </w:rPr>
                  </w:pPr>
                </w:p>
              </w:tc>
              <w:tc>
                <w:tcPr>
                  <w:tcW w:w="174" w:type="pct"/>
                  <w:tcBorders>
                    <w:tl2br w:val="nil"/>
                    <w:tr2bl w:val="nil"/>
                  </w:tcBorders>
                  <w:shd w:val="clear" w:color="auto" w:fill="auto"/>
                  <w:noWrap w:val="0"/>
                  <w:tcMar>
                    <w:left w:w="0" w:type="dxa"/>
                    <w:right w:w="0" w:type="dxa"/>
                  </w:tcMar>
                  <w:vAlign w:val="center"/>
                </w:tcPr>
                <w:p w14:paraId="0B55F12F">
                  <w:pPr>
                    <w:pStyle w:val="48"/>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宋体" w:eastAsia="宋体" w:cs="Times New Roman"/>
                      <w:color w:val="auto"/>
                      <w:spacing w:val="-12"/>
                      <w:kern w:val="0"/>
                      <w:sz w:val="21"/>
                      <w:szCs w:val="21"/>
                      <w:lang w:val="en-US" w:eastAsia="zh-CN" w:bidi="ar-SA"/>
                    </w:rPr>
                  </w:pPr>
                  <w:r>
                    <w:rPr>
                      <w:rFonts w:hint="eastAsia" w:ascii="Times New Roman" w:cs="Times New Roman"/>
                      <w:color w:val="auto"/>
                      <w:spacing w:val="-12"/>
                      <w:kern w:val="0"/>
                      <w:sz w:val="21"/>
                      <w:szCs w:val="21"/>
                      <w:lang w:val="en-US" w:eastAsia="zh-CN" w:bidi="ar-SA"/>
                    </w:rPr>
                    <w:t>2.28</w:t>
                  </w:r>
                </w:p>
              </w:tc>
              <w:tc>
                <w:tcPr>
                  <w:tcW w:w="196" w:type="pct"/>
                  <w:tcBorders>
                    <w:tl2br w:val="nil"/>
                    <w:tr2bl w:val="nil"/>
                  </w:tcBorders>
                  <w:shd w:val="clear" w:color="auto" w:fill="auto"/>
                  <w:noWrap w:val="0"/>
                  <w:tcMar>
                    <w:left w:w="0" w:type="dxa"/>
                    <w:right w:w="0" w:type="dxa"/>
                  </w:tcMar>
                  <w:vAlign w:val="center"/>
                </w:tcPr>
                <w:p w14:paraId="2F4F29A4">
                  <w:pPr>
                    <w:pStyle w:val="48"/>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宋体" w:eastAsia="宋体" w:cs="Times New Roman"/>
                      <w:color w:val="auto"/>
                      <w:spacing w:val="-12"/>
                      <w:kern w:val="0"/>
                      <w:sz w:val="21"/>
                      <w:szCs w:val="21"/>
                      <w:lang w:val="en-US" w:eastAsia="zh-CN" w:bidi="ar-SA"/>
                    </w:rPr>
                  </w:pPr>
                  <w:r>
                    <w:rPr>
                      <w:rFonts w:hint="eastAsia" w:ascii="Times New Roman" w:cs="Times New Roman"/>
                      <w:color w:val="auto"/>
                      <w:spacing w:val="-12"/>
                      <w:kern w:val="0"/>
                      <w:sz w:val="21"/>
                      <w:szCs w:val="21"/>
                      <w:lang w:val="en-US" w:eastAsia="zh-CN" w:bidi="ar-SA"/>
                    </w:rPr>
                    <w:t>0.019</w:t>
                  </w:r>
                </w:p>
              </w:tc>
              <w:tc>
                <w:tcPr>
                  <w:tcW w:w="213" w:type="pct"/>
                  <w:tcBorders>
                    <w:tl2br w:val="nil"/>
                    <w:tr2bl w:val="nil"/>
                  </w:tcBorders>
                  <w:shd w:val="clear" w:color="auto" w:fill="auto"/>
                  <w:noWrap w:val="0"/>
                  <w:tcMar>
                    <w:left w:w="0" w:type="dxa"/>
                    <w:right w:w="0" w:type="dxa"/>
                  </w:tcMar>
                  <w:vAlign w:val="center"/>
                </w:tcPr>
                <w:p w14:paraId="0C82AC13">
                  <w:pPr>
                    <w:pStyle w:val="48"/>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宋体" w:eastAsia="宋体" w:cs="Times New Roman"/>
                      <w:color w:val="auto"/>
                      <w:spacing w:val="-12"/>
                      <w:kern w:val="0"/>
                      <w:sz w:val="21"/>
                      <w:szCs w:val="21"/>
                      <w:lang w:val="en-US" w:eastAsia="zh-CN" w:bidi="ar-SA"/>
                    </w:rPr>
                  </w:pPr>
                  <w:r>
                    <w:rPr>
                      <w:rFonts w:hint="eastAsia" w:ascii="Times New Roman" w:cs="Times New Roman"/>
                      <w:color w:val="auto"/>
                      <w:spacing w:val="-12"/>
                      <w:kern w:val="0"/>
                      <w:sz w:val="21"/>
                      <w:szCs w:val="21"/>
                      <w:lang w:val="en-US" w:eastAsia="zh-CN" w:bidi="ar-SA"/>
                    </w:rPr>
                    <w:t>0.0135</w:t>
                  </w:r>
                </w:p>
              </w:tc>
              <w:tc>
                <w:tcPr>
                  <w:tcW w:w="81" w:type="pct"/>
                  <w:vMerge w:val="continue"/>
                  <w:tcBorders>
                    <w:tl2br w:val="nil"/>
                    <w:tr2bl w:val="nil"/>
                  </w:tcBorders>
                  <w:noWrap w:val="0"/>
                  <w:tcMar>
                    <w:left w:w="0" w:type="dxa"/>
                    <w:right w:w="0" w:type="dxa"/>
                  </w:tcMar>
                  <w:vAlign w:val="center"/>
                </w:tcPr>
                <w:p w14:paraId="7D3C5D38">
                  <w:pPr>
                    <w:pStyle w:val="48"/>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val="0"/>
                      <w:bCs/>
                      <w:color w:val="auto"/>
                      <w:sz w:val="21"/>
                      <w:szCs w:val="21"/>
                      <w:lang w:val="en-US" w:eastAsia="zh-CN"/>
                    </w:rPr>
                  </w:pPr>
                </w:p>
              </w:tc>
              <w:tc>
                <w:tcPr>
                  <w:tcW w:w="195" w:type="pct"/>
                  <w:vMerge w:val="continue"/>
                  <w:tcBorders>
                    <w:tl2br w:val="nil"/>
                    <w:tr2bl w:val="nil"/>
                  </w:tcBorders>
                  <w:noWrap w:val="0"/>
                  <w:tcMar>
                    <w:left w:w="0" w:type="dxa"/>
                    <w:right w:w="0" w:type="dxa"/>
                  </w:tcMar>
                  <w:vAlign w:val="center"/>
                </w:tcPr>
                <w:p w14:paraId="139D5358">
                  <w:pPr>
                    <w:pStyle w:val="48"/>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val="0"/>
                      <w:bCs/>
                      <w:color w:val="auto"/>
                      <w:sz w:val="21"/>
                      <w:szCs w:val="21"/>
                      <w:lang w:val="en-US" w:eastAsia="zh-CN"/>
                    </w:rPr>
                  </w:pPr>
                </w:p>
              </w:tc>
              <w:tc>
                <w:tcPr>
                  <w:tcW w:w="246" w:type="pct"/>
                  <w:vMerge w:val="continue"/>
                  <w:tcBorders>
                    <w:tl2br w:val="nil"/>
                    <w:tr2bl w:val="nil"/>
                  </w:tcBorders>
                  <w:noWrap w:val="0"/>
                  <w:tcMar>
                    <w:left w:w="0" w:type="dxa"/>
                    <w:right w:w="0" w:type="dxa"/>
                  </w:tcMar>
                  <w:vAlign w:val="center"/>
                </w:tcPr>
                <w:p w14:paraId="07AD9C05">
                  <w:pPr>
                    <w:pStyle w:val="48"/>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val="0"/>
                      <w:bCs/>
                      <w:color w:val="auto"/>
                      <w:sz w:val="21"/>
                      <w:szCs w:val="21"/>
                      <w:lang w:val="en-US" w:eastAsia="zh-CN"/>
                    </w:rPr>
                  </w:pPr>
                </w:p>
              </w:tc>
              <w:tc>
                <w:tcPr>
                  <w:tcW w:w="258" w:type="pct"/>
                  <w:vMerge w:val="continue"/>
                  <w:tcBorders>
                    <w:tl2br w:val="nil"/>
                    <w:tr2bl w:val="nil"/>
                  </w:tcBorders>
                  <w:noWrap w:val="0"/>
                  <w:tcMar>
                    <w:left w:w="0" w:type="dxa"/>
                    <w:right w:w="0" w:type="dxa"/>
                  </w:tcMar>
                  <w:vAlign w:val="center"/>
                </w:tcPr>
                <w:p w14:paraId="13DF2B54">
                  <w:pPr>
                    <w:pStyle w:val="48"/>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val="0"/>
                      <w:bCs/>
                      <w:color w:val="auto"/>
                      <w:sz w:val="21"/>
                      <w:szCs w:val="21"/>
                      <w:lang w:val="en-US" w:eastAsia="zh-CN"/>
                    </w:rPr>
                  </w:pPr>
                </w:p>
              </w:tc>
              <w:tc>
                <w:tcPr>
                  <w:tcW w:w="227" w:type="pct"/>
                  <w:vMerge w:val="continue"/>
                  <w:tcBorders>
                    <w:tl2br w:val="nil"/>
                    <w:tr2bl w:val="nil"/>
                  </w:tcBorders>
                  <w:noWrap w:val="0"/>
                  <w:tcMar>
                    <w:left w:w="0" w:type="dxa"/>
                    <w:right w:w="0" w:type="dxa"/>
                  </w:tcMar>
                  <w:vAlign w:val="center"/>
                </w:tcPr>
                <w:p w14:paraId="34E5830D">
                  <w:pPr>
                    <w:pStyle w:val="48"/>
                    <w:keepNext w:val="0"/>
                    <w:keepLines w:val="0"/>
                    <w:pageBreakBefore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cs="Times New Roman"/>
                      <w:b w:val="0"/>
                      <w:bCs/>
                      <w:color w:val="auto"/>
                      <w:sz w:val="21"/>
                      <w:szCs w:val="21"/>
                      <w:lang w:val="en-US" w:eastAsia="zh-CN"/>
                    </w:rPr>
                  </w:pPr>
                </w:p>
              </w:tc>
              <w:tc>
                <w:tcPr>
                  <w:tcW w:w="769" w:type="pct"/>
                  <w:vMerge w:val="continue"/>
                  <w:tcBorders>
                    <w:tl2br w:val="nil"/>
                    <w:tr2bl w:val="nil"/>
                  </w:tcBorders>
                  <w:noWrap w:val="0"/>
                  <w:tcMar>
                    <w:left w:w="0" w:type="dxa"/>
                    <w:right w:w="0" w:type="dxa"/>
                  </w:tcMar>
                  <w:vAlign w:val="center"/>
                </w:tcPr>
                <w:p w14:paraId="7410235D">
                  <w:pPr>
                    <w:pStyle w:val="9"/>
                    <w:jc w:val="center"/>
                    <w:rPr>
                      <w:rFonts w:hint="default"/>
                      <w:lang w:val="en-US" w:eastAsia="zh-CN"/>
                    </w:rPr>
                  </w:pPr>
                </w:p>
              </w:tc>
              <w:tc>
                <w:tcPr>
                  <w:tcW w:w="218" w:type="pct"/>
                  <w:tcBorders>
                    <w:tl2br w:val="nil"/>
                    <w:tr2bl w:val="nil"/>
                  </w:tcBorders>
                  <w:noWrap w:val="0"/>
                  <w:tcMar>
                    <w:left w:w="0" w:type="dxa"/>
                    <w:right w:w="0" w:type="dxa"/>
                  </w:tcMar>
                  <w:vAlign w:val="center"/>
                </w:tcPr>
                <w:p w14:paraId="58FCE499">
                  <w:pPr>
                    <w:pStyle w:val="48"/>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2.28</w:t>
                  </w:r>
                </w:p>
              </w:tc>
              <w:tc>
                <w:tcPr>
                  <w:tcW w:w="148" w:type="pct"/>
                  <w:tcBorders>
                    <w:tl2br w:val="nil"/>
                    <w:tr2bl w:val="nil"/>
                  </w:tcBorders>
                  <w:noWrap w:val="0"/>
                  <w:tcMar>
                    <w:left w:w="0" w:type="dxa"/>
                    <w:right w:w="0" w:type="dxa"/>
                  </w:tcMar>
                  <w:vAlign w:val="center"/>
                </w:tcPr>
                <w:p w14:paraId="111740F2">
                  <w:pPr>
                    <w:pStyle w:val="48"/>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w:t>
                  </w:r>
                </w:p>
              </w:tc>
              <w:tc>
                <w:tcPr>
                  <w:tcW w:w="116" w:type="pct"/>
                  <w:vMerge w:val="continue"/>
                  <w:tcBorders>
                    <w:tl2br w:val="nil"/>
                    <w:tr2bl w:val="nil"/>
                  </w:tcBorders>
                  <w:noWrap w:val="0"/>
                  <w:tcMar>
                    <w:left w:w="0" w:type="dxa"/>
                    <w:right w:w="0" w:type="dxa"/>
                  </w:tcMar>
                  <w:vAlign w:val="center"/>
                </w:tcPr>
                <w:p w14:paraId="7DCF45A0">
                  <w:pPr>
                    <w:pStyle w:val="48"/>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val="0"/>
                      <w:bCs/>
                      <w:color w:val="auto"/>
                      <w:sz w:val="21"/>
                      <w:szCs w:val="21"/>
                      <w:lang w:val="en-US" w:eastAsia="zh-CN"/>
                    </w:rPr>
                  </w:pPr>
                </w:p>
              </w:tc>
            </w:tr>
          </w:tbl>
          <w:p w14:paraId="29E250DF">
            <w:pPr>
              <w:keepNext w:val="0"/>
              <w:keepLines w:val="0"/>
              <w:pageBreakBefore w:val="0"/>
              <w:widowControl w:val="0"/>
              <w:kinsoku/>
              <w:wordWrap/>
              <w:overflowPunct/>
              <w:topLinePunct w:val="0"/>
              <w:autoSpaceDE/>
              <w:autoSpaceDN/>
              <w:bidi w:val="0"/>
              <w:adjustRightInd w:val="0"/>
              <w:snapToGrid w:val="0"/>
              <w:spacing w:line="240" w:lineRule="auto"/>
              <w:ind w:firstLine="482"/>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b w:val="0"/>
                <w:bCs/>
                <w:color w:val="auto"/>
                <w:sz w:val="21"/>
                <w:szCs w:val="21"/>
                <w:lang w:val="en-US" w:eastAsia="zh-CN"/>
              </w:rPr>
              <w:t>注</w:t>
            </w:r>
            <w:r>
              <w:rPr>
                <w:rFonts w:hint="eastAsia" w:cs="Times New Roman"/>
                <w:b w:val="0"/>
                <w:bCs/>
                <w:color w:val="auto"/>
                <w:sz w:val="21"/>
                <w:szCs w:val="21"/>
                <w:lang w:val="en-US" w:eastAsia="zh-CN"/>
              </w:rPr>
              <w:t>：</w:t>
            </w:r>
            <w:r>
              <w:rPr>
                <w:rFonts w:hint="default" w:ascii="Times New Roman" w:hAnsi="Times New Roman" w:eastAsia="宋体" w:cs="Times New Roman"/>
                <w:color w:val="auto"/>
                <w:sz w:val="21"/>
                <w:szCs w:val="21"/>
                <w:lang w:val="en-US" w:eastAsia="zh-CN"/>
              </w:rPr>
              <w:t xml:space="preserve">依据《排污许可证申请与核发技术规范 </w:t>
            </w:r>
            <w:r>
              <w:rPr>
                <w:rFonts w:hint="eastAsia" w:cs="Times New Roman"/>
                <w:color w:val="auto"/>
                <w:sz w:val="21"/>
                <w:szCs w:val="21"/>
                <w:lang w:val="en-US" w:eastAsia="zh-CN"/>
              </w:rPr>
              <w:t>锅炉</w:t>
            </w:r>
            <w:r>
              <w:rPr>
                <w:rFonts w:hint="default" w:ascii="Times New Roman" w:hAnsi="Times New Roman" w:eastAsia="宋体" w:cs="Times New Roman"/>
                <w:color w:val="auto"/>
                <w:sz w:val="21"/>
                <w:szCs w:val="21"/>
                <w:lang w:val="en-US" w:eastAsia="zh-CN"/>
              </w:rPr>
              <w:t>》（HJ</w:t>
            </w:r>
            <w:r>
              <w:rPr>
                <w:rFonts w:hint="eastAsia" w:cs="Times New Roman"/>
                <w:color w:val="auto"/>
                <w:sz w:val="21"/>
                <w:szCs w:val="21"/>
                <w:lang w:val="en-US" w:eastAsia="zh-CN"/>
              </w:rPr>
              <w:t>953-2018</w:t>
            </w:r>
            <w:r>
              <w:rPr>
                <w:rFonts w:hint="default" w:ascii="Times New Roman" w:hAnsi="Times New Roman" w:eastAsia="宋体" w:cs="Times New Roman"/>
                <w:color w:val="auto"/>
                <w:sz w:val="21"/>
                <w:szCs w:val="21"/>
                <w:lang w:val="en-US" w:eastAsia="zh-CN"/>
              </w:rPr>
              <w:t>）表</w:t>
            </w:r>
            <w:r>
              <w:rPr>
                <w:rFonts w:hint="eastAsia" w:cs="Times New Roman"/>
                <w:color w:val="auto"/>
                <w:sz w:val="21"/>
                <w:szCs w:val="21"/>
                <w:lang w:val="en-US" w:eastAsia="zh-CN"/>
              </w:rPr>
              <w:t>7 锅炉烟气污染防治可行技术，本项目废气治理设施为可行性技术。</w:t>
            </w:r>
          </w:p>
          <w:p w14:paraId="26D2ED82">
            <w:pPr>
              <w:keepNext w:val="0"/>
              <w:keepLines w:val="0"/>
              <w:pageBreakBefore w:val="0"/>
              <w:widowControl w:val="0"/>
              <w:kinsoku/>
              <w:wordWrap/>
              <w:overflowPunct/>
              <w:topLinePunct w:val="0"/>
              <w:autoSpaceDE/>
              <w:autoSpaceDN/>
              <w:bidi w:val="0"/>
              <w:adjustRightInd w:val="0"/>
              <w:snapToGrid w:val="0"/>
              <w:spacing w:line="460" w:lineRule="exact"/>
              <w:ind w:firstLine="380" w:firstLineChars="200"/>
              <w:textAlignment w:val="auto"/>
              <w:rPr>
                <w:rFonts w:hint="default" w:ascii="Times New Roman" w:hAnsi="Times New Roman" w:eastAsia="宋体" w:cs="Times New Roman"/>
                <w:bCs/>
                <w:color w:val="000000"/>
                <w:spacing w:val="-10"/>
                <w:szCs w:val="21"/>
                <w:lang w:eastAsia="zh-CN"/>
              </w:rPr>
            </w:pPr>
          </w:p>
        </w:tc>
      </w:tr>
    </w:tbl>
    <w:p w14:paraId="5471C07B">
      <w:pPr>
        <w:rPr>
          <w:rFonts w:hint="default" w:ascii="Times New Roman" w:hAnsi="Times New Roman" w:eastAsia="宋体" w:cs="Times New Roman"/>
          <w:color w:val="000000"/>
        </w:rPr>
        <w:sectPr>
          <w:pgSz w:w="16838" w:h="11906" w:orient="landscape"/>
          <w:pgMar w:top="1531" w:right="1701" w:bottom="1531" w:left="2127" w:header="851" w:footer="851" w:gutter="0"/>
          <w:pgBorders>
            <w:top w:val="none" w:sz="0" w:space="0"/>
            <w:left w:val="none" w:sz="0" w:space="0"/>
            <w:bottom w:val="none" w:sz="0" w:space="0"/>
            <w:right w:val="none" w:sz="0" w:space="0"/>
          </w:pgBorders>
          <w:cols w:space="720" w:num="1"/>
          <w:docGrid w:linePitch="312" w:charSpace="0"/>
        </w:sectPr>
      </w:pPr>
    </w:p>
    <w:tbl>
      <w:tblPr>
        <w:tblStyle w:val="23"/>
        <w:tblW w:w="490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7968"/>
      </w:tblGrid>
      <w:tr w14:paraId="7D0F1F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82" w:hRule="atLeast"/>
          <w:jc w:val="center"/>
        </w:trPr>
        <w:tc>
          <w:tcPr>
            <w:tcW w:w="481" w:type="pct"/>
            <w:noWrap w:val="0"/>
            <w:tcMar>
              <w:left w:w="28" w:type="dxa"/>
              <w:right w:w="28" w:type="dxa"/>
            </w:tcMar>
            <w:vAlign w:val="center"/>
          </w:tcPr>
          <w:p w14:paraId="1B754471">
            <w:pPr>
              <w:adjustRightInd w:val="0"/>
              <w:snapToGrid w:val="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运营</w:t>
            </w:r>
          </w:p>
          <w:p w14:paraId="29E62CA0">
            <w:pPr>
              <w:adjustRightInd w:val="0"/>
              <w:snapToGrid w:val="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期环</w:t>
            </w:r>
          </w:p>
          <w:p w14:paraId="7686042E">
            <w:pPr>
              <w:adjustRightInd w:val="0"/>
              <w:snapToGrid w:val="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境影</w:t>
            </w:r>
          </w:p>
          <w:p w14:paraId="4092F1AF">
            <w:pPr>
              <w:adjustRightInd w:val="0"/>
              <w:snapToGrid w:val="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响和</w:t>
            </w:r>
          </w:p>
          <w:p w14:paraId="2FAA510D">
            <w:pPr>
              <w:adjustRightInd w:val="0"/>
              <w:snapToGrid w:val="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保护</w:t>
            </w:r>
          </w:p>
          <w:p w14:paraId="2709895E">
            <w:pPr>
              <w:adjustRightInd w:val="0"/>
              <w:snapToGrid w:val="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措施</w:t>
            </w:r>
          </w:p>
        </w:tc>
        <w:tc>
          <w:tcPr>
            <w:tcW w:w="4518" w:type="pct"/>
            <w:noWrap w:val="0"/>
            <w:vAlign w:val="center"/>
          </w:tcPr>
          <w:p w14:paraId="79BDAEA1">
            <w:pPr>
              <w:pStyle w:val="9"/>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leftChars="0" w:right="0" w:rightChars="0" w:firstLine="420" w:firstLineChars="200"/>
              <w:jc w:val="both"/>
              <w:textAlignment w:val="auto"/>
              <w:rPr>
                <w:rFonts w:hint="default" w:ascii="Times New Roman" w:hAnsi="Times New Roman" w:eastAsia="宋体" w:cs="Times New Roman"/>
                <w:b w:val="0"/>
                <w:bCs w:val="0"/>
                <w:color w:val="auto"/>
                <w:sz w:val="21"/>
                <w:szCs w:val="21"/>
                <w:lang w:val="en-US" w:eastAsia="zh-CN"/>
              </w:rPr>
            </w:pPr>
          </w:p>
        </w:tc>
      </w:tr>
    </w:tbl>
    <w:p w14:paraId="103708E5">
      <w:pPr>
        <w:rPr>
          <w:rFonts w:hint="default" w:ascii="Times New Roman" w:hAnsi="Times New Roman" w:eastAsia="宋体" w:cs="Times New Roman"/>
          <w:color w:val="000000"/>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tbl>
      <w:tblPr>
        <w:tblStyle w:val="23"/>
        <w:tblW w:w="502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2328"/>
      </w:tblGrid>
      <w:tr w14:paraId="6CE8C3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64" w:hRule="atLeast"/>
          <w:jc w:val="center"/>
        </w:trPr>
        <w:tc>
          <w:tcPr>
            <w:tcW w:w="339" w:type="pct"/>
            <w:noWrap w:val="0"/>
            <w:tcMar>
              <w:left w:w="28" w:type="dxa"/>
              <w:right w:w="28" w:type="dxa"/>
            </w:tcMar>
            <w:vAlign w:val="center"/>
          </w:tcPr>
          <w:p w14:paraId="03900BDF">
            <w:pPr>
              <w:keepNext w:val="0"/>
              <w:keepLines w:val="0"/>
              <w:pageBreakBefore w:val="0"/>
              <w:kinsoku/>
              <w:wordWrap/>
              <w:overflowPunct/>
              <w:topLinePunct w:val="0"/>
              <w:bidi w:val="0"/>
              <w:adjustRightInd w:val="0"/>
              <w:snapToGrid w:val="0"/>
              <w:spacing w:line="360" w:lineRule="auto"/>
              <w:jc w:val="center"/>
              <w:textAlignment w:val="auto"/>
              <w:rPr>
                <w:rFonts w:hint="default"/>
              </w:rPr>
            </w:pPr>
            <w:r>
              <w:rPr>
                <w:rFonts w:hint="default" w:ascii="Times New Roman" w:hAnsi="Times New Roman" w:cs="Times New Roman"/>
                <w:bCs/>
                <w:color w:val="auto"/>
                <w:sz w:val="21"/>
                <w:szCs w:val="21"/>
              </w:rPr>
              <w:t>运营期环境影响和保护</w:t>
            </w:r>
            <w:r>
              <w:rPr>
                <w:rFonts w:hint="default"/>
              </w:rPr>
              <w:t>措施</w:t>
            </w:r>
          </w:p>
        </w:tc>
        <w:tc>
          <w:tcPr>
            <w:tcW w:w="4660" w:type="pct"/>
            <w:noWrap w:val="0"/>
            <w:vAlign w:val="center"/>
          </w:tcPr>
          <w:p w14:paraId="57A249F2">
            <w:pPr>
              <w:pStyle w:val="9"/>
              <w:rPr>
                <w:rFonts w:hint="default"/>
                <w:lang w:val="en-US" w:eastAsia="zh-CN"/>
              </w:rPr>
            </w:pPr>
          </w:p>
        </w:tc>
      </w:tr>
    </w:tbl>
    <w:p w14:paraId="760AABD7">
      <w:pPr>
        <w:pStyle w:val="9"/>
        <w:rPr>
          <w:rFonts w:hint="default"/>
        </w:rPr>
        <w:sectPr>
          <w:pgSz w:w="16840" w:h="11907" w:orient="landscape"/>
          <w:pgMar w:top="1531" w:right="1701" w:bottom="1531" w:left="2127" w:header="851" w:footer="851" w:gutter="0"/>
          <w:pgBorders>
            <w:top w:val="none" w:sz="0" w:space="0"/>
            <w:left w:val="none" w:sz="0" w:space="0"/>
            <w:bottom w:val="none" w:sz="0" w:space="0"/>
            <w:right w:val="none" w:sz="0" w:space="0"/>
          </w:pgBorders>
          <w:cols w:space="720" w:num="1"/>
          <w:docGrid w:linePitch="312" w:charSpace="0"/>
        </w:sect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8249"/>
      </w:tblGrid>
      <w:tr w14:paraId="17955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5A2F07A">
            <w:pPr>
              <w:adjustRightInd w:val="0"/>
              <w:snapToGrid w:val="0"/>
              <w:jc w:val="center"/>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运营</w:t>
            </w:r>
          </w:p>
          <w:p w14:paraId="069B85DF">
            <w:pPr>
              <w:adjustRightInd w:val="0"/>
              <w:snapToGrid w:val="0"/>
              <w:jc w:val="center"/>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期环</w:t>
            </w:r>
          </w:p>
          <w:p w14:paraId="4FC9003C">
            <w:pPr>
              <w:adjustRightInd w:val="0"/>
              <w:snapToGrid w:val="0"/>
              <w:jc w:val="center"/>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境影</w:t>
            </w:r>
          </w:p>
          <w:p w14:paraId="4975141A">
            <w:pPr>
              <w:adjustRightInd w:val="0"/>
              <w:snapToGrid w:val="0"/>
              <w:jc w:val="center"/>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响和</w:t>
            </w:r>
          </w:p>
          <w:p w14:paraId="3EA10DBC">
            <w:pPr>
              <w:adjustRightInd w:val="0"/>
              <w:snapToGrid w:val="0"/>
              <w:jc w:val="center"/>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保护</w:t>
            </w:r>
          </w:p>
          <w:p w14:paraId="5FD88C64">
            <w:pPr>
              <w:pStyle w:val="9"/>
              <w:jc w:val="center"/>
              <w:rPr>
                <w:rFonts w:hint="default"/>
                <w:vertAlign w:val="baseline"/>
              </w:rPr>
            </w:pPr>
            <w:r>
              <w:rPr>
                <w:rFonts w:hint="default" w:ascii="Times New Roman" w:hAnsi="Times New Roman" w:eastAsia="宋体" w:cs="Times New Roman"/>
                <w:bCs/>
                <w:color w:val="000000"/>
                <w:szCs w:val="21"/>
              </w:rPr>
              <w:t>措施</w:t>
            </w:r>
          </w:p>
        </w:tc>
        <w:tc>
          <w:tcPr>
            <w:tcW w:w="8249" w:type="dxa"/>
          </w:tcPr>
          <w:p w14:paraId="74B938FC">
            <w:pPr>
              <w:pStyle w:val="9"/>
              <w:rPr>
                <w:rFonts w:hint="default"/>
                <w:vertAlign w:val="baseline"/>
              </w:rPr>
            </w:pPr>
          </w:p>
        </w:tc>
      </w:tr>
    </w:tbl>
    <w:p w14:paraId="2A97B39A">
      <w:pPr>
        <w:pStyle w:val="9"/>
        <w:rPr>
          <w:rFonts w:hint="default"/>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tbl>
      <w:tblPr>
        <w:tblStyle w:val="23"/>
        <w:tblW w:w="496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2310"/>
      </w:tblGrid>
      <w:tr w14:paraId="4D977F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286" w:type="pct"/>
            <w:noWrap w:val="0"/>
            <w:tcMar>
              <w:left w:w="28" w:type="dxa"/>
              <w:right w:w="28" w:type="dxa"/>
            </w:tcMar>
            <w:vAlign w:val="center"/>
          </w:tcPr>
          <w:p w14:paraId="01D79414">
            <w:pPr>
              <w:adjustRightInd w:val="0"/>
              <w:snapToGrid w:val="0"/>
              <w:jc w:val="center"/>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运营</w:t>
            </w:r>
          </w:p>
          <w:p w14:paraId="7D34FD94">
            <w:pPr>
              <w:adjustRightInd w:val="0"/>
              <w:snapToGrid w:val="0"/>
              <w:jc w:val="center"/>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期环</w:t>
            </w:r>
          </w:p>
          <w:p w14:paraId="060DF9D6">
            <w:pPr>
              <w:adjustRightInd w:val="0"/>
              <w:snapToGrid w:val="0"/>
              <w:jc w:val="center"/>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境影</w:t>
            </w:r>
          </w:p>
          <w:p w14:paraId="207BC0DB">
            <w:pPr>
              <w:adjustRightInd w:val="0"/>
              <w:snapToGrid w:val="0"/>
              <w:jc w:val="center"/>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响和</w:t>
            </w:r>
          </w:p>
          <w:p w14:paraId="6FEF219F">
            <w:pPr>
              <w:adjustRightInd w:val="0"/>
              <w:snapToGrid w:val="0"/>
              <w:jc w:val="center"/>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保护</w:t>
            </w:r>
          </w:p>
          <w:p w14:paraId="1C1C7F52">
            <w:pPr>
              <w:adjustRightInd w:val="0"/>
              <w:snapToGrid w:val="0"/>
              <w:jc w:val="center"/>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措施</w:t>
            </w:r>
          </w:p>
        </w:tc>
        <w:tc>
          <w:tcPr>
            <w:tcW w:w="4713" w:type="pct"/>
            <w:noWrap w:val="0"/>
            <w:vAlign w:val="top"/>
          </w:tcPr>
          <w:p w14:paraId="6E7202CE">
            <w:pPr>
              <w:pageBreakBefore w:val="0"/>
              <w:widowControl w:val="0"/>
              <w:kinsoku/>
              <w:wordWrap/>
              <w:overflowPunct/>
              <w:topLinePunct w:val="0"/>
              <w:autoSpaceDE/>
              <w:autoSpaceDN/>
              <w:bidi w:val="0"/>
              <w:spacing w:line="460" w:lineRule="exact"/>
              <w:ind w:firstLine="420" w:firstLineChars="200"/>
              <w:jc w:val="both"/>
              <w:textAlignment w:val="auto"/>
              <w:rPr>
                <w:rFonts w:hint="default" w:ascii="Times New Roman" w:hAnsi="Times New Roman" w:eastAsia="宋体" w:cs="Times New Roman"/>
                <w:b w:val="0"/>
                <w:bCs w:val="0"/>
                <w:color w:val="000000"/>
                <w:sz w:val="21"/>
                <w:szCs w:val="21"/>
                <w:lang w:val="en-US" w:eastAsia="zh-CN"/>
              </w:rPr>
            </w:pPr>
          </w:p>
        </w:tc>
      </w:tr>
    </w:tbl>
    <w:p w14:paraId="68AB3CB6">
      <w:pPr>
        <w:rPr>
          <w:rFonts w:hint="default" w:ascii="Times New Roman" w:hAnsi="Times New Roman" w:eastAsia="宋体" w:cs="Times New Roman"/>
          <w:color w:val="000000"/>
        </w:rPr>
        <w:sectPr>
          <w:pgSz w:w="16838" w:h="11906" w:orient="landscape"/>
          <w:pgMar w:top="1531" w:right="1701" w:bottom="1531" w:left="2127" w:header="851" w:footer="851" w:gutter="0"/>
          <w:pgBorders>
            <w:top w:val="none" w:sz="0" w:space="0"/>
            <w:left w:val="none" w:sz="0" w:space="0"/>
            <w:bottom w:val="none" w:sz="0" w:space="0"/>
            <w:right w:val="none" w:sz="0" w:space="0"/>
          </w:pgBorders>
          <w:cols w:space="720" w:num="1"/>
          <w:docGrid w:linePitch="312" w:charSpace="0"/>
        </w:sectPr>
      </w:pPr>
    </w:p>
    <w:tbl>
      <w:tblPr>
        <w:tblStyle w:val="23"/>
        <w:tblW w:w="490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8193"/>
      </w:tblGrid>
      <w:tr w14:paraId="0ADBA9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350" w:type="pct"/>
            <w:noWrap w:val="0"/>
            <w:tcMar>
              <w:left w:w="28" w:type="dxa"/>
              <w:right w:w="28" w:type="dxa"/>
            </w:tcMar>
            <w:vAlign w:val="center"/>
          </w:tcPr>
          <w:p w14:paraId="7A2C22B9">
            <w:pPr>
              <w:adjustRightInd w:val="0"/>
              <w:snapToGrid w:val="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运营</w:t>
            </w:r>
          </w:p>
          <w:p w14:paraId="4B55C337">
            <w:pPr>
              <w:adjustRightInd w:val="0"/>
              <w:snapToGrid w:val="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期环</w:t>
            </w:r>
          </w:p>
          <w:p w14:paraId="6E2C6ACA">
            <w:pPr>
              <w:adjustRightInd w:val="0"/>
              <w:snapToGrid w:val="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境影</w:t>
            </w:r>
          </w:p>
          <w:p w14:paraId="4D272FED">
            <w:pPr>
              <w:adjustRightInd w:val="0"/>
              <w:snapToGrid w:val="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响和</w:t>
            </w:r>
          </w:p>
          <w:p w14:paraId="09F5143F">
            <w:pPr>
              <w:adjustRightInd w:val="0"/>
              <w:snapToGrid w:val="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保护</w:t>
            </w:r>
          </w:p>
          <w:p w14:paraId="2821CC61">
            <w:pPr>
              <w:adjustRightInd w:val="0"/>
              <w:snapToGrid w:val="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措施</w:t>
            </w:r>
          </w:p>
        </w:tc>
        <w:tc>
          <w:tcPr>
            <w:tcW w:w="4649" w:type="pct"/>
            <w:noWrap w:val="0"/>
            <w:vAlign w:val="center"/>
          </w:tcPr>
          <w:p w14:paraId="1ACA141D">
            <w:pPr>
              <w:pageBreakBefore w:val="0"/>
              <w:widowControl w:val="0"/>
              <w:kinsoku/>
              <w:wordWrap/>
              <w:overflowPunct/>
              <w:topLinePunct w:val="0"/>
              <w:autoSpaceDE/>
              <w:autoSpaceDN/>
              <w:bidi w:val="0"/>
              <w:spacing w:line="460" w:lineRule="exact"/>
              <w:ind w:firstLine="420" w:firstLineChars="200"/>
              <w:textAlignment w:val="auto"/>
              <w:rPr>
                <w:rFonts w:hint="default" w:ascii="Times New Roman" w:hAnsi="Times New Roman" w:eastAsia="宋体" w:cs="Times New Roman"/>
                <w:b w:val="0"/>
                <w:bCs w:val="0"/>
                <w:color w:val="auto"/>
                <w:sz w:val="21"/>
                <w:szCs w:val="21"/>
                <w:lang w:val="en-US" w:eastAsia="zh-CN"/>
              </w:rPr>
            </w:pPr>
          </w:p>
        </w:tc>
      </w:tr>
    </w:tbl>
    <w:p w14:paraId="591B7230">
      <w:pPr>
        <w:adjustRightInd w:val="0"/>
        <w:snapToGrid w:val="0"/>
        <w:spacing w:line="360" w:lineRule="auto"/>
        <w:rPr>
          <w:rFonts w:hint="default" w:ascii="Times New Roman" w:hAnsi="Times New Roman" w:eastAsia="宋体" w:cs="Times New Roman"/>
          <w:b/>
          <w:color w:val="000000"/>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14:paraId="374D7B31">
      <w:pPr>
        <w:pStyle w:val="19"/>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五、</w:t>
      </w:r>
      <w:bookmarkStart w:id="4" w:name="_Hlk54167917"/>
      <w:r>
        <w:rPr>
          <w:rFonts w:hint="eastAsia" w:ascii="黑体" w:hAnsi="黑体" w:eastAsia="黑体"/>
          <w:snapToGrid w:val="0"/>
          <w:color w:val="auto"/>
          <w:sz w:val="30"/>
          <w:szCs w:val="30"/>
        </w:rPr>
        <w:t>环境保护措施监督检查清单</w:t>
      </w:r>
      <w:bookmarkEnd w:id="4"/>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9"/>
        <w:gridCol w:w="889"/>
        <w:gridCol w:w="1755"/>
        <w:gridCol w:w="1535"/>
        <w:gridCol w:w="1485"/>
        <w:gridCol w:w="2247"/>
      </w:tblGrid>
      <w:tr w14:paraId="316DCC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gridSpan w:val="2"/>
            <w:tcBorders>
              <w:tl2br w:val="single" w:color="auto" w:sz="4" w:space="0"/>
            </w:tcBorders>
            <w:noWrap w:val="0"/>
            <w:vAlign w:val="top"/>
          </w:tcPr>
          <w:p w14:paraId="315F9CE3">
            <w:pPr>
              <w:adjustRightInd w:val="0"/>
              <w:snapToGrid w:val="0"/>
              <w:ind w:firstLine="840"/>
              <w:rPr>
                <w:rFonts w:hint="default" w:ascii="Times New Roman" w:hAnsi="Times New Roman" w:cs="Times New Roman"/>
                <w:b/>
                <w:bCs/>
                <w:color w:val="auto"/>
                <w:szCs w:val="21"/>
              </w:rPr>
            </w:pPr>
            <w:r>
              <w:rPr>
                <w:rFonts w:hint="default" w:ascii="Times New Roman" w:hAnsi="Times New Roman" w:cs="Times New Roman"/>
                <w:b/>
                <w:bCs/>
                <w:color w:val="auto"/>
                <w:szCs w:val="21"/>
              </w:rPr>
              <w:t>内容</w:t>
            </w:r>
          </w:p>
          <w:p w14:paraId="69AC30FC">
            <w:pPr>
              <w:adjustRightInd w:val="0"/>
              <w:snapToGrid w:val="0"/>
              <w:rPr>
                <w:rFonts w:hint="default" w:ascii="Times New Roman" w:hAnsi="Times New Roman" w:cs="Times New Roman"/>
                <w:b/>
                <w:bCs/>
                <w:color w:val="auto"/>
                <w:szCs w:val="21"/>
              </w:rPr>
            </w:pPr>
            <w:r>
              <w:rPr>
                <w:rFonts w:hint="default" w:ascii="Times New Roman" w:hAnsi="Times New Roman" w:cs="Times New Roman"/>
                <w:b/>
                <w:bCs/>
                <w:color w:val="auto"/>
                <w:szCs w:val="21"/>
              </w:rPr>
              <w:t>要素</w:t>
            </w:r>
          </w:p>
        </w:tc>
        <w:tc>
          <w:tcPr>
            <w:tcW w:w="1755" w:type="dxa"/>
            <w:noWrap w:val="0"/>
            <w:vAlign w:val="center"/>
          </w:tcPr>
          <w:p w14:paraId="54EA6BAC">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排放口</w:t>
            </w:r>
            <w:r>
              <w:rPr>
                <w:rFonts w:hint="eastAsia" w:cs="Times New Roman"/>
                <w:b/>
                <w:bCs/>
                <w:color w:val="auto"/>
                <w:szCs w:val="21"/>
                <w:lang w:eastAsia="zh-CN"/>
              </w:rPr>
              <w:t>（</w:t>
            </w:r>
            <w:r>
              <w:rPr>
                <w:rFonts w:hint="default" w:ascii="Times New Roman" w:hAnsi="Times New Roman" w:cs="Times New Roman"/>
                <w:b/>
                <w:bCs/>
                <w:color w:val="auto"/>
                <w:szCs w:val="21"/>
              </w:rPr>
              <w:t>编号、</w:t>
            </w:r>
          </w:p>
          <w:p w14:paraId="47AFC981">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名称</w:t>
            </w:r>
            <w:r>
              <w:rPr>
                <w:rFonts w:hint="eastAsia" w:cs="Times New Roman"/>
                <w:b/>
                <w:bCs/>
                <w:color w:val="auto"/>
                <w:szCs w:val="21"/>
                <w:lang w:eastAsia="zh-CN"/>
              </w:rPr>
              <w:t>）</w:t>
            </w:r>
            <w:r>
              <w:rPr>
                <w:rFonts w:hint="default" w:ascii="Times New Roman" w:hAnsi="Times New Roman" w:cs="Times New Roman"/>
                <w:b/>
                <w:bCs/>
                <w:color w:val="auto"/>
                <w:szCs w:val="21"/>
              </w:rPr>
              <w:t>/污染源</w:t>
            </w:r>
          </w:p>
        </w:tc>
        <w:tc>
          <w:tcPr>
            <w:tcW w:w="1535" w:type="dxa"/>
            <w:noWrap w:val="0"/>
            <w:vAlign w:val="center"/>
          </w:tcPr>
          <w:p w14:paraId="04A54CC0">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污染物项目</w:t>
            </w:r>
          </w:p>
        </w:tc>
        <w:tc>
          <w:tcPr>
            <w:tcW w:w="1485" w:type="dxa"/>
            <w:noWrap w:val="0"/>
            <w:vAlign w:val="center"/>
          </w:tcPr>
          <w:p w14:paraId="25131856">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环境保护措施</w:t>
            </w:r>
          </w:p>
        </w:tc>
        <w:tc>
          <w:tcPr>
            <w:tcW w:w="2247" w:type="dxa"/>
            <w:noWrap w:val="0"/>
            <w:vAlign w:val="center"/>
          </w:tcPr>
          <w:p w14:paraId="257835AB">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执行标准</w:t>
            </w:r>
          </w:p>
        </w:tc>
      </w:tr>
      <w:tr w14:paraId="5317AB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89" w:type="dxa"/>
            <w:vMerge w:val="restart"/>
            <w:noWrap w:val="0"/>
            <w:vAlign w:val="center"/>
          </w:tcPr>
          <w:p w14:paraId="7D7437C3">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大气环境</w:t>
            </w:r>
          </w:p>
        </w:tc>
        <w:tc>
          <w:tcPr>
            <w:tcW w:w="889" w:type="dxa"/>
            <w:noWrap w:val="0"/>
            <w:vAlign w:val="center"/>
          </w:tcPr>
          <w:p w14:paraId="3B424E9D">
            <w:pPr>
              <w:adjustRightInd w:val="0"/>
              <w:snapToGrid w:val="0"/>
              <w:jc w:val="center"/>
              <w:rPr>
                <w:rFonts w:hint="eastAsia" w:ascii="Times New Roman" w:hAnsi="Times New Roman" w:eastAsia="宋体" w:cs="Times New Roman"/>
                <w:color w:val="auto"/>
                <w:szCs w:val="21"/>
                <w:lang w:eastAsia="zh-CN"/>
              </w:rPr>
            </w:pPr>
            <w:r>
              <w:rPr>
                <w:rFonts w:hint="eastAsia" w:cs="Times New Roman"/>
                <w:color w:val="auto"/>
                <w:szCs w:val="21"/>
                <w:lang w:eastAsia="zh-CN"/>
              </w:rPr>
              <w:t>有组织</w:t>
            </w:r>
          </w:p>
        </w:tc>
        <w:tc>
          <w:tcPr>
            <w:tcW w:w="1755" w:type="dxa"/>
            <w:noWrap w:val="0"/>
            <w:vAlign w:val="center"/>
          </w:tcPr>
          <w:p w14:paraId="02348EC2">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DA003排气筒</w:t>
            </w:r>
          </w:p>
        </w:tc>
        <w:tc>
          <w:tcPr>
            <w:tcW w:w="1535" w:type="dxa"/>
            <w:noWrap w:val="0"/>
            <w:vAlign w:val="center"/>
          </w:tcPr>
          <w:p w14:paraId="60AC43F5">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hAnsi="宋体"/>
                <w:color w:val="auto"/>
                <w:lang w:val="en-US" w:eastAsia="zh-CN"/>
              </w:rPr>
              <w:t>颗粒物、二氧化硫、氮氧化物、氨、烟气黑度</w:t>
            </w:r>
          </w:p>
        </w:tc>
        <w:tc>
          <w:tcPr>
            <w:tcW w:w="1485" w:type="dxa"/>
            <w:noWrap w:val="0"/>
            <w:vAlign w:val="center"/>
          </w:tcPr>
          <w:p w14:paraId="3C3F5C6B">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低氮燃烧器+SCR+袋式除尘+SDA旋转喷雾干燥法</w:t>
            </w:r>
          </w:p>
        </w:tc>
        <w:tc>
          <w:tcPr>
            <w:tcW w:w="2247" w:type="dxa"/>
            <w:noWrap w:val="0"/>
            <w:vAlign w:val="center"/>
          </w:tcPr>
          <w:p w14:paraId="1B1BEA00">
            <w:pPr>
              <w:adjustRightInd w:val="0"/>
              <w:snapToGrid w:val="0"/>
              <w:jc w:val="center"/>
              <w:rPr>
                <w:rFonts w:hint="default" w:ascii="Times New Roman" w:hAnsi="Times New Roman" w:cs="Times New Roman"/>
                <w:color w:val="auto"/>
                <w:szCs w:val="21"/>
                <w:lang w:val="en-US"/>
              </w:rPr>
            </w:pPr>
            <w:r>
              <w:rPr>
                <w:rFonts w:hint="eastAsia" w:cs="Times New Roman"/>
                <w:color w:val="auto"/>
                <w:sz w:val="21"/>
                <w:szCs w:val="21"/>
                <w:lang w:val="en-US" w:eastAsia="zh-CN"/>
              </w:rPr>
              <w:t>《锅炉大气污染物排放标准》（DB32/4385-2022）&amp;</w:t>
            </w:r>
            <w:r>
              <w:rPr>
                <w:rFonts w:hint="default" w:ascii="Times New Roman" w:hAnsi="Times New Roman" w:cs="Times New Roman"/>
                <w:color w:val="auto"/>
                <w:szCs w:val="24"/>
                <w:lang w:val="en-US" w:eastAsia="zh-CN"/>
              </w:rPr>
              <w:t>《恶臭污染物排放标准》（GB14554-93）</w:t>
            </w:r>
          </w:p>
        </w:tc>
      </w:tr>
      <w:tr w14:paraId="17E14A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89" w:type="dxa"/>
            <w:vMerge w:val="continue"/>
            <w:noWrap w:val="0"/>
            <w:vAlign w:val="center"/>
          </w:tcPr>
          <w:p w14:paraId="3D700FFA">
            <w:pPr>
              <w:adjustRightInd w:val="0"/>
              <w:snapToGrid w:val="0"/>
              <w:jc w:val="center"/>
              <w:rPr>
                <w:rFonts w:hint="eastAsia" w:cs="Times New Roman"/>
                <w:color w:val="auto"/>
                <w:szCs w:val="21"/>
                <w:lang w:val="en-US" w:eastAsia="zh-CN"/>
              </w:rPr>
            </w:pPr>
          </w:p>
        </w:tc>
        <w:tc>
          <w:tcPr>
            <w:tcW w:w="2644" w:type="dxa"/>
            <w:gridSpan w:val="2"/>
            <w:noWrap w:val="0"/>
            <w:vAlign w:val="center"/>
          </w:tcPr>
          <w:p w14:paraId="4E2D52BD">
            <w:pPr>
              <w:adjustRightInd w:val="0"/>
              <w:snapToGrid w:val="0"/>
              <w:jc w:val="center"/>
              <w:rPr>
                <w:rFonts w:hint="eastAsia" w:cs="Times New Roman"/>
                <w:color w:val="auto"/>
                <w:szCs w:val="21"/>
                <w:lang w:val="en-US" w:eastAsia="zh-CN"/>
              </w:rPr>
            </w:pPr>
            <w:r>
              <w:rPr>
                <w:rFonts w:hint="eastAsia" w:cs="Times New Roman"/>
                <w:color w:val="auto"/>
                <w:szCs w:val="21"/>
                <w:lang w:val="en-US" w:eastAsia="zh-CN"/>
              </w:rPr>
              <w:t>无组织</w:t>
            </w:r>
          </w:p>
        </w:tc>
        <w:tc>
          <w:tcPr>
            <w:tcW w:w="1535" w:type="dxa"/>
            <w:noWrap w:val="0"/>
            <w:vAlign w:val="center"/>
          </w:tcPr>
          <w:p w14:paraId="30667DBF">
            <w:pPr>
              <w:adjustRightInd w:val="0"/>
              <w:snapToGrid w:val="0"/>
              <w:jc w:val="center"/>
              <w:rPr>
                <w:rFonts w:hint="eastAsia" w:cs="Times New Roman"/>
                <w:color w:val="auto"/>
                <w:szCs w:val="21"/>
                <w:lang w:val="en-US" w:eastAsia="zh-CN"/>
              </w:rPr>
            </w:pPr>
            <w:r>
              <w:rPr>
                <w:rFonts w:hint="eastAsia" w:cs="Times New Roman"/>
                <w:color w:val="auto"/>
                <w:szCs w:val="21"/>
                <w:lang w:val="en-US" w:eastAsia="zh-CN"/>
              </w:rPr>
              <w:t>臭气浓度、氨</w:t>
            </w:r>
          </w:p>
        </w:tc>
        <w:tc>
          <w:tcPr>
            <w:tcW w:w="1485" w:type="dxa"/>
            <w:noWrap w:val="0"/>
            <w:vAlign w:val="center"/>
          </w:tcPr>
          <w:p w14:paraId="6B974C60">
            <w:pPr>
              <w:adjustRightInd w:val="0"/>
              <w:snapToGrid w:val="0"/>
              <w:jc w:val="center"/>
              <w:rPr>
                <w:rFonts w:hint="eastAsia" w:cs="Times New Roman"/>
                <w:color w:val="auto"/>
                <w:szCs w:val="21"/>
                <w:lang w:val="en-US" w:eastAsia="zh-CN"/>
              </w:rPr>
            </w:pPr>
            <w:r>
              <w:rPr>
                <w:rFonts w:hint="eastAsia" w:cs="Times New Roman"/>
                <w:color w:val="auto"/>
                <w:szCs w:val="21"/>
                <w:lang w:val="en-US" w:eastAsia="zh-CN"/>
              </w:rPr>
              <w:t>加强通风</w:t>
            </w:r>
          </w:p>
        </w:tc>
        <w:tc>
          <w:tcPr>
            <w:tcW w:w="2247" w:type="dxa"/>
            <w:noWrap w:val="0"/>
            <w:vAlign w:val="center"/>
          </w:tcPr>
          <w:p w14:paraId="377D9B3A">
            <w:pPr>
              <w:adjustRightInd w:val="0"/>
              <w:snapToGrid w:val="0"/>
              <w:jc w:val="center"/>
              <w:rPr>
                <w:rFonts w:hint="default" w:cs="Times New Roman"/>
                <w:color w:val="auto"/>
                <w:szCs w:val="21"/>
                <w:lang w:val="en-US" w:eastAsia="zh-CN"/>
              </w:rPr>
            </w:pPr>
            <w:r>
              <w:rPr>
                <w:rFonts w:hint="default" w:ascii="Times New Roman" w:hAnsi="Times New Roman" w:cs="Times New Roman"/>
                <w:color w:val="auto"/>
                <w:szCs w:val="24"/>
                <w:lang w:val="en-US" w:eastAsia="zh-CN"/>
              </w:rPr>
              <w:t>《恶臭污染物排放标准》（GB14554-93）</w:t>
            </w:r>
          </w:p>
        </w:tc>
      </w:tr>
      <w:tr w14:paraId="10B38A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gridSpan w:val="2"/>
            <w:noWrap w:val="0"/>
            <w:vAlign w:val="center"/>
          </w:tcPr>
          <w:p w14:paraId="4AE931AC">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声环境</w:t>
            </w:r>
          </w:p>
        </w:tc>
        <w:tc>
          <w:tcPr>
            <w:tcW w:w="1755" w:type="dxa"/>
            <w:noWrap w:val="0"/>
            <w:vAlign w:val="center"/>
          </w:tcPr>
          <w:p w14:paraId="55F54B67">
            <w:pPr>
              <w:adjustRightInd w:val="0"/>
              <w:snapToGrid w:val="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设备噪声</w:t>
            </w:r>
          </w:p>
        </w:tc>
        <w:tc>
          <w:tcPr>
            <w:tcW w:w="1535" w:type="dxa"/>
            <w:noWrap w:val="0"/>
            <w:vAlign w:val="center"/>
          </w:tcPr>
          <w:p w14:paraId="4A5E243C">
            <w:pPr>
              <w:adjustRightInd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w:t>
            </w:r>
          </w:p>
        </w:tc>
        <w:tc>
          <w:tcPr>
            <w:tcW w:w="1485" w:type="dxa"/>
            <w:noWrap w:val="0"/>
            <w:vAlign w:val="center"/>
          </w:tcPr>
          <w:p w14:paraId="4E4BE095">
            <w:pPr>
              <w:adjustRightInd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隔声降噪</w:t>
            </w:r>
          </w:p>
        </w:tc>
        <w:tc>
          <w:tcPr>
            <w:tcW w:w="2247" w:type="dxa"/>
            <w:noWrap w:val="0"/>
            <w:vAlign w:val="center"/>
          </w:tcPr>
          <w:p w14:paraId="453864B0">
            <w:pPr>
              <w:adjustRightInd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rPr>
              <w:t>《工业企业厂界环境噪声排放标准》（GB12348-2008）</w:t>
            </w:r>
            <w:r>
              <w:rPr>
                <w:rFonts w:hint="default" w:ascii="Times New Roman" w:hAnsi="Times New Roman" w:cs="Times New Roman"/>
                <w:color w:val="auto"/>
                <w:szCs w:val="21"/>
                <w:lang w:val="en-US" w:eastAsia="zh-CN"/>
              </w:rPr>
              <w:t>中</w:t>
            </w:r>
            <w:r>
              <w:rPr>
                <w:rFonts w:hint="eastAsia" w:ascii="Times New Roman" w:hAnsi="Times New Roman" w:cs="Times New Roman"/>
                <w:color w:val="auto"/>
                <w:szCs w:val="21"/>
                <w:lang w:val="en-US" w:eastAsia="zh-CN"/>
              </w:rPr>
              <w:t>3</w:t>
            </w:r>
            <w:r>
              <w:rPr>
                <w:rFonts w:hint="default" w:ascii="Times New Roman" w:hAnsi="Times New Roman" w:cs="Times New Roman"/>
                <w:color w:val="auto"/>
                <w:szCs w:val="21"/>
                <w:lang w:val="en-US" w:eastAsia="zh-CN"/>
              </w:rPr>
              <w:t>类标准</w:t>
            </w:r>
          </w:p>
        </w:tc>
      </w:tr>
      <w:tr w14:paraId="06A910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gridSpan w:val="2"/>
            <w:noWrap w:val="0"/>
            <w:vAlign w:val="center"/>
          </w:tcPr>
          <w:p w14:paraId="25E14778">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电磁辐射</w:t>
            </w:r>
          </w:p>
        </w:tc>
        <w:tc>
          <w:tcPr>
            <w:tcW w:w="1755" w:type="dxa"/>
            <w:noWrap w:val="0"/>
            <w:vAlign w:val="center"/>
          </w:tcPr>
          <w:p w14:paraId="05DDF5C9">
            <w:pPr>
              <w:adjustRightInd w:val="0"/>
              <w:snapToGrid w:val="0"/>
              <w:jc w:val="center"/>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w:t>
            </w:r>
          </w:p>
        </w:tc>
        <w:tc>
          <w:tcPr>
            <w:tcW w:w="1535" w:type="dxa"/>
            <w:noWrap w:val="0"/>
            <w:vAlign w:val="center"/>
          </w:tcPr>
          <w:p w14:paraId="3501E294">
            <w:pPr>
              <w:adjustRightInd w:val="0"/>
              <w:snapToGrid w:val="0"/>
              <w:jc w:val="center"/>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w:t>
            </w:r>
          </w:p>
        </w:tc>
        <w:tc>
          <w:tcPr>
            <w:tcW w:w="1485" w:type="dxa"/>
            <w:noWrap w:val="0"/>
            <w:vAlign w:val="center"/>
          </w:tcPr>
          <w:p w14:paraId="76061053">
            <w:pPr>
              <w:adjustRightInd w:val="0"/>
              <w:snapToGrid w:val="0"/>
              <w:jc w:val="center"/>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w:t>
            </w:r>
          </w:p>
        </w:tc>
        <w:tc>
          <w:tcPr>
            <w:tcW w:w="2247" w:type="dxa"/>
            <w:noWrap w:val="0"/>
            <w:vAlign w:val="center"/>
          </w:tcPr>
          <w:p w14:paraId="63B4DFC7">
            <w:pPr>
              <w:adjustRightInd w:val="0"/>
              <w:snapToGrid w:val="0"/>
              <w:jc w:val="center"/>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w:t>
            </w:r>
          </w:p>
        </w:tc>
      </w:tr>
      <w:tr w14:paraId="10014A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8" w:type="dxa"/>
            <w:gridSpan w:val="2"/>
            <w:noWrap w:val="0"/>
            <w:vAlign w:val="center"/>
          </w:tcPr>
          <w:p w14:paraId="4BCAB19D">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固体废物</w:t>
            </w:r>
          </w:p>
        </w:tc>
        <w:tc>
          <w:tcPr>
            <w:tcW w:w="7022" w:type="dxa"/>
            <w:gridSpan w:val="4"/>
            <w:noWrap w:val="0"/>
            <w:vAlign w:val="center"/>
          </w:tcPr>
          <w:p w14:paraId="397AFA93">
            <w:pPr>
              <w:keepNext w:val="0"/>
              <w:keepLines w:val="0"/>
              <w:pageBreakBefore w:val="0"/>
              <w:kinsoku/>
              <w:wordWrap/>
              <w:overflowPunct/>
              <w:topLinePunct w:val="0"/>
              <w:bidi w:val="0"/>
              <w:spacing w:line="240" w:lineRule="auto"/>
              <w:ind w:firstLine="420"/>
              <w:rPr>
                <w:rFonts w:hint="default" w:ascii="Times New Roman" w:hAnsi="Times New Roman" w:cs="Times New Roman"/>
                <w:color w:val="000000"/>
                <w:sz w:val="21"/>
                <w:szCs w:val="21"/>
              </w:rPr>
            </w:pPr>
            <w:r>
              <w:rPr>
                <w:rFonts w:hint="eastAsia" w:ascii="Times New Roman" w:hAnsi="Times New Roman" w:cs="Times New Roman"/>
                <w:color w:val="000000"/>
                <w:sz w:val="21"/>
                <w:szCs w:val="21"/>
                <w:lang w:eastAsia="zh-CN"/>
              </w:rPr>
              <w:t>建设</w:t>
            </w:r>
            <w:r>
              <w:rPr>
                <w:rFonts w:hint="default" w:ascii="Times New Roman" w:hAnsi="Times New Roman" w:cs="Times New Roman"/>
                <w:color w:val="000000"/>
                <w:sz w:val="21"/>
                <w:szCs w:val="21"/>
              </w:rPr>
              <w:t>项目产生的一般工业固体废物储存执行《一般工业固体废物贮存</w:t>
            </w:r>
            <w:r>
              <w:rPr>
                <w:rFonts w:hint="default" w:ascii="Times New Roman" w:hAnsi="Times New Roman" w:cs="Times New Roman"/>
                <w:color w:val="000000"/>
                <w:sz w:val="21"/>
                <w:szCs w:val="21"/>
                <w:lang w:eastAsia="zh-CN"/>
              </w:rPr>
              <w:t>和填埋污染控制标准</w:t>
            </w:r>
            <w:r>
              <w:rPr>
                <w:rFonts w:hint="default" w:ascii="Times New Roman" w:hAnsi="Times New Roman" w:cs="Times New Roman"/>
                <w:color w:val="000000"/>
                <w:sz w:val="21"/>
                <w:szCs w:val="21"/>
              </w:rPr>
              <w:t>》（GB18599-20</w:t>
            </w:r>
            <w:r>
              <w:rPr>
                <w:rFonts w:hint="default" w:ascii="Times New Roman" w:hAnsi="Times New Roman" w:cs="Times New Roman"/>
                <w:color w:val="000000"/>
                <w:sz w:val="21"/>
                <w:szCs w:val="21"/>
                <w:lang w:val="en-US" w:eastAsia="zh-CN"/>
              </w:rPr>
              <w:t>20</w:t>
            </w:r>
            <w:r>
              <w:rPr>
                <w:rFonts w:hint="default" w:ascii="Times New Roman" w:hAnsi="Times New Roman" w:cs="Times New Roman"/>
                <w:color w:val="000000"/>
                <w:sz w:val="21"/>
                <w:szCs w:val="21"/>
              </w:rPr>
              <w:t>）；</w:t>
            </w:r>
          </w:p>
          <w:p w14:paraId="2718858E">
            <w:pPr>
              <w:adjustRightInd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000000"/>
                <w:sz w:val="21"/>
                <w:szCs w:val="21"/>
              </w:rPr>
              <w:t>危险废物应按照《危险废物贮存污染控制标准》（GB 18597-2023）、《危险废物收集贮存运输技术规范》（HJ2025-2012）及《危险废物识别标志设置技术规范》（HJ 1276-2022）中相关规定要求进行危险废物的包装、贮存设施的选址、设计、运行、安全防护、监测和关闭等要求进行合理的贮存</w:t>
            </w:r>
            <w:r>
              <w:rPr>
                <w:rFonts w:hint="eastAsia" w:ascii="Times New Roman" w:eastAsia="宋体" w:cs="Times New Roman"/>
                <w:b w:val="0"/>
                <w:bCs/>
                <w:color w:val="auto"/>
                <w:kern w:val="2"/>
                <w:sz w:val="21"/>
                <w:szCs w:val="21"/>
                <w:lang w:val="en-US" w:eastAsia="zh-CN" w:bidi="ar-SA"/>
              </w:rPr>
              <w:t>。</w:t>
            </w:r>
          </w:p>
        </w:tc>
      </w:tr>
      <w:tr w14:paraId="6F4E8F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778" w:type="dxa"/>
            <w:gridSpan w:val="2"/>
            <w:noWrap w:val="0"/>
            <w:vAlign w:val="center"/>
          </w:tcPr>
          <w:p w14:paraId="43CFBC8E">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土壤及地下水</w:t>
            </w:r>
          </w:p>
          <w:p w14:paraId="1B8AEE5A">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污染防治措施</w:t>
            </w:r>
          </w:p>
        </w:tc>
        <w:tc>
          <w:tcPr>
            <w:tcW w:w="7022" w:type="dxa"/>
            <w:gridSpan w:val="4"/>
            <w:noWrap w:val="0"/>
            <w:vAlign w:val="center"/>
          </w:tcPr>
          <w:p w14:paraId="7435F724">
            <w:pPr>
              <w:adjustRightInd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危废库</w:t>
            </w:r>
            <w:r>
              <w:rPr>
                <w:rFonts w:hint="eastAsia" w:cs="Times New Roman"/>
                <w:color w:val="auto"/>
                <w:szCs w:val="21"/>
                <w:lang w:val="en-US" w:eastAsia="zh-CN"/>
              </w:rPr>
              <w:t>、锅炉房</w:t>
            </w:r>
            <w:r>
              <w:rPr>
                <w:rFonts w:hint="default" w:ascii="Times New Roman" w:hAnsi="Times New Roman" w:cs="Times New Roman"/>
                <w:color w:val="auto"/>
                <w:szCs w:val="21"/>
                <w:lang w:val="en-US" w:eastAsia="zh-CN"/>
              </w:rPr>
              <w:t>重点防渗；原料库、一般固废库一般防渗</w:t>
            </w:r>
          </w:p>
        </w:tc>
      </w:tr>
      <w:tr w14:paraId="27183A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778" w:type="dxa"/>
            <w:gridSpan w:val="2"/>
            <w:noWrap w:val="0"/>
            <w:vAlign w:val="center"/>
          </w:tcPr>
          <w:p w14:paraId="75A651AC">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生态保护措施</w:t>
            </w:r>
          </w:p>
        </w:tc>
        <w:tc>
          <w:tcPr>
            <w:tcW w:w="7022" w:type="dxa"/>
            <w:gridSpan w:val="4"/>
            <w:noWrap w:val="0"/>
            <w:vAlign w:val="center"/>
          </w:tcPr>
          <w:p w14:paraId="4B95C05B">
            <w:pPr>
              <w:adjustRightInd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w:t>
            </w:r>
          </w:p>
        </w:tc>
      </w:tr>
      <w:tr w14:paraId="2713DF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778" w:type="dxa"/>
            <w:gridSpan w:val="2"/>
            <w:noWrap w:val="0"/>
            <w:vAlign w:val="center"/>
          </w:tcPr>
          <w:p w14:paraId="01BA1148">
            <w:pPr>
              <w:adjustRightInd w:val="0"/>
              <w:snapToGrid w:val="0"/>
              <w:jc w:val="center"/>
              <w:rPr>
                <w:rFonts w:hint="default" w:ascii="Times New Roman" w:hAnsi="Times New Roman" w:cs="Times New Roman"/>
                <w:color w:val="auto"/>
                <w:spacing w:val="-8"/>
                <w:szCs w:val="21"/>
              </w:rPr>
            </w:pPr>
            <w:r>
              <w:rPr>
                <w:rFonts w:hint="default" w:ascii="Times New Roman" w:hAnsi="Times New Roman" w:cs="Times New Roman"/>
                <w:color w:val="auto"/>
                <w:spacing w:val="-8"/>
                <w:szCs w:val="21"/>
              </w:rPr>
              <w:t>环境风险</w:t>
            </w:r>
          </w:p>
          <w:p w14:paraId="27ABA6FD">
            <w:pPr>
              <w:adjustRightInd w:val="0"/>
              <w:snapToGrid w:val="0"/>
              <w:jc w:val="center"/>
              <w:rPr>
                <w:rFonts w:hint="default" w:ascii="Times New Roman" w:hAnsi="Times New Roman" w:cs="Times New Roman"/>
                <w:color w:val="auto"/>
                <w:spacing w:val="-8"/>
                <w:szCs w:val="21"/>
              </w:rPr>
            </w:pPr>
            <w:r>
              <w:rPr>
                <w:rFonts w:hint="default" w:ascii="Times New Roman" w:hAnsi="Times New Roman" w:cs="Times New Roman"/>
                <w:color w:val="auto"/>
                <w:spacing w:val="-8"/>
                <w:szCs w:val="21"/>
              </w:rPr>
              <w:t>防范措施</w:t>
            </w:r>
          </w:p>
        </w:tc>
        <w:tc>
          <w:tcPr>
            <w:tcW w:w="7022" w:type="dxa"/>
            <w:gridSpan w:val="4"/>
            <w:noWrap w:val="0"/>
            <w:vAlign w:val="center"/>
          </w:tcPr>
          <w:p w14:paraId="79539266">
            <w:pPr>
              <w:adjustRightInd w:val="0"/>
              <w:snapToGrid w:val="0"/>
              <w:jc w:val="center"/>
              <w:rPr>
                <w:rFonts w:hint="default" w:ascii="Times New Roman" w:hAnsi="Times New Roman" w:cs="Times New Roman"/>
                <w:color w:val="auto"/>
                <w:szCs w:val="21"/>
                <w:lang w:val="en-US"/>
              </w:rPr>
            </w:pPr>
            <w:r>
              <w:rPr>
                <w:rFonts w:hint="default" w:ascii="Times New Roman" w:hAnsi="Times New Roman" w:eastAsia="宋体" w:cs="Times New Roman"/>
                <w:color w:val="auto"/>
                <w:szCs w:val="21"/>
                <w:highlight w:val="none"/>
                <w:lang w:val="en-US" w:eastAsia="zh-CN"/>
              </w:rPr>
              <w:t>1、风险单元地面防渗、四周设置截流槽截流沟；2、风险单元设置监控；3、风险单元周边设置应急物资资源点，方便应急处置</w:t>
            </w:r>
            <w:r>
              <w:rPr>
                <w:rFonts w:hint="eastAsia" w:ascii="Times New Roman" w:hAnsi="Times New Roman" w:eastAsia="宋体" w:cs="Times New Roman"/>
                <w:color w:val="auto"/>
                <w:szCs w:val="21"/>
                <w:highlight w:val="none"/>
                <w:lang w:val="en-US" w:eastAsia="zh-CN"/>
              </w:rPr>
              <w:t>；4、编制突发环境事件应急预案并备案</w:t>
            </w:r>
            <w:r>
              <w:rPr>
                <w:rFonts w:hint="eastAsia" w:cs="Times New Roman"/>
                <w:color w:val="auto"/>
                <w:szCs w:val="21"/>
                <w:highlight w:val="none"/>
                <w:lang w:val="en-US" w:eastAsia="zh-CN"/>
              </w:rPr>
              <w:t>；5、设置事故应急池</w:t>
            </w:r>
          </w:p>
        </w:tc>
      </w:tr>
      <w:tr w14:paraId="02F179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778" w:type="dxa"/>
            <w:gridSpan w:val="2"/>
            <w:noWrap w:val="0"/>
            <w:vAlign w:val="center"/>
          </w:tcPr>
          <w:p w14:paraId="0286297D">
            <w:pPr>
              <w:adjustRightInd w:val="0"/>
              <w:snapToGrid w:val="0"/>
              <w:jc w:val="center"/>
              <w:rPr>
                <w:rFonts w:hint="default" w:ascii="Times New Roman" w:hAnsi="Times New Roman" w:cs="Times New Roman"/>
                <w:color w:val="auto"/>
                <w:spacing w:val="-8"/>
                <w:szCs w:val="21"/>
              </w:rPr>
            </w:pPr>
            <w:r>
              <w:rPr>
                <w:rFonts w:hint="default" w:ascii="Times New Roman" w:hAnsi="Times New Roman" w:cs="Times New Roman"/>
                <w:color w:val="auto"/>
                <w:spacing w:val="-8"/>
                <w:szCs w:val="21"/>
              </w:rPr>
              <w:t>其他环境</w:t>
            </w:r>
          </w:p>
          <w:p w14:paraId="6137CA02">
            <w:pPr>
              <w:adjustRightInd w:val="0"/>
              <w:snapToGrid w:val="0"/>
              <w:jc w:val="center"/>
              <w:rPr>
                <w:rFonts w:hint="default" w:ascii="Times New Roman" w:hAnsi="Times New Roman" w:cs="Times New Roman"/>
                <w:color w:val="auto"/>
                <w:spacing w:val="-8"/>
                <w:szCs w:val="21"/>
              </w:rPr>
            </w:pPr>
            <w:r>
              <w:rPr>
                <w:rFonts w:hint="default" w:ascii="Times New Roman" w:hAnsi="Times New Roman" w:cs="Times New Roman"/>
                <w:color w:val="auto"/>
                <w:spacing w:val="-8"/>
                <w:szCs w:val="21"/>
              </w:rPr>
              <w:t>管理要求</w:t>
            </w:r>
          </w:p>
        </w:tc>
        <w:tc>
          <w:tcPr>
            <w:tcW w:w="7022" w:type="dxa"/>
            <w:gridSpan w:val="4"/>
            <w:noWrap w:val="0"/>
            <w:vAlign w:val="center"/>
          </w:tcPr>
          <w:p w14:paraId="2EE6067F">
            <w:pPr>
              <w:adjustRightInd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w:t>
            </w:r>
          </w:p>
        </w:tc>
      </w:tr>
    </w:tbl>
    <w:p w14:paraId="671E5F68">
      <w:pPr>
        <w:pStyle w:val="19"/>
        <w:jc w:val="center"/>
        <w:outlineLvl w:val="0"/>
        <w:rPr>
          <w:rFonts w:ascii="黑体" w:hAnsi="黑体" w:eastAsia="黑体"/>
          <w:snapToGrid w:val="0"/>
          <w:color w:val="auto"/>
          <w:sz w:val="30"/>
          <w:szCs w:val="30"/>
        </w:rPr>
      </w:pPr>
      <w:r>
        <w:rPr>
          <w:snapToGrid w:val="0"/>
          <w:color w:val="auto"/>
        </w:rPr>
        <w:br w:type="page"/>
      </w:r>
      <w:r>
        <w:rPr>
          <w:rFonts w:hint="eastAsia" w:ascii="黑体" w:hAnsi="黑体" w:eastAsia="黑体"/>
          <w:snapToGrid w:val="0"/>
          <w:color w:val="auto"/>
          <w:sz w:val="30"/>
          <w:szCs w:val="30"/>
        </w:rPr>
        <w:t>六、结论</w:t>
      </w:r>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0A5456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top"/>
          </w:tcPr>
          <w:p w14:paraId="55E56B40">
            <w:pPr>
              <w:spacing w:line="360" w:lineRule="auto"/>
              <w:jc w:val="both"/>
              <w:rPr>
                <w:rFonts w:hint="eastAsia"/>
                <w:color w:val="auto"/>
                <w:sz w:val="21"/>
                <w:szCs w:val="21"/>
                <w:lang w:val="en-US" w:eastAsia="zh-CN"/>
              </w:rPr>
            </w:pPr>
            <w:r>
              <w:rPr>
                <w:rFonts w:hint="eastAsia"/>
                <w:color w:val="auto"/>
                <w:sz w:val="21"/>
                <w:szCs w:val="21"/>
                <w:lang w:val="en-US" w:eastAsia="zh-CN"/>
              </w:rPr>
              <w:t>结论：</w:t>
            </w:r>
          </w:p>
          <w:p w14:paraId="37203428">
            <w:pPr>
              <w:spacing w:line="360" w:lineRule="auto"/>
              <w:ind w:firstLine="420" w:firstLineChars="200"/>
              <w:jc w:val="both"/>
              <w:rPr>
                <w:rFonts w:hint="default"/>
                <w:color w:val="auto"/>
                <w:sz w:val="21"/>
                <w:szCs w:val="21"/>
              </w:rPr>
            </w:pPr>
            <w:r>
              <w:rPr>
                <w:rFonts w:hint="default"/>
                <w:color w:val="auto"/>
                <w:sz w:val="21"/>
                <w:szCs w:val="21"/>
              </w:rPr>
              <w:t>本项目符合国家及地方相关产业政策，选址符合当地总体规划及环境规划。项目具有较明显的社会效益、经济效益与环境效益，采取的各项污染防治措施合理、有效。废气、废水、噪声及固废均可实现达标排放和安全处置，对周边环境影响较小。项目环保投资可基本满足污染控制需要，如能严格落实本报告提出的各项环保措施，并持之以恒加以管理，可控制环境污染，确保当地的环境质量不会因本项目的运营而下降。因此本报告认为，从环保角度来看，本项目在拟建地建设是可行的。</w:t>
            </w:r>
          </w:p>
          <w:p w14:paraId="461E47F1">
            <w:pPr>
              <w:spacing w:line="360" w:lineRule="auto"/>
              <w:ind w:firstLine="420" w:firstLineChars="200"/>
              <w:jc w:val="both"/>
              <w:rPr>
                <w:rFonts w:hint="eastAsia"/>
                <w:color w:val="auto"/>
                <w:sz w:val="21"/>
                <w:szCs w:val="21"/>
                <w:lang w:val="en-US" w:eastAsia="zh-CN"/>
              </w:rPr>
            </w:pPr>
            <w:r>
              <w:rPr>
                <w:rFonts w:hint="eastAsia"/>
                <w:color w:val="auto"/>
                <w:sz w:val="21"/>
                <w:szCs w:val="21"/>
                <w:lang w:val="en-US" w:eastAsia="zh-CN"/>
              </w:rPr>
              <w:t>建议：</w:t>
            </w:r>
            <w:bookmarkStart w:id="5" w:name="_Toc75156852"/>
          </w:p>
          <w:bookmarkEnd w:id="5"/>
          <w:p w14:paraId="1F18E154">
            <w:pPr>
              <w:spacing w:line="360" w:lineRule="auto"/>
              <w:ind w:firstLine="420" w:firstLineChars="200"/>
              <w:jc w:val="both"/>
              <w:rPr>
                <w:rFonts w:hint="eastAsia"/>
                <w:color w:val="auto"/>
                <w:sz w:val="21"/>
                <w:szCs w:val="21"/>
                <w:lang w:val="en-US" w:eastAsia="zh-CN"/>
              </w:rPr>
            </w:pPr>
            <w:r>
              <w:rPr>
                <w:rFonts w:hint="eastAsia"/>
                <w:color w:val="auto"/>
                <w:sz w:val="21"/>
                <w:szCs w:val="21"/>
                <w:lang w:val="en-US" w:eastAsia="zh-CN"/>
              </w:rPr>
              <w:t>（1）建设单位在项目实施过程中，务必认真落实本项目的各项治理措施，确保本项目的污染物排放量达到污染物排放总量控制指标的要求。</w:t>
            </w:r>
          </w:p>
          <w:p w14:paraId="3CAB9CB7">
            <w:pPr>
              <w:spacing w:line="360" w:lineRule="auto"/>
              <w:ind w:firstLine="420" w:firstLineChars="200"/>
              <w:jc w:val="both"/>
              <w:rPr>
                <w:rFonts w:hint="eastAsia"/>
                <w:color w:val="auto"/>
                <w:sz w:val="21"/>
                <w:szCs w:val="21"/>
                <w:lang w:val="en-US" w:eastAsia="zh-CN"/>
              </w:rPr>
            </w:pPr>
            <w:r>
              <w:rPr>
                <w:rFonts w:hint="eastAsia"/>
                <w:color w:val="auto"/>
                <w:sz w:val="21"/>
                <w:szCs w:val="21"/>
                <w:lang w:val="en-US" w:eastAsia="zh-CN"/>
              </w:rPr>
              <w:t>（2）为了在发展经济的同时保护好当地环境，厂方应增强环境保护意识，提倡清洁生产，从生产原料，生产工艺和生产过程全方位着手采取有效措施，节约能源和原材料、减少污染物的排放。</w:t>
            </w:r>
          </w:p>
          <w:p w14:paraId="425B92AF">
            <w:pPr>
              <w:spacing w:line="360" w:lineRule="auto"/>
              <w:ind w:firstLine="420" w:firstLineChars="200"/>
              <w:jc w:val="both"/>
              <w:rPr>
                <w:rFonts w:hint="eastAsia"/>
                <w:color w:val="auto"/>
                <w:sz w:val="21"/>
                <w:szCs w:val="21"/>
                <w:lang w:val="en-US" w:eastAsia="zh-CN"/>
              </w:rPr>
            </w:pPr>
            <w:r>
              <w:rPr>
                <w:rFonts w:hint="eastAsia"/>
                <w:color w:val="auto"/>
                <w:sz w:val="21"/>
                <w:szCs w:val="21"/>
                <w:lang w:val="en-US" w:eastAsia="zh-CN"/>
              </w:rPr>
              <w:t>（3）建议公司加强各种环保处理设施的维修、保养及管理，确保环保设施的正常运转。</w:t>
            </w:r>
          </w:p>
          <w:p w14:paraId="2C4FFE68">
            <w:pPr>
              <w:spacing w:line="360" w:lineRule="auto"/>
              <w:ind w:firstLine="420" w:firstLineChars="200"/>
              <w:jc w:val="both"/>
              <w:rPr>
                <w:rFonts w:hint="eastAsia"/>
                <w:color w:val="auto"/>
                <w:sz w:val="21"/>
                <w:szCs w:val="21"/>
                <w:lang w:val="en-US" w:eastAsia="zh-CN"/>
              </w:rPr>
            </w:pPr>
            <w:r>
              <w:rPr>
                <w:rFonts w:hint="eastAsia"/>
                <w:color w:val="auto"/>
                <w:sz w:val="21"/>
                <w:szCs w:val="21"/>
                <w:lang w:val="en-US" w:eastAsia="zh-CN"/>
              </w:rPr>
              <w:t>（4）及时检修维护机械设备，切实做好噪声防治措施，尽可能地将噪声影响降低到最低限度。</w:t>
            </w:r>
          </w:p>
          <w:p w14:paraId="2E08F0D7">
            <w:pPr>
              <w:spacing w:line="360" w:lineRule="auto"/>
              <w:ind w:firstLine="420" w:firstLineChars="200"/>
              <w:jc w:val="both"/>
              <w:rPr>
                <w:rFonts w:hint="eastAsia" w:eastAsia="宋体"/>
                <w:color w:val="auto"/>
                <w:sz w:val="24"/>
                <w:szCs w:val="24"/>
                <w:lang w:val="en-US" w:eastAsia="zh-CN"/>
              </w:rPr>
            </w:pPr>
            <w:r>
              <w:rPr>
                <w:rFonts w:hint="eastAsia"/>
                <w:color w:val="auto"/>
                <w:sz w:val="21"/>
                <w:szCs w:val="21"/>
                <w:lang w:val="en-US" w:eastAsia="zh-CN"/>
              </w:rPr>
              <w:t>（5）切实做好职工卫生防护，保护作业工人的身体健康</w:t>
            </w:r>
          </w:p>
        </w:tc>
      </w:tr>
    </w:tbl>
    <w:p w14:paraId="63310AFE">
      <w:pPr>
        <w:pStyle w:val="3"/>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4B124AEF">
      <w:pPr>
        <w:pStyle w:val="19"/>
        <w:adjustRightInd w:val="0"/>
        <w:snapToGrid w:val="0"/>
        <w:spacing w:before="0" w:beforeAutospacing="0" w:after="0" w:afterAutospacing="0" w:line="648" w:lineRule="auto"/>
        <w:outlineLvl w:val="0"/>
        <w:rPr>
          <w:rFonts w:ascii="黑体" w:hAnsi="黑体" w:eastAsia="黑体"/>
          <w:snapToGrid w:val="0"/>
          <w:color w:val="auto"/>
          <w:sz w:val="32"/>
          <w:szCs w:val="32"/>
        </w:rPr>
      </w:pPr>
      <w:r>
        <w:rPr>
          <w:rFonts w:hint="eastAsia" w:ascii="黑体" w:hAnsi="黑体" w:eastAsia="黑体"/>
          <w:snapToGrid w:val="0"/>
          <w:color w:val="auto"/>
          <w:sz w:val="32"/>
          <w:szCs w:val="32"/>
        </w:rPr>
        <w:t>附表</w:t>
      </w:r>
    </w:p>
    <w:p w14:paraId="3C7A38E9">
      <w:pPr>
        <w:pStyle w:val="19"/>
        <w:adjustRightInd w:val="0"/>
        <w:snapToGrid w:val="0"/>
        <w:spacing w:before="0" w:beforeAutospacing="0" w:after="0" w:afterAutospacing="0" w:line="552" w:lineRule="auto"/>
        <w:jc w:val="center"/>
        <w:outlineLvl w:val="0"/>
        <w:rPr>
          <w:rFonts w:hint="eastAsia" w:ascii="方正小标宋_GBK" w:hAnsi="黑体" w:eastAsia="方正小标宋_GBK"/>
          <w:snapToGrid w:val="0"/>
          <w:color w:val="auto"/>
          <w:sz w:val="38"/>
          <w:szCs w:val="38"/>
        </w:rPr>
      </w:pPr>
      <w:r>
        <w:rPr>
          <w:rFonts w:hint="eastAsia" w:ascii="方正小标宋_GBK" w:hAnsi="黑体" w:eastAsia="方正小标宋_GBK"/>
          <w:snapToGrid w:val="0"/>
          <w:color w:val="auto"/>
          <w:sz w:val="38"/>
          <w:szCs w:val="38"/>
        </w:rPr>
        <w:t>建设项目污染物排放量汇总表</w:t>
      </w:r>
    </w:p>
    <w:tbl>
      <w:tblPr>
        <w:tblStyle w:val="23"/>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64"/>
        <w:gridCol w:w="938"/>
        <w:gridCol w:w="187"/>
        <w:gridCol w:w="1316"/>
        <w:gridCol w:w="1701"/>
        <w:gridCol w:w="1276"/>
        <w:gridCol w:w="1701"/>
        <w:gridCol w:w="1559"/>
        <w:gridCol w:w="1761"/>
        <w:gridCol w:w="1796"/>
        <w:gridCol w:w="989"/>
      </w:tblGrid>
      <w:tr w14:paraId="1F7767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64" w:type="dxa"/>
            <w:tcBorders>
              <w:tl2br w:val="single" w:color="auto" w:sz="4" w:space="0"/>
            </w:tcBorders>
            <w:noWrap w:val="0"/>
            <w:tcMar>
              <w:left w:w="28" w:type="dxa"/>
              <w:right w:w="28" w:type="dxa"/>
            </w:tcMar>
            <w:vAlign w:val="center"/>
          </w:tcPr>
          <w:p w14:paraId="3D244418">
            <w:pPr>
              <w:pStyle w:val="48"/>
              <w:spacing w:beforeLines="0" w:afterLines="0" w:line="240" w:lineRule="auto"/>
              <w:jc w:val="right"/>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项目</w:t>
            </w:r>
          </w:p>
          <w:p w14:paraId="40893F61">
            <w:pPr>
              <w:pStyle w:val="48"/>
              <w:spacing w:beforeLines="0" w:afterLines="0" w:line="240" w:lineRule="auto"/>
              <w:jc w:val="left"/>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分类</w:t>
            </w:r>
          </w:p>
        </w:tc>
        <w:tc>
          <w:tcPr>
            <w:tcW w:w="2441" w:type="dxa"/>
            <w:gridSpan w:val="3"/>
            <w:noWrap w:val="0"/>
            <w:tcMar>
              <w:left w:w="28" w:type="dxa"/>
              <w:right w:w="28" w:type="dxa"/>
            </w:tcMar>
            <w:vAlign w:val="center"/>
          </w:tcPr>
          <w:p w14:paraId="3D05A6B6">
            <w:pPr>
              <w:pStyle w:val="48"/>
              <w:spacing w:beforeLines="0" w:afterLines="0" w:line="240" w:lineRule="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污染物名称</w:t>
            </w:r>
          </w:p>
        </w:tc>
        <w:tc>
          <w:tcPr>
            <w:tcW w:w="1701" w:type="dxa"/>
            <w:noWrap w:val="0"/>
            <w:tcMar>
              <w:left w:w="28" w:type="dxa"/>
              <w:right w:w="28" w:type="dxa"/>
            </w:tcMar>
            <w:vAlign w:val="center"/>
          </w:tcPr>
          <w:p w14:paraId="2EAA6D9C">
            <w:pPr>
              <w:pStyle w:val="48"/>
              <w:spacing w:beforeLines="0" w:afterLines="0" w:line="240" w:lineRule="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现有工程</w:t>
            </w:r>
          </w:p>
          <w:p w14:paraId="7A71F3E8">
            <w:pPr>
              <w:pStyle w:val="48"/>
              <w:spacing w:beforeLines="0" w:afterLines="0" w:line="240" w:lineRule="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排放量（固体废物产生量）</w:t>
            </w:r>
            <w:r>
              <w:rPr>
                <w:rFonts w:hint="default" w:ascii="Times New Roman" w:hAnsi="Times New Roman" w:eastAsia="黑体" w:cs="Times New Roman"/>
                <w:snapToGrid w:val="0"/>
                <w:color w:val="auto"/>
                <w:spacing w:val="-6"/>
                <w:kern w:val="21"/>
                <w:szCs w:val="21"/>
              </w:rPr>
              <w:fldChar w:fldCharType="begin"/>
            </w:r>
            <w:r>
              <w:rPr>
                <w:rFonts w:hint="default" w:ascii="Times New Roman" w:hAnsi="Times New Roman" w:eastAsia="黑体" w:cs="Times New Roman"/>
                <w:snapToGrid w:val="0"/>
                <w:color w:val="auto"/>
                <w:spacing w:val="-6"/>
                <w:kern w:val="21"/>
                <w:szCs w:val="21"/>
              </w:rPr>
              <w:instrText xml:space="preserve"> = 1 \* GB3 \* MERGEFORMAT </w:instrText>
            </w:r>
            <w:r>
              <w:rPr>
                <w:rFonts w:hint="default" w:ascii="Times New Roman" w:hAnsi="Times New Roman" w:eastAsia="黑体" w:cs="Times New Roman"/>
                <w:snapToGrid w:val="0"/>
                <w:color w:val="auto"/>
                <w:spacing w:val="-6"/>
                <w:kern w:val="21"/>
                <w:szCs w:val="21"/>
              </w:rPr>
              <w:fldChar w:fldCharType="separate"/>
            </w:r>
            <w:r>
              <w:rPr>
                <w:rFonts w:hint="default" w:ascii="Times New Roman" w:hAnsi="Times New Roman" w:eastAsia="黑体" w:cs="Times New Roman"/>
                <w:color w:val="auto"/>
                <w:kern w:val="2"/>
                <w:szCs w:val="21"/>
              </w:rPr>
              <w:t>①</w:t>
            </w:r>
            <w:r>
              <w:rPr>
                <w:rFonts w:hint="default" w:ascii="Times New Roman" w:hAnsi="Times New Roman" w:eastAsia="黑体" w:cs="Times New Roman"/>
                <w:snapToGrid w:val="0"/>
                <w:color w:val="auto"/>
                <w:spacing w:val="-6"/>
                <w:kern w:val="21"/>
                <w:szCs w:val="21"/>
              </w:rPr>
              <w:fldChar w:fldCharType="end"/>
            </w:r>
          </w:p>
        </w:tc>
        <w:tc>
          <w:tcPr>
            <w:tcW w:w="1276" w:type="dxa"/>
            <w:noWrap w:val="0"/>
            <w:tcMar>
              <w:left w:w="28" w:type="dxa"/>
              <w:right w:w="28" w:type="dxa"/>
            </w:tcMar>
            <w:vAlign w:val="center"/>
          </w:tcPr>
          <w:p w14:paraId="2AF2473A">
            <w:pPr>
              <w:pStyle w:val="48"/>
              <w:spacing w:beforeLines="0" w:afterLines="0" w:line="240" w:lineRule="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现有工程</w:t>
            </w:r>
          </w:p>
          <w:p w14:paraId="03B2F3CC">
            <w:pPr>
              <w:pStyle w:val="48"/>
              <w:spacing w:beforeLines="0" w:afterLines="0" w:line="240" w:lineRule="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许可排放量</w:t>
            </w:r>
          </w:p>
          <w:p w14:paraId="15364991">
            <w:pPr>
              <w:pStyle w:val="48"/>
              <w:spacing w:beforeLines="0" w:afterLines="0" w:line="240" w:lineRule="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fldChar w:fldCharType="begin"/>
            </w:r>
            <w:r>
              <w:rPr>
                <w:rFonts w:hint="default" w:ascii="Times New Roman" w:hAnsi="Times New Roman" w:eastAsia="黑体" w:cs="Times New Roman"/>
                <w:snapToGrid w:val="0"/>
                <w:color w:val="auto"/>
                <w:spacing w:val="-6"/>
                <w:kern w:val="21"/>
                <w:szCs w:val="21"/>
              </w:rPr>
              <w:instrText xml:space="preserve"> = 2 \* GB3 \* MERGEFORMAT </w:instrText>
            </w:r>
            <w:r>
              <w:rPr>
                <w:rFonts w:hint="default" w:ascii="Times New Roman" w:hAnsi="Times New Roman" w:eastAsia="黑体" w:cs="Times New Roman"/>
                <w:snapToGrid w:val="0"/>
                <w:color w:val="auto"/>
                <w:spacing w:val="-6"/>
                <w:kern w:val="21"/>
                <w:szCs w:val="21"/>
              </w:rPr>
              <w:fldChar w:fldCharType="separate"/>
            </w:r>
            <w:r>
              <w:rPr>
                <w:rFonts w:hint="default" w:ascii="Times New Roman" w:hAnsi="Times New Roman" w:eastAsia="黑体" w:cs="Times New Roman"/>
                <w:snapToGrid w:val="0"/>
                <w:color w:val="auto"/>
                <w:spacing w:val="-6"/>
                <w:kern w:val="21"/>
                <w:szCs w:val="21"/>
              </w:rPr>
              <w:t>②</w:t>
            </w:r>
            <w:r>
              <w:rPr>
                <w:rFonts w:hint="default" w:ascii="Times New Roman" w:hAnsi="Times New Roman" w:eastAsia="黑体" w:cs="Times New Roman"/>
                <w:snapToGrid w:val="0"/>
                <w:color w:val="auto"/>
                <w:spacing w:val="-6"/>
                <w:kern w:val="21"/>
                <w:szCs w:val="21"/>
              </w:rPr>
              <w:fldChar w:fldCharType="end"/>
            </w:r>
          </w:p>
        </w:tc>
        <w:tc>
          <w:tcPr>
            <w:tcW w:w="1701" w:type="dxa"/>
            <w:noWrap w:val="0"/>
            <w:tcMar>
              <w:left w:w="28" w:type="dxa"/>
              <w:right w:w="28" w:type="dxa"/>
            </w:tcMar>
            <w:vAlign w:val="center"/>
          </w:tcPr>
          <w:p w14:paraId="21B707A2">
            <w:pPr>
              <w:pStyle w:val="48"/>
              <w:spacing w:beforeLines="0" w:afterLines="0" w:line="240" w:lineRule="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在建工程</w:t>
            </w:r>
          </w:p>
          <w:p w14:paraId="23F830A2">
            <w:pPr>
              <w:pStyle w:val="48"/>
              <w:spacing w:beforeLines="0" w:afterLines="0" w:line="240" w:lineRule="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排放量（固体废物产生量）</w:t>
            </w:r>
            <w:r>
              <w:rPr>
                <w:rFonts w:hint="default" w:ascii="Times New Roman" w:hAnsi="Times New Roman" w:eastAsia="黑体" w:cs="Times New Roman"/>
                <w:snapToGrid w:val="0"/>
                <w:color w:val="auto"/>
                <w:spacing w:val="-6"/>
                <w:kern w:val="21"/>
                <w:szCs w:val="21"/>
              </w:rPr>
              <w:fldChar w:fldCharType="begin"/>
            </w:r>
            <w:r>
              <w:rPr>
                <w:rFonts w:hint="default" w:ascii="Times New Roman" w:hAnsi="Times New Roman" w:eastAsia="黑体" w:cs="Times New Roman"/>
                <w:snapToGrid w:val="0"/>
                <w:color w:val="auto"/>
                <w:spacing w:val="-6"/>
                <w:kern w:val="21"/>
                <w:szCs w:val="21"/>
              </w:rPr>
              <w:instrText xml:space="preserve"> = 3 \* GB3 \* MERGEFORMAT </w:instrText>
            </w:r>
            <w:r>
              <w:rPr>
                <w:rFonts w:hint="default" w:ascii="Times New Roman" w:hAnsi="Times New Roman" w:eastAsia="黑体" w:cs="Times New Roman"/>
                <w:snapToGrid w:val="0"/>
                <w:color w:val="auto"/>
                <w:spacing w:val="-6"/>
                <w:kern w:val="21"/>
                <w:szCs w:val="21"/>
              </w:rPr>
              <w:fldChar w:fldCharType="separate"/>
            </w:r>
            <w:r>
              <w:rPr>
                <w:rFonts w:hint="default" w:ascii="Times New Roman" w:hAnsi="Times New Roman" w:eastAsia="黑体" w:cs="Times New Roman"/>
                <w:color w:val="auto"/>
                <w:kern w:val="2"/>
                <w:szCs w:val="21"/>
              </w:rPr>
              <w:t>③</w:t>
            </w:r>
            <w:r>
              <w:rPr>
                <w:rFonts w:hint="default" w:ascii="Times New Roman" w:hAnsi="Times New Roman" w:eastAsia="黑体" w:cs="Times New Roman"/>
                <w:snapToGrid w:val="0"/>
                <w:color w:val="auto"/>
                <w:spacing w:val="-6"/>
                <w:kern w:val="21"/>
                <w:szCs w:val="21"/>
              </w:rPr>
              <w:fldChar w:fldCharType="end"/>
            </w:r>
          </w:p>
        </w:tc>
        <w:tc>
          <w:tcPr>
            <w:tcW w:w="1559" w:type="dxa"/>
            <w:noWrap w:val="0"/>
            <w:tcMar>
              <w:left w:w="28" w:type="dxa"/>
              <w:right w:w="28" w:type="dxa"/>
            </w:tcMar>
            <w:vAlign w:val="center"/>
          </w:tcPr>
          <w:p w14:paraId="24F9D675">
            <w:pPr>
              <w:pStyle w:val="48"/>
              <w:spacing w:beforeLines="0" w:afterLines="0" w:line="240" w:lineRule="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本项目</w:t>
            </w:r>
          </w:p>
          <w:p w14:paraId="2DD3C9EE">
            <w:pPr>
              <w:pStyle w:val="48"/>
              <w:spacing w:beforeLines="0" w:afterLines="0" w:line="240" w:lineRule="auto"/>
              <w:rPr>
                <w:rFonts w:hint="eastAsia" w:ascii="Times New Roman" w:hAnsi="Times New Roman" w:eastAsia="黑体" w:cs="Times New Roman"/>
                <w:snapToGrid w:val="0"/>
                <w:color w:val="auto"/>
                <w:spacing w:val="-6"/>
                <w:kern w:val="21"/>
                <w:szCs w:val="21"/>
                <w:lang w:val="en-US" w:eastAsia="zh-CN"/>
              </w:rPr>
            </w:pPr>
            <w:r>
              <w:rPr>
                <w:rFonts w:hint="default" w:ascii="Times New Roman" w:hAnsi="Times New Roman" w:eastAsia="黑体" w:cs="Times New Roman"/>
                <w:snapToGrid w:val="0"/>
                <w:color w:val="auto"/>
                <w:spacing w:val="-6"/>
                <w:kern w:val="21"/>
                <w:szCs w:val="21"/>
              </w:rPr>
              <w:t>排放量（固体废物产生量）</w:t>
            </w:r>
            <w:r>
              <w:rPr>
                <w:rFonts w:hint="default" w:ascii="Times New Roman" w:hAnsi="Times New Roman" w:eastAsia="黑体" w:cs="Times New Roman"/>
                <w:snapToGrid w:val="0"/>
                <w:color w:val="auto"/>
                <w:spacing w:val="-6"/>
                <w:kern w:val="21"/>
                <w:szCs w:val="21"/>
              </w:rPr>
              <w:fldChar w:fldCharType="begin"/>
            </w:r>
            <w:r>
              <w:rPr>
                <w:rFonts w:hint="default" w:ascii="Times New Roman" w:hAnsi="Times New Roman" w:eastAsia="黑体" w:cs="Times New Roman"/>
                <w:snapToGrid w:val="0"/>
                <w:color w:val="auto"/>
                <w:spacing w:val="-6"/>
                <w:kern w:val="21"/>
                <w:szCs w:val="21"/>
              </w:rPr>
              <w:instrText xml:space="preserve"> = 4 \* GB3 \* MERGEFORMAT </w:instrText>
            </w:r>
            <w:r>
              <w:rPr>
                <w:rFonts w:hint="default" w:ascii="Times New Roman" w:hAnsi="Times New Roman" w:eastAsia="黑体" w:cs="Times New Roman"/>
                <w:snapToGrid w:val="0"/>
                <w:color w:val="auto"/>
                <w:spacing w:val="-6"/>
                <w:kern w:val="21"/>
                <w:szCs w:val="21"/>
              </w:rPr>
              <w:fldChar w:fldCharType="separate"/>
            </w:r>
            <w:r>
              <w:rPr>
                <w:rFonts w:hint="default" w:ascii="Times New Roman" w:hAnsi="Times New Roman" w:eastAsia="黑体" w:cs="Times New Roman"/>
                <w:color w:val="auto"/>
                <w:kern w:val="2"/>
                <w:szCs w:val="21"/>
              </w:rPr>
              <w:t>④</w:t>
            </w:r>
            <w:r>
              <w:rPr>
                <w:rFonts w:hint="default" w:ascii="Times New Roman" w:hAnsi="Times New Roman" w:eastAsia="黑体" w:cs="Times New Roman"/>
                <w:snapToGrid w:val="0"/>
                <w:color w:val="auto"/>
                <w:spacing w:val="-6"/>
                <w:kern w:val="21"/>
                <w:szCs w:val="21"/>
              </w:rPr>
              <w:fldChar w:fldCharType="end"/>
            </w:r>
            <w:r>
              <w:rPr>
                <w:rFonts w:hint="eastAsia" w:ascii="Times New Roman" w:hAnsi="Times New Roman" w:eastAsia="黑体" w:cs="Times New Roman"/>
                <w:snapToGrid w:val="0"/>
                <w:color w:val="auto"/>
                <w:spacing w:val="-6"/>
                <w:kern w:val="21"/>
                <w:szCs w:val="21"/>
                <w:lang w:eastAsia="zh-CN"/>
              </w:rPr>
              <w:t>（</w:t>
            </w:r>
            <w:r>
              <w:rPr>
                <w:rFonts w:hint="eastAsia" w:ascii="Times New Roman" w:hAnsi="Times New Roman" w:eastAsia="黑体" w:cs="Times New Roman"/>
                <w:snapToGrid w:val="0"/>
                <w:color w:val="auto"/>
                <w:spacing w:val="-6"/>
                <w:kern w:val="21"/>
                <w:szCs w:val="21"/>
                <w:lang w:val="en-US" w:eastAsia="zh-CN"/>
              </w:rPr>
              <w:t>t/a</w:t>
            </w:r>
            <w:r>
              <w:rPr>
                <w:rFonts w:hint="eastAsia" w:ascii="Times New Roman" w:hAnsi="Times New Roman" w:eastAsia="黑体" w:cs="Times New Roman"/>
                <w:snapToGrid w:val="0"/>
                <w:color w:val="auto"/>
                <w:spacing w:val="-6"/>
                <w:kern w:val="21"/>
                <w:szCs w:val="21"/>
                <w:lang w:eastAsia="zh-CN"/>
              </w:rPr>
              <w:t>）</w:t>
            </w:r>
          </w:p>
        </w:tc>
        <w:tc>
          <w:tcPr>
            <w:tcW w:w="1761" w:type="dxa"/>
            <w:noWrap w:val="0"/>
            <w:tcMar>
              <w:left w:w="28" w:type="dxa"/>
              <w:right w:w="28" w:type="dxa"/>
            </w:tcMar>
            <w:vAlign w:val="center"/>
          </w:tcPr>
          <w:p w14:paraId="37F4AC6A">
            <w:pPr>
              <w:pStyle w:val="48"/>
              <w:spacing w:beforeLines="0" w:afterLines="0" w:line="240" w:lineRule="auto"/>
              <w:rPr>
                <w:rFonts w:hint="default" w:ascii="Times New Roman" w:hAnsi="Times New Roman" w:eastAsia="黑体" w:cs="Times New Roman"/>
                <w:snapToGrid w:val="0"/>
                <w:color w:val="auto"/>
                <w:spacing w:val="-16"/>
                <w:kern w:val="21"/>
                <w:szCs w:val="21"/>
              </w:rPr>
            </w:pPr>
            <w:r>
              <w:rPr>
                <w:rFonts w:hint="default" w:ascii="Times New Roman" w:hAnsi="Times New Roman" w:eastAsia="黑体" w:cs="Times New Roman"/>
                <w:snapToGrid w:val="0"/>
                <w:color w:val="auto"/>
                <w:spacing w:val="-16"/>
                <w:kern w:val="21"/>
                <w:szCs w:val="21"/>
              </w:rPr>
              <w:t>以新带老削减量</w:t>
            </w:r>
          </w:p>
          <w:p w14:paraId="7F6A877F">
            <w:pPr>
              <w:pStyle w:val="48"/>
              <w:spacing w:beforeLines="0" w:afterLines="0" w:line="240" w:lineRule="auto"/>
              <w:rPr>
                <w:rFonts w:hint="default" w:ascii="Times New Roman" w:hAnsi="Times New Roman" w:eastAsia="黑体" w:cs="Times New Roman"/>
                <w:snapToGrid w:val="0"/>
                <w:color w:val="auto"/>
                <w:spacing w:val="-16"/>
                <w:kern w:val="21"/>
                <w:szCs w:val="21"/>
              </w:rPr>
            </w:pPr>
            <w:r>
              <w:rPr>
                <w:rFonts w:hint="default" w:ascii="Times New Roman" w:hAnsi="Times New Roman" w:eastAsia="黑体" w:cs="Times New Roman"/>
                <w:snapToGrid w:val="0"/>
                <w:color w:val="auto"/>
                <w:spacing w:val="-16"/>
                <w:kern w:val="21"/>
                <w:szCs w:val="21"/>
              </w:rPr>
              <w:t>（新建项目不填）</w:t>
            </w:r>
            <w:r>
              <w:rPr>
                <w:rFonts w:hint="default" w:ascii="Times New Roman" w:hAnsi="Times New Roman" w:eastAsia="黑体" w:cs="Times New Roman"/>
                <w:snapToGrid w:val="0"/>
                <w:color w:val="auto"/>
                <w:spacing w:val="-16"/>
                <w:kern w:val="21"/>
                <w:szCs w:val="21"/>
              </w:rPr>
              <w:fldChar w:fldCharType="begin"/>
            </w:r>
            <w:r>
              <w:rPr>
                <w:rFonts w:hint="default" w:ascii="Times New Roman" w:hAnsi="Times New Roman" w:eastAsia="黑体" w:cs="Times New Roman"/>
                <w:snapToGrid w:val="0"/>
                <w:color w:val="auto"/>
                <w:spacing w:val="-16"/>
                <w:kern w:val="21"/>
                <w:szCs w:val="21"/>
              </w:rPr>
              <w:instrText xml:space="preserve"> = 5 \* GB3 \* MERGEFORMAT </w:instrText>
            </w:r>
            <w:r>
              <w:rPr>
                <w:rFonts w:hint="default" w:ascii="Times New Roman" w:hAnsi="Times New Roman" w:eastAsia="黑体" w:cs="Times New Roman"/>
                <w:snapToGrid w:val="0"/>
                <w:color w:val="auto"/>
                <w:spacing w:val="-16"/>
                <w:kern w:val="21"/>
                <w:szCs w:val="21"/>
              </w:rPr>
              <w:fldChar w:fldCharType="separate"/>
            </w:r>
            <w:r>
              <w:rPr>
                <w:rFonts w:hint="default" w:ascii="Times New Roman" w:hAnsi="Times New Roman" w:eastAsia="黑体" w:cs="Times New Roman"/>
                <w:color w:val="auto"/>
                <w:kern w:val="2"/>
                <w:szCs w:val="21"/>
              </w:rPr>
              <w:t>⑤</w:t>
            </w:r>
            <w:r>
              <w:rPr>
                <w:rFonts w:hint="default" w:ascii="Times New Roman" w:hAnsi="Times New Roman" w:eastAsia="黑体" w:cs="Times New Roman"/>
                <w:snapToGrid w:val="0"/>
                <w:color w:val="auto"/>
                <w:spacing w:val="-16"/>
                <w:kern w:val="21"/>
                <w:szCs w:val="21"/>
              </w:rPr>
              <w:fldChar w:fldCharType="end"/>
            </w:r>
          </w:p>
        </w:tc>
        <w:tc>
          <w:tcPr>
            <w:tcW w:w="1796" w:type="dxa"/>
            <w:noWrap w:val="0"/>
            <w:tcMar>
              <w:left w:w="28" w:type="dxa"/>
              <w:right w:w="28" w:type="dxa"/>
            </w:tcMar>
            <w:vAlign w:val="center"/>
          </w:tcPr>
          <w:p w14:paraId="2DEAB562">
            <w:pPr>
              <w:pStyle w:val="48"/>
              <w:spacing w:beforeLines="0" w:afterLines="0" w:line="240" w:lineRule="auto"/>
              <w:rPr>
                <w:rFonts w:hint="default" w:ascii="Times New Roman" w:hAnsi="Times New Roman" w:eastAsia="黑体" w:cs="Times New Roman"/>
                <w:snapToGrid w:val="0"/>
                <w:color w:val="auto"/>
                <w:spacing w:val="-16"/>
                <w:kern w:val="21"/>
                <w:szCs w:val="21"/>
              </w:rPr>
            </w:pPr>
            <w:r>
              <w:rPr>
                <w:rFonts w:hint="default" w:ascii="Times New Roman" w:hAnsi="Times New Roman" w:eastAsia="黑体" w:cs="Times New Roman"/>
                <w:snapToGrid w:val="0"/>
                <w:color w:val="auto"/>
                <w:spacing w:val="-16"/>
                <w:kern w:val="21"/>
                <w:szCs w:val="21"/>
              </w:rPr>
              <w:t>本项目建成后</w:t>
            </w:r>
          </w:p>
          <w:p w14:paraId="5CC7BAC4">
            <w:pPr>
              <w:pStyle w:val="48"/>
              <w:spacing w:beforeLines="0" w:afterLines="0" w:line="240" w:lineRule="auto"/>
              <w:rPr>
                <w:rFonts w:hint="default" w:ascii="Times New Roman" w:hAnsi="Times New Roman" w:eastAsia="黑体" w:cs="Times New Roman"/>
                <w:snapToGrid w:val="0"/>
                <w:color w:val="auto"/>
                <w:spacing w:val="-16"/>
                <w:kern w:val="21"/>
                <w:szCs w:val="21"/>
              </w:rPr>
            </w:pPr>
            <w:r>
              <w:rPr>
                <w:rFonts w:hint="default" w:ascii="Times New Roman" w:hAnsi="Times New Roman" w:eastAsia="黑体" w:cs="Times New Roman"/>
                <w:snapToGrid w:val="0"/>
                <w:color w:val="auto"/>
                <w:spacing w:val="-16"/>
                <w:kern w:val="21"/>
                <w:szCs w:val="21"/>
              </w:rPr>
              <w:t>全厂排放量（固体废物产生量）</w:t>
            </w:r>
            <w:r>
              <w:rPr>
                <w:rFonts w:hint="default" w:ascii="Times New Roman" w:hAnsi="Times New Roman" w:eastAsia="黑体" w:cs="Times New Roman"/>
                <w:snapToGrid w:val="0"/>
                <w:color w:val="auto"/>
                <w:spacing w:val="-16"/>
                <w:kern w:val="21"/>
                <w:szCs w:val="21"/>
              </w:rPr>
              <w:fldChar w:fldCharType="begin"/>
            </w:r>
            <w:r>
              <w:rPr>
                <w:rFonts w:hint="default" w:ascii="Times New Roman" w:hAnsi="Times New Roman" w:eastAsia="黑体" w:cs="Times New Roman"/>
                <w:snapToGrid w:val="0"/>
                <w:color w:val="auto"/>
                <w:spacing w:val="-16"/>
                <w:kern w:val="21"/>
                <w:szCs w:val="21"/>
              </w:rPr>
              <w:instrText xml:space="preserve"> = 6 \* GB3 \* MERGEFORMAT </w:instrText>
            </w:r>
            <w:r>
              <w:rPr>
                <w:rFonts w:hint="default" w:ascii="Times New Roman" w:hAnsi="Times New Roman" w:eastAsia="黑体" w:cs="Times New Roman"/>
                <w:snapToGrid w:val="0"/>
                <w:color w:val="auto"/>
                <w:spacing w:val="-16"/>
                <w:kern w:val="21"/>
                <w:szCs w:val="21"/>
              </w:rPr>
              <w:fldChar w:fldCharType="separate"/>
            </w:r>
            <w:r>
              <w:rPr>
                <w:rFonts w:hint="default" w:ascii="Times New Roman" w:hAnsi="Times New Roman" w:eastAsia="黑体" w:cs="Times New Roman"/>
                <w:color w:val="auto"/>
                <w:kern w:val="2"/>
                <w:szCs w:val="21"/>
              </w:rPr>
              <w:t>⑥</w:t>
            </w:r>
            <w:r>
              <w:rPr>
                <w:rFonts w:hint="default" w:ascii="Times New Roman" w:hAnsi="Times New Roman" w:eastAsia="黑体" w:cs="Times New Roman"/>
                <w:snapToGrid w:val="0"/>
                <w:color w:val="auto"/>
                <w:spacing w:val="-16"/>
                <w:kern w:val="21"/>
                <w:szCs w:val="21"/>
              </w:rPr>
              <w:fldChar w:fldCharType="end"/>
            </w:r>
          </w:p>
        </w:tc>
        <w:tc>
          <w:tcPr>
            <w:tcW w:w="989" w:type="dxa"/>
            <w:noWrap w:val="0"/>
            <w:tcMar>
              <w:left w:w="28" w:type="dxa"/>
              <w:right w:w="28" w:type="dxa"/>
            </w:tcMar>
            <w:vAlign w:val="center"/>
          </w:tcPr>
          <w:p w14:paraId="122576EB">
            <w:pPr>
              <w:pStyle w:val="48"/>
              <w:spacing w:beforeLines="0" w:afterLines="0" w:line="240" w:lineRule="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变化量</w:t>
            </w:r>
          </w:p>
          <w:p w14:paraId="3FCA4287">
            <w:pPr>
              <w:pStyle w:val="48"/>
              <w:spacing w:beforeLines="0" w:afterLines="0" w:line="240" w:lineRule="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fldChar w:fldCharType="begin"/>
            </w:r>
            <w:r>
              <w:rPr>
                <w:rFonts w:hint="default" w:ascii="Times New Roman" w:hAnsi="Times New Roman" w:eastAsia="黑体" w:cs="Times New Roman"/>
                <w:snapToGrid w:val="0"/>
                <w:color w:val="auto"/>
                <w:spacing w:val="-6"/>
                <w:kern w:val="21"/>
                <w:szCs w:val="21"/>
              </w:rPr>
              <w:instrText xml:space="preserve"> = 7 \* GB3 \* MERGEFORMAT </w:instrText>
            </w:r>
            <w:r>
              <w:rPr>
                <w:rFonts w:hint="default" w:ascii="Times New Roman" w:hAnsi="Times New Roman" w:eastAsia="黑体" w:cs="Times New Roman"/>
                <w:snapToGrid w:val="0"/>
                <w:color w:val="auto"/>
                <w:spacing w:val="-6"/>
                <w:kern w:val="21"/>
                <w:szCs w:val="21"/>
              </w:rPr>
              <w:fldChar w:fldCharType="separate"/>
            </w:r>
            <w:r>
              <w:rPr>
                <w:rFonts w:hint="default" w:ascii="Times New Roman" w:hAnsi="Times New Roman" w:eastAsia="黑体" w:cs="Times New Roman"/>
                <w:color w:val="auto"/>
                <w:kern w:val="2"/>
                <w:szCs w:val="21"/>
              </w:rPr>
              <w:t>⑦</w:t>
            </w:r>
            <w:r>
              <w:rPr>
                <w:rFonts w:hint="default" w:ascii="Times New Roman" w:hAnsi="Times New Roman" w:eastAsia="黑体" w:cs="Times New Roman"/>
                <w:snapToGrid w:val="0"/>
                <w:color w:val="auto"/>
                <w:spacing w:val="-6"/>
                <w:kern w:val="21"/>
                <w:szCs w:val="21"/>
              </w:rPr>
              <w:fldChar w:fldCharType="end"/>
            </w:r>
          </w:p>
        </w:tc>
      </w:tr>
      <w:tr w14:paraId="7A3369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4" w:type="dxa"/>
            <w:vMerge w:val="restart"/>
            <w:noWrap w:val="0"/>
            <w:vAlign w:val="center"/>
          </w:tcPr>
          <w:p w14:paraId="537FF5B5">
            <w:pPr>
              <w:pStyle w:val="48"/>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废气</w:t>
            </w:r>
          </w:p>
        </w:tc>
        <w:tc>
          <w:tcPr>
            <w:tcW w:w="1125" w:type="dxa"/>
            <w:gridSpan w:val="2"/>
            <w:vMerge w:val="restart"/>
            <w:noWrap w:val="0"/>
            <w:vAlign w:val="center"/>
          </w:tcPr>
          <w:p w14:paraId="7C0C0319">
            <w:pPr>
              <w:pStyle w:val="48"/>
              <w:spacing w:beforeLines="0" w:afterLines="0" w:line="240" w:lineRule="auto"/>
              <w:rPr>
                <w:rFonts w:hint="default" w:ascii="Times New Roman" w:hAnsi="Times New Roman" w:eastAsia="宋体" w:cs="Times New Roman"/>
                <w:snapToGrid w:val="0"/>
                <w:color w:val="auto"/>
                <w:kern w:val="21"/>
                <w:szCs w:val="21"/>
                <w:lang w:val="en-US" w:eastAsia="zh-CN"/>
              </w:rPr>
            </w:pPr>
            <w:r>
              <w:rPr>
                <w:rFonts w:hint="eastAsia" w:ascii="Times New Roman" w:cs="Times New Roman"/>
                <w:snapToGrid w:val="0"/>
                <w:color w:val="auto"/>
                <w:kern w:val="21"/>
                <w:szCs w:val="21"/>
                <w:lang w:val="en-US" w:eastAsia="zh-CN"/>
              </w:rPr>
              <w:t>有组织</w:t>
            </w:r>
          </w:p>
        </w:tc>
        <w:tc>
          <w:tcPr>
            <w:tcW w:w="1316" w:type="dxa"/>
            <w:noWrap w:val="0"/>
            <w:vAlign w:val="center"/>
          </w:tcPr>
          <w:p w14:paraId="463D367B">
            <w:pPr>
              <w:spacing w:line="320" w:lineRule="exact"/>
              <w:jc w:val="center"/>
              <w:rPr>
                <w:rFonts w:hint="eastAsia" w:ascii="Times New Roman" w:hAnsi="Times New Roman" w:eastAsia="宋体" w:cs="Times New Roman"/>
                <w:snapToGrid w:val="0"/>
                <w:color w:val="auto"/>
                <w:kern w:val="21"/>
                <w:szCs w:val="21"/>
                <w:lang w:val="en-US" w:eastAsia="zh-CN"/>
              </w:rPr>
            </w:pPr>
            <w:r>
              <w:rPr>
                <w:rFonts w:hint="eastAsia"/>
                <w:color w:val="auto"/>
                <w:lang w:val="en-US" w:eastAsia="zh-CN"/>
              </w:rPr>
              <w:t>颗粒物</w:t>
            </w:r>
          </w:p>
        </w:tc>
        <w:tc>
          <w:tcPr>
            <w:tcW w:w="1701" w:type="dxa"/>
            <w:shd w:val="clear" w:color="auto" w:fill="auto"/>
            <w:noWrap w:val="0"/>
            <w:vAlign w:val="center"/>
          </w:tcPr>
          <w:p w14:paraId="0D756643">
            <w:pPr>
              <w:pStyle w:val="11"/>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15.4616</w:t>
            </w:r>
          </w:p>
        </w:tc>
        <w:tc>
          <w:tcPr>
            <w:tcW w:w="1276" w:type="dxa"/>
            <w:noWrap w:val="0"/>
            <w:vAlign w:val="center"/>
          </w:tcPr>
          <w:p w14:paraId="00480CC3">
            <w:pPr>
              <w:pStyle w:val="48"/>
              <w:spacing w:beforeLines="0" w:afterLines="0" w:line="240" w:lineRule="auto"/>
              <w:rPr>
                <w:rFonts w:hint="default" w:ascii="Times New Roman" w:hAnsi="Times New Roman" w:cs="Times New Roman"/>
                <w:snapToGrid w:val="0"/>
                <w:color w:val="auto"/>
                <w:kern w:val="21"/>
                <w:szCs w:val="21"/>
              </w:rPr>
            </w:pPr>
          </w:p>
        </w:tc>
        <w:tc>
          <w:tcPr>
            <w:tcW w:w="1701" w:type="dxa"/>
            <w:noWrap w:val="0"/>
            <w:vAlign w:val="center"/>
          </w:tcPr>
          <w:p w14:paraId="6BE5A94A">
            <w:pPr>
              <w:pStyle w:val="48"/>
              <w:spacing w:beforeLines="0" w:afterLines="0" w:line="240" w:lineRule="auto"/>
              <w:rPr>
                <w:rFonts w:hint="default" w:ascii="Times New Roman" w:hAnsi="Times New Roman" w:cs="Times New Roman"/>
                <w:snapToGrid w:val="0"/>
                <w:color w:val="auto"/>
                <w:kern w:val="21"/>
                <w:szCs w:val="21"/>
              </w:rPr>
            </w:pPr>
          </w:p>
        </w:tc>
        <w:tc>
          <w:tcPr>
            <w:tcW w:w="1559" w:type="dxa"/>
            <w:shd w:val="clear" w:color="auto" w:fill="auto"/>
            <w:noWrap w:val="0"/>
            <w:vAlign w:val="center"/>
          </w:tcPr>
          <w:p w14:paraId="5CFEB9CF">
            <w:pPr>
              <w:pStyle w:val="48"/>
              <w:spacing w:line="240" w:lineRule="auto"/>
              <w:ind w:firstLine="0" w:firstLineChars="0"/>
              <w:jc w:val="center"/>
              <w:rPr>
                <w:rFonts w:hint="default" w:ascii="Times New Roman" w:hAnsi="Times New Roman" w:eastAsia="宋体" w:cs="Times New Roman"/>
                <w:b w:val="0"/>
                <w:bCs w:val="0"/>
                <w:color w:val="auto"/>
                <w:spacing w:val="-12"/>
                <w:kern w:val="0"/>
                <w:sz w:val="21"/>
                <w:szCs w:val="21"/>
                <w:lang w:val="en-US" w:eastAsia="zh-CN" w:bidi="en-US"/>
              </w:rPr>
            </w:pPr>
            <w:r>
              <w:rPr>
                <w:rFonts w:hint="eastAsia" w:ascii="Times New Roman" w:hAnsi="Times New Roman" w:cs="Times New Roman"/>
                <w:b w:val="0"/>
                <w:bCs w:val="0"/>
                <w:color w:val="auto"/>
                <w:spacing w:val="-12"/>
                <w:kern w:val="0"/>
                <w:sz w:val="21"/>
                <w:szCs w:val="21"/>
                <w:lang w:val="en-US" w:eastAsia="zh-CN" w:bidi="en-US"/>
              </w:rPr>
              <w:t>0.0023</w:t>
            </w:r>
          </w:p>
        </w:tc>
        <w:tc>
          <w:tcPr>
            <w:tcW w:w="1761" w:type="dxa"/>
            <w:shd w:val="clear" w:color="auto" w:fill="auto"/>
            <w:noWrap w:val="0"/>
            <w:vAlign w:val="center"/>
          </w:tcPr>
          <w:p w14:paraId="21B95A92">
            <w:pPr>
              <w:pStyle w:val="11"/>
              <w:spacing w:line="240" w:lineRule="auto"/>
              <w:ind w:firstLine="0" w:firstLineChars="0"/>
              <w:jc w:val="center"/>
              <w:rPr>
                <w:rFonts w:hint="eastAsia" w:ascii="Times New Roman" w:hAnsi="Times New Roman" w:eastAsia="宋体" w:cs="Times New Roman"/>
                <w:color w:val="auto"/>
                <w:kern w:val="2"/>
                <w:sz w:val="21"/>
                <w:szCs w:val="21"/>
                <w:lang w:val="en-US" w:eastAsia="zh-CN" w:bidi="ar-SA"/>
              </w:rPr>
            </w:pPr>
            <w:r>
              <w:rPr>
                <w:rFonts w:hint="eastAsia" w:cs="Times New Roman"/>
                <w:b/>
                <w:bCs/>
                <w:color w:val="auto"/>
                <w:sz w:val="21"/>
                <w:szCs w:val="21"/>
                <w:lang w:val="en-US" w:eastAsia="zh-CN"/>
              </w:rPr>
              <w:t>0.0374</w:t>
            </w:r>
          </w:p>
        </w:tc>
        <w:tc>
          <w:tcPr>
            <w:tcW w:w="1796" w:type="dxa"/>
            <w:shd w:val="clear" w:color="auto" w:fill="auto"/>
            <w:noWrap w:val="0"/>
            <w:vAlign w:val="center"/>
          </w:tcPr>
          <w:p w14:paraId="025AF9CF">
            <w:pPr>
              <w:bidi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15.4265</w:t>
            </w:r>
          </w:p>
        </w:tc>
        <w:tc>
          <w:tcPr>
            <w:tcW w:w="989" w:type="dxa"/>
            <w:shd w:val="clear" w:color="auto" w:fill="auto"/>
            <w:noWrap w:val="0"/>
            <w:vAlign w:val="center"/>
          </w:tcPr>
          <w:p w14:paraId="59A09728">
            <w:pPr>
              <w:bidi w:val="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w:t>
            </w:r>
            <w:r>
              <w:rPr>
                <w:rFonts w:hint="eastAsia" w:cs="Times New Roman"/>
                <w:color w:val="auto"/>
                <w:kern w:val="2"/>
                <w:sz w:val="21"/>
                <w:szCs w:val="21"/>
                <w:lang w:val="en-US" w:eastAsia="zh-CN" w:bidi="ar-SA"/>
              </w:rPr>
              <w:t>-0.0351</w:t>
            </w:r>
          </w:p>
        </w:tc>
      </w:tr>
      <w:tr w14:paraId="2F7F1F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4" w:type="dxa"/>
            <w:vMerge w:val="continue"/>
            <w:noWrap w:val="0"/>
            <w:vAlign w:val="center"/>
          </w:tcPr>
          <w:p w14:paraId="35272EF2">
            <w:pPr>
              <w:pStyle w:val="48"/>
              <w:spacing w:beforeLines="0" w:afterLines="0" w:line="240" w:lineRule="auto"/>
              <w:rPr>
                <w:rFonts w:hint="default" w:ascii="Times New Roman" w:hAnsi="Times New Roman" w:cs="Times New Roman"/>
                <w:snapToGrid w:val="0"/>
                <w:color w:val="auto"/>
                <w:kern w:val="21"/>
                <w:szCs w:val="21"/>
              </w:rPr>
            </w:pPr>
          </w:p>
        </w:tc>
        <w:tc>
          <w:tcPr>
            <w:tcW w:w="1125" w:type="dxa"/>
            <w:gridSpan w:val="2"/>
            <w:vMerge w:val="continue"/>
            <w:noWrap w:val="0"/>
            <w:vAlign w:val="center"/>
          </w:tcPr>
          <w:p w14:paraId="30497BEA">
            <w:pPr>
              <w:pStyle w:val="48"/>
              <w:spacing w:beforeLines="0" w:afterLines="0" w:line="240" w:lineRule="auto"/>
              <w:rPr>
                <w:rFonts w:hint="eastAsia" w:ascii="Times New Roman" w:cs="Times New Roman"/>
                <w:snapToGrid w:val="0"/>
                <w:color w:val="auto"/>
                <w:kern w:val="21"/>
                <w:szCs w:val="21"/>
                <w:lang w:val="en-US" w:eastAsia="zh-CN"/>
              </w:rPr>
            </w:pPr>
          </w:p>
        </w:tc>
        <w:tc>
          <w:tcPr>
            <w:tcW w:w="1316" w:type="dxa"/>
            <w:shd w:val="clear" w:color="auto" w:fill="auto"/>
            <w:noWrap w:val="0"/>
            <w:vAlign w:val="center"/>
          </w:tcPr>
          <w:p w14:paraId="7F3E72B6">
            <w:pPr>
              <w:spacing w:line="320" w:lineRule="exact"/>
              <w:jc w:val="center"/>
              <w:rPr>
                <w:rFonts w:hint="eastAsia" w:ascii="Times New Roman" w:hAnsi="Times New Roman" w:eastAsia="宋体" w:cs="Times New Roman"/>
                <w:snapToGrid w:val="0"/>
                <w:color w:val="auto"/>
                <w:kern w:val="21"/>
                <w:sz w:val="21"/>
                <w:szCs w:val="21"/>
                <w:lang w:val="en-US" w:eastAsia="zh-CN" w:bidi="ar-SA"/>
              </w:rPr>
            </w:pPr>
            <w:r>
              <w:rPr>
                <w:rFonts w:hint="eastAsia"/>
                <w:color w:val="auto"/>
                <w:lang w:val="en-US" w:eastAsia="zh-CN"/>
              </w:rPr>
              <w:t>二氧化硫</w:t>
            </w:r>
          </w:p>
        </w:tc>
        <w:tc>
          <w:tcPr>
            <w:tcW w:w="1701" w:type="dxa"/>
            <w:shd w:val="clear" w:color="auto" w:fill="auto"/>
            <w:noWrap w:val="0"/>
            <w:vAlign w:val="center"/>
          </w:tcPr>
          <w:p w14:paraId="5A21F14A">
            <w:pPr>
              <w:pStyle w:val="11"/>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74.</w:t>
            </w:r>
            <w:r>
              <w:rPr>
                <w:rFonts w:hint="eastAsia" w:cs="Times New Roman"/>
                <w:color w:val="auto"/>
                <w:kern w:val="2"/>
                <w:sz w:val="21"/>
                <w:szCs w:val="21"/>
                <w:lang w:val="en-US" w:eastAsia="zh-CN" w:bidi="ar-SA"/>
              </w:rPr>
              <w:t>1266</w:t>
            </w:r>
          </w:p>
        </w:tc>
        <w:tc>
          <w:tcPr>
            <w:tcW w:w="1276" w:type="dxa"/>
            <w:noWrap w:val="0"/>
            <w:vAlign w:val="center"/>
          </w:tcPr>
          <w:p w14:paraId="0FB9C65B">
            <w:pPr>
              <w:pStyle w:val="48"/>
              <w:spacing w:beforeLines="0" w:afterLines="0" w:line="240" w:lineRule="auto"/>
              <w:rPr>
                <w:rFonts w:hint="default" w:ascii="Times New Roman" w:hAnsi="Times New Roman" w:cs="Times New Roman"/>
                <w:snapToGrid w:val="0"/>
                <w:color w:val="auto"/>
                <w:kern w:val="21"/>
                <w:szCs w:val="21"/>
              </w:rPr>
            </w:pPr>
          </w:p>
        </w:tc>
        <w:tc>
          <w:tcPr>
            <w:tcW w:w="1701" w:type="dxa"/>
            <w:noWrap w:val="0"/>
            <w:vAlign w:val="center"/>
          </w:tcPr>
          <w:p w14:paraId="2AE19E46">
            <w:pPr>
              <w:pStyle w:val="48"/>
              <w:spacing w:beforeLines="0" w:afterLines="0" w:line="240" w:lineRule="auto"/>
              <w:rPr>
                <w:rFonts w:hint="default" w:ascii="Times New Roman" w:hAnsi="Times New Roman" w:cs="Times New Roman"/>
                <w:snapToGrid w:val="0"/>
                <w:color w:val="auto"/>
                <w:kern w:val="21"/>
                <w:szCs w:val="21"/>
              </w:rPr>
            </w:pPr>
          </w:p>
        </w:tc>
        <w:tc>
          <w:tcPr>
            <w:tcW w:w="1559" w:type="dxa"/>
            <w:shd w:val="clear" w:color="auto" w:fill="auto"/>
            <w:noWrap w:val="0"/>
            <w:vAlign w:val="center"/>
          </w:tcPr>
          <w:p w14:paraId="41EF152C">
            <w:pPr>
              <w:pStyle w:val="48"/>
              <w:spacing w:line="240" w:lineRule="auto"/>
              <w:ind w:firstLine="0" w:firstLineChars="0"/>
              <w:jc w:val="center"/>
              <w:rPr>
                <w:rFonts w:hint="eastAsia" w:ascii="Times New Roman" w:hAnsi="Times New Roman" w:eastAsia="宋体" w:cs="Times New Roman"/>
                <w:b w:val="0"/>
                <w:bCs w:val="0"/>
                <w:color w:val="auto"/>
                <w:spacing w:val="-12"/>
                <w:kern w:val="0"/>
                <w:sz w:val="21"/>
                <w:szCs w:val="21"/>
                <w:lang w:val="en-US" w:eastAsia="zh-CN" w:bidi="en-US"/>
              </w:rPr>
            </w:pPr>
            <w:r>
              <w:rPr>
                <w:rFonts w:hint="eastAsia" w:ascii="Times New Roman" w:hAnsi="Times New Roman" w:cs="Times New Roman"/>
                <w:b w:val="0"/>
                <w:bCs w:val="0"/>
                <w:color w:val="auto"/>
                <w:spacing w:val="-12"/>
                <w:kern w:val="0"/>
                <w:sz w:val="21"/>
                <w:szCs w:val="21"/>
                <w:lang w:val="en-US" w:eastAsia="zh-CN" w:bidi="en-US"/>
              </w:rPr>
              <w:t>0.0471</w:t>
            </w:r>
          </w:p>
        </w:tc>
        <w:tc>
          <w:tcPr>
            <w:tcW w:w="1761" w:type="dxa"/>
            <w:shd w:val="clear" w:color="auto" w:fill="auto"/>
            <w:noWrap w:val="0"/>
            <w:vAlign w:val="center"/>
          </w:tcPr>
          <w:p w14:paraId="6436B7FF">
            <w:pPr>
              <w:pStyle w:val="11"/>
              <w:spacing w:line="240" w:lineRule="auto"/>
              <w:ind w:firstLine="0" w:firstLineChars="0"/>
              <w:jc w:val="center"/>
              <w:rPr>
                <w:rFonts w:hint="eastAsia" w:ascii="Times New Roman" w:hAnsi="Times New Roman" w:eastAsia="宋体" w:cs="Times New Roman"/>
                <w:color w:val="auto"/>
                <w:kern w:val="2"/>
                <w:sz w:val="21"/>
                <w:szCs w:val="21"/>
                <w:lang w:val="en-US" w:eastAsia="zh-CN" w:bidi="ar-SA"/>
              </w:rPr>
            </w:pPr>
            <w:r>
              <w:rPr>
                <w:rFonts w:hint="eastAsia" w:cs="Times New Roman"/>
                <w:b/>
                <w:bCs/>
                <w:color w:val="auto"/>
                <w:sz w:val="21"/>
                <w:szCs w:val="21"/>
                <w:lang w:val="en-US" w:eastAsia="zh-CN"/>
              </w:rPr>
              <w:t>0.0936</w:t>
            </w:r>
          </w:p>
        </w:tc>
        <w:tc>
          <w:tcPr>
            <w:tcW w:w="1796" w:type="dxa"/>
            <w:shd w:val="clear" w:color="auto" w:fill="auto"/>
            <w:noWrap w:val="0"/>
            <w:vAlign w:val="center"/>
          </w:tcPr>
          <w:p w14:paraId="309B06F1">
            <w:pPr>
              <w:bidi w:val="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74.0801</w:t>
            </w:r>
          </w:p>
        </w:tc>
        <w:tc>
          <w:tcPr>
            <w:tcW w:w="989" w:type="dxa"/>
            <w:shd w:val="clear" w:color="auto" w:fill="auto"/>
            <w:noWrap w:val="0"/>
            <w:vAlign w:val="center"/>
          </w:tcPr>
          <w:p w14:paraId="137CF496">
            <w:pPr>
              <w:bidi w:val="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w:t>
            </w:r>
            <w:r>
              <w:rPr>
                <w:rFonts w:hint="eastAsia" w:cs="Times New Roman"/>
                <w:color w:val="auto"/>
                <w:kern w:val="2"/>
                <w:sz w:val="21"/>
                <w:szCs w:val="21"/>
                <w:lang w:val="en-US" w:eastAsia="zh-CN" w:bidi="ar-SA"/>
              </w:rPr>
              <w:t>0465</w:t>
            </w:r>
          </w:p>
        </w:tc>
      </w:tr>
      <w:tr w14:paraId="64C499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4" w:type="dxa"/>
            <w:vMerge w:val="continue"/>
            <w:noWrap w:val="0"/>
            <w:vAlign w:val="center"/>
          </w:tcPr>
          <w:p w14:paraId="1236BDF2">
            <w:pPr>
              <w:pStyle w:val="48"/>
              <w:spacing w:beforeLines="0" w:afterLines="0" w:line="240" w:lineRule="auto"/>
              <w:rPr>
                <w:rFonts w:hint="default" w:ascii="Times New Roman" w:hAnsi="Times New Roman" w:cs="Times New Roman"/>
                <w:snapToGrid w:val="0"/>
                <w:color w:val="auto"/>
                <w:kern w:val="21"/>
                <w:szCs w:val="21"/>
              </w:rPr>
            </w:pPr>
          </w:p>
        </w:tc>
        <w:tc>
          <w:tcPr>
            <w:tcW w:w="1125" w:type="dxa"/>
            <w:gridSpan w:val="2"/>
            <w:vMerge w:val="continue"/>
            <w:noWrap w:val="0"/>
            <w:vAlign w:val="center"/>
          </w:tcPr>
          <w:p w14:paraId="0C610DA3">
            <w:pPr>
              <w:pStyle w:val="48"/>
              <w:spacing w:beforeLines="0" w:afterLines="0" w:line="240" w:lineRule="auto"/>
              <w:rPr>
                <w:rFonts w:hint="eastAsia" w:ascii="Times New Roman" w:cs="Times New Roman"/>
                <w:snapToGrid w:val="0"/>
                <w:color w:val="auto"/>
                <w:kern w:val="21"/>
                <w:szCs w:val="21"/>
                <w:lang w:val="en-US" w:eastAsia="zh-CN"/>
              </w:rPr>
            </w:pPr>
          </w:p>
        </w:tc>
        <w:tc>
          <w:tcPr>
            <w:tcW w:w="1316" w:type="dxa"/>
            <w:shd w:val="clear" w:color="auto" w:fill="auto"/>
            <w:noWrap w:val="0"/>
            <w:vAlign w:val="center"/>
          </w:tcPr>
          <w:p w14:paraId="24607CE4">
            <w:pPr>
              <w:spacing w:line="320" w:lineRule="exact"/>
              <w:jc w:val="center"/>
              <w:rPr>
                <w:rFonts w:hint="eastAsia" w:ascii="Times New Roman" w:hAnsi="Times New Roman" w:eastAsia="宋体" w:cs="Times New Roman"/>
                <w:snapToGrid w:val="0"/>
                <w:color w:val="auto"/>
                <w:kern w:val="21"/>
                <w:sz w:val="21"/>
                <w:szCs w:val="21"/>
                <w:lang w:val="en-US" w:eastAsia="zh-CN" w:bidi="ar-SA"/>
              </w:rPr>
            </w:pPr>
            <w:r>
              <w:rPr>
                <w:rFonts w:hint="eastAsia"/>
                <w:color w:val="auto"/>
                <w:lang w:val="en-US" w:eastAsia="zh-CN"/>
              </w:rPr>
              <w:t>氮氧化物</w:t>
            </w:r>
          </w:p>
        </w:tc>
        <w:tc>
          <w:tcPr>
            <w:tcW w:w="1701" w:type="dxa"/>
            <w:shd w:val="clear" w:color="auto" w:fill="auto"/>
            <w:noWrap w:val="0"/>
            <w:vAlign w:val="center"/>
          </w:tcPr>
          <w:p w14:paraId="1D6FEC5A">
            <w:pPr>
              <w:pStyle w:val="11"/>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5.0747</w:t>
            </w:r>
          </w:p>
        </w:tc>
        <w:tc>
          <w:tcPr>
            <w:tcW w:w="1276" w:type="dxa"/>
            <w:noWrap w:val="0"/>
            <w:vAlign w:val="center"/>
          </w:tcPr>
          <w:p w14:paraId="16FCF745">
            <w:pPr>
              <w:pStyle w:val="48"/>
              <w:spacing w:beforeLines="0" w:afterLines="0" w:line="240" w:lineRule="auto"/>
              <w:rPr>
                <w:rFonts w:hint="default" w:ascii="Times New Roman" w:hAnsi="Times New Roman" w:cs="Times New Roman"/>
                <w:snapToGrid w:val="0"/>
                <w:color w:val="auto"/>
                <w:kern w:val="21"/>
                <w:szCs w:val="21"/>
              </w:rPr>
            </w:pPr>
          </w:p>
        </w:tc>
        <w:tc>
          <w:tcPr>
            <w:tcW w:w="1701" w:type="dxa"/>
            <w:noWrap w:val="0"/>
            <w:vAlign w:val="center"/>
          </w:tcPr>
          <w:p w14:paraId="4490132E">
            <w:pPr>
              <w:pStyle w:val="48"/>
              <w:spacing w:beforeLines="0" w:afterLines="0" w:line="240" w:lineRule="auto"/>
              <w:rPr>
                <w:rFonts w:hint="default" w:ascii="Times New Roman" w:hAnsi="Times New Roman" w:cs="Times New Roman"/>
                <w:snapToGrid w:val="0"/>
                <w:color w:val="auto"/>
                <w:kern w:val="21"/>
                <w:szCs w:val="21"/>
              </w:rPr>
            </w:pPr>
          </w:p>
        </w:tc>
        <w:tc>
          <w:tcPr>
            <w:tcW w:w="1559" w:type="dxa"/>
            <w:shd w:val="clear" w:color="auto" w:fill="auto"/>
            <w:noWrap w:val="0"/>
            <w:vAlign w:val="center"/>
          </w:tcPr>
          <w:p w14:paraId="56004B02">
            <w:pPr>
              <w:pStyle w:val="48"/>
              <w:spacing w:line="240" w:lineRule="auto"/>
              <w:ind w:firstLine="0" w:firstLineChars="0"/>
              <w:jc w:val="center"/>
              <w:rPr>
                <w:rFonts w:hint="eastAsia" w:ascii="Times New Roman" w:hAnsi="Times New Roman" w:eastAsia="宋体" w:cs="Times New Roman"/>
                <w:b w:val="0"/>
                <w:bCs w:val="0"/>
                <w:color w:val="auto"/>
                <w:spacing w:val="-12"/>
                <w:kern w:val="0"/>
                <w:sz w:val="21"/>
                <w:szCs w:val="21"/>
                <w:lang w:val="en-US" w:eastAsia="zh-CN" w:bidi="en-US"/>
              </w:rPr>
            </w:pPr>
            <w:r>
              <w:rPr>
                <w:rFonts w:hint="eastAsia" w:ascii="Times New Roman" w:hAnsi="Times New Roman" w:cs="Times New Roman"/>
                <w:b w:val="0"/>
                <w:bCs w:val="0"/>
                <w:color w:val="auto"/>
                <w:spacing w:val="-12"/>
                <w:kern w:val="0"/>
                <w:sz w:val="21"/>
                <w:szCs w:val="21"/>
                <w:lang w:val="en-US" w:eastAsia="zh-CN" w:bidi="en-US"/>
              </w:rPr>
              <w:t>0.0934</w:t>
            </w:r>
          </w:p>
        </w:tc>
        <w:tc>
          <w:tcPr>
            <w:tcW w:w="1761" w:type="dxa"/>
            <w:shd w:val="clear" w:color="auto" w:fill="auto"/>
            <w:noWrap w:val="0"/>
            <w:vAlign w:val="center"/>
          </w:tcPr>
          <w:p w14:paraId="64096590">
            <w:pPr>
              <w:pStyle w:val="11"/>
              <w:spacing w:line="240" w:lineRule="auto"/>
              <w:ind w:firstLine="0" w:firstLineChars="0"/>
              <w:jc w:val="center"/>
              <w:rPr>
                <w:rFonts w:hint="eastAsia" w:ascii="Times New Roman" w:hAnsi="Times New Roman" w:eastAsia="宋体" w:cs="Times New Roman"/>
                <w:color w:val="auto"/>
                <w:kern w:val="2"/>
                <w:sz w:val="21"/>
                <w:szCs w:val="21"/>
                <w:lang w:val="en-US" w:eastAsia="zh-CN" w:bidi="ar-SA"/>
              </w:rPr>
            </w:pPr>
            <w:r>
              <w:rPr>
                <w:rFonts w:hint="eastAsia" w:cs="Times New Roman"/>
                <w:b/>
                <w:bCs/>
                <w:color w:val="auto"/>
                <w:sz w:val="21"/>
                <w:szCs w:val="21"/>
                <w:lang w:val="en-US" w:eastAsia="zh-CN"/>
              </w:rPr>
              <w:t>0.1418</w:t>
            </w:r>
          </w:p>
        </w:tc>
        <w:tc>
          <w:tcPr>
            <w:tcW w:w="1796" w:type="dxa"/>
            <w:shd w:val="clear" w:color="auto" w:fill="auto"/>
            <w:noWrap w:val="0"/>
            <w:vAlign w:val="center"/>
          </w:tcPr>
          <w:p w14:paraId="5C58A82F">
            <w:pPr>
              <w:bidi w:val="0"/>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5.0263</w:t>
            </w:r>
          </w:p>
        </w:tc>
        <w:tc>
          <w:tcPr>
            <w:tcW w:w="989" w:type="dxa"/>
            <w:shd w:val="clear" w:color="auto" w:fill="auto"/>
            <w:noWrap w:val="0"/>
            <w:vAlign w:val="center"/>
          </w:tcPr>
          <w:p w14:paraId="4C72A58E">
            <w:pPr>
              <w:bidi w:val="0"/>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-0.0484</w:t>
            </w:r>
          </w:p>
        </w:tc>
      </w:tr>
      <w:tr w14:paraId="4DEFBE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4" w:type="dxa"/>
            <w:vMerge w:val="continue"/>
            <w:noWrap w:val="0"/>
            <w:vAlign w:val="center"/>
          </w:tcPr>
          <w:p w14:paraId="35D02272">
            <w:pPr>
              <w:pStyle w:val="48"/>
              <w:spacing w:beforeLines="0" w:afterLines="0" w:line="240" w:lineRule="auto"/>
              <w:rPr>
                <w:rFonts w:hint="default" w:ascii="Times New Roman" w:hAnsi="Times New Roman" w:cs="Times New Roman"/>
                <w:snapToGrid w:val="0"/>
                <w:color w:val="auto"/>
                <w:kern w:val="21"/>
                <w:szCs w:val="21"/>
              </w:rPr>
            </w:pPr>
          </w:p>
        </w:tc>
        <w:tc>
          <w:tcPr>
            <w:tcW w:w="1125" w:type="dxa"/>
            <w:gridSpan w:val="2"/>
            <w:vMerge w:val="continue"/>
            <w:noWrap w:val="0"/>
            <w:vAlign w:val="center"/>
          </w:tcPr>
          <w:p w14:paraId="47E16013">
            <w:pPr>
              <w:pStyle w:val="48"/>
              <w:spacing w:beforeLines="0" w:afterLines="0" w:line="240" w:lineRule="auto"/>
              <w:rPr>
                <w:rFonts w:hint="eastAsia" w:ascii="Times New Roman" w:cs="Times New Roman"/>
                <w:snapToGrid w:val="0"/>
                <w:color w:val="auto"/>
                <w:kern w:val="21"/>
                <w:szCs w:val="21"/>
                <w:lang w:val="en-US" w:eastAsia="zh-CN"/>
              </w:rPr>
            </w:pPr>
          </w:p>
        </w:tc>
        <w:tc>
          <w:tcPr>
            <w:tcW w:w="1316" w:type="dxa"/>
            <w:noWrap w:val="0"/>
            <w:vAlign w:val="center"/>
          </w:tcPr>
          <w:p w14:paraId="11780E81">
            <w:pPr>
              <w:spacing w:line="320" w:lineRule="exact"/>
              <w:jc w:val="center"/>
              <w:rPr>
                <w:rFonts w:hint="eastAsia" w:ascii="Times New Roman" w:cs="Times New Roman"/>
                <w:snapToGrid w:val="0"/>
                <w:color w:val="auto"/>
                <w:kern w:val="21"/>
                <w:szCs w:val="21"/>
                <w:lang w:val="en-US" w:eastAsia="zh-CN"/>
              </w:rPr>
            </w:pPr>
            <w:r>
              <w:rPr>
                <w:rFonts w:hint="eastAsia"/>
                <w:color w:val="auto"/>
                <w:lang w:val="en-US" w:eastAsia="zh-CN"/>
              </w:rPr>
              <w:t>非甲烷总烃</w:t>
            </w:r>
          </w:p>
        </w:tc>
        <w:tc>
          <w:tcPr>
            <w:tcW w:w="1701" w:type="dxa"/>
            <w:shd w:val="clear" w:color="auto" w:fill="auto"/>
            <w:noWrap w:val="0"/>
            <w:vAlign w:val="center"/>
          </w:tcPr>
          <w:p w14:paraId="7056F1F4">
            <w:pPr>
              <w:pStyle w:val="11"/>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0.1185</w:t>
            </w:r>
          </w:p>
        </w:tc>
        <w:tc>
          <w:tcPr>
            <w:tcW w:w="1276" w:type="dxa"/>
            <w:noWrap w:val="0"/>
            <w:vAlign w:val="center"/>
          </w:tcPr>
          <w:p w14:paraId="200E4276">
            <w:pPr>
              <w:pStyle w:val="48"/>
              <w:spacing w:beforeLines="0" w:afterLines="0" w:line="240" w:lineRule="auto"/>
              <w:rPr>
                <w:rFonts w:hint="default" w:ascii="Times New Roman" w:hAnsi="Times New Roman" w:cs="Times New Roman"/>
                <w:snapToGrid w:val="0"/>
                <w:color w:val="auto"/>
                <w:kern w:val="21"/>
                <w:szCs w:val="21"/>
              </w:rPr>
            </w:pPr>
          </w:p>
        </w:tc>
        <w:tc>
          <w:tcPr>
            <w:tcW w:w="1701" w:type="dxa"/>
            <w:noWrap w:val="0"/>
            <w:vAlign w:val="center"/>
          </w:tcPr>
          <w:p w14:paraId="2D1BE407">
            <w:pPr>
              <w:pStyle w:val="48"/>
              <w:spacing w:beforeLines="0" w:afterLines="0" w:line="240" w:lineRule="auto"/>
              <w:rPr>
                <w:rFonts w:hint="default" w:ascii="Times New Roman" w:hAnsi="Times New Roman" w:cs="Times New Roman"/>
                <w:snapToGrid w:val="0"/>
                <w:color w:val="auto"/>
                <w:kern w:val="21"/>
                <w:szCs w:val="21"/>
              </w:rPr>
            </w:pPr>
          </w:p>
        </w:tc>
        <w:tc>
          <w:tcPr>
            <w:tcW w:w="1559" w:type="dxa"/>
            <w:shd w:val="clear" w:color="auto" w:fill="auto"/>
            <w:noWrap w:val="0"/>
            <w:vAlign w:val="center"/>
          </w:tcPr>
          <w:p w14:paraId="07F1371C">
            <w:pPr>
              <w:pStyle w:val="48"/>
              <w:spacing w:line="240" w:lineRule="auto"/>
              <w:ind w:firstLine="0" w:firstLineChars="0"/>
              <w:jc w:val="center"/>
              <w:rPr>
                <w:rFonts w:hint="eastAsia" w:ascii="Times New Roman" w:hAnsi="宋体" w:eastAsia="宋体" w:cs="Times New Roman"/>
                <w:b w:val="0"/>
                <w:bCs w:val="0"/>
                <w:color w:val="auto"/>
                <w:spacing w:val="-12"/>
                <w:kern w:val="0"/>
                <w:sz w:val="21"/>
                <w:szCs w:val="21"/>
                <w:lang w:val="en-US" w:eastAsia="zh-CN" w:bidi="en-US"/>
              </w:rPr>
            </w:pPr>
            <w:r>
              <w:rPr>
                <w:rFonts w:hint="eastAsia" w:ascii="Times New Roman" w:cs="Times New Roman"/>
                <w:b w:val="0"/>
                <w:bCs w:val="0"/>
                <w:color w:val="auto"/>
                <w:sz w:val="21"/>
                <w:szCs w:val="21"/>
                <w:lang w:val="en-US" w:eastAsia="zh-CN"/>
              </w:rPr>
              <w:t>0</w:t>
            </w:r>
          </w:p>
        </w:tc>
        <w:tc>
          <w:tcPr>
            <w:tcW w:w="1761" w:type="dxa"/>
            <w:shd w:val="clear" w:color="auto" w:fill="auto"/>
            <w:noWrap w:val="0"/>
            <w:vAlign w:val="center"/>
          </w:tcPr>
          <w:p w14:paraId="00ECE5CE">
            <w:pPr>
              <w:pStyle w:val="11"/>
              <w:spacing w:line="240" w:lineRule="auto"/>
              <w:ind w:firstLine="0" w:firstLineChars="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w:t>
            </w:r>
          </w:p>
        </w:tc>
        <w:tc>
          <w:tcPr>
            <w:tcW w:w="1796" w:type="dxa"/>
            <w:shd w:val="clear" w:color="auto" w:fill="auto"/>
            <w:noWrap w:val="0"/>
            <w:vAlign w:val="center"/>
          </w:tcPr>
          <w:p w14:paraId="288B97DD">
            <w:pPr>
              <w:bidi w:val="0"/>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0.1185</w:t>
            </w:r>
          </w:p>
        </w:tc>
        <w:tc>
          <w:tcPr>
            <w:tcW w:w="989" w:type="dxa"/>
            <w:shd w:val="clear" w:color="auto" w:fill="auto"/>
            <w:noWrap w:val="0"/>
            <w:vAlign w:val="center"/>
          </w:tcPr>
          <w:p w14:paraId="599212A2">
            <w:pPr>
              <w:bidi w:val="0"/>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0</w:t>
            </w:r>
          </w:p>
        </w:tc>
      </w:tr>
      <w:tr w14:paraId="333D2D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4" w:type="dxa"/>
            <w:vMerge w:val="continue"/>
            <w:noWrap w:val="0"/>
            <w:vAlign w:val="center"/>
          </w:tcPr>
          <w:p w14:paraId="51657885">
            <w:pPr>
              <w:pStyle w:val="48"/>
              <w:spacing w:beforeLines="0" w:afterLines="0" w:line="240" w:lineRule="auto"/>
              <w:rPr>
                <w:rFonts w:hint="default" w:ascii="Times New Roman" w:hAnsi="Times New Roman" w:cs="Times New Roman"/>
                <w:snapToGrid w:val="0"/>
                <w:color w:val="auto"/>
                <w:kern w:val="21"/>
                <w:szCs w:val="21"/>
              </w:rPr>
            </w:pPr>
          </w:p>
        </w:tc>
        <w:tc>
          <w:tcPr>
            <w:tcW w:w="1125" w:type="dxa"/>
            <w:gridSpan w:val="2"/>
            <w:vMerge w:val="continue"/>
            <w:noWrap w:val="0"/>
            <w:vAlign w:val="center"/>
          </w:tcPr>
          <w:p w14:paraId="45542D9D">
            <w:pPr>
              <w:pStyle w:val="48"/>
              <w:spacing w:beforeLines="0" w:afterLines="0" w:line="240" w:lineRule="auto"/>
              <w:rPr>
                <w:rFonts w:hint="eastAsia" w:ascii="Times New Roman" w:cs="Times New Roman"/>
                <w:snapToGrid w:val="0"/>
                <w:color w:val="auto"/>
                <w:kern w:val="21"/>
                <w:szCs w:val="21"/>
                <w:lang w:val="en-US" w:eastAsia="zh-CN"/>
              </w:rPr>
            </w:pPr>
          </w:p>
        </w:tc>
        <w:tc>
          <w:tcPr>
            <w:tcW w:w="1316" w:type="dxa"/>
            <w:noWrap w:val="0"/>
            <w:vAlign w:val="center"/>
          </w:tcPr>
          <w:p w14:paraId="4902C473">
            <w:pPr>
              <w:spacing w:line="320" w:lineRule="exact"/>
              <w:jc w:val="center"/>
              <w:rPr>
                <w:rFonts w:hint="eastAsia"/>
                <w:color w:val="auto"/>
                <w:lang w:val="en-US" w:eastAsia="zh-CN"/>
              </w:rPr>
            </w:pPr>
            <w:r>
              <w:rPr>
                <w:rFonts w:hint="eastAsia"/>
                <w:color w:val="auto"/>
                <w:lang w:val="en-US" w:eastAsia="zh-CN"/>
              </w:rPr>
              <w:t>氨</w:t>
            </w:r>
          </w:p>
        </w:tc>
        <w:tc>
          <w:tcPr>
            <w:tcW w:w="1701" w:type="dxa"/>
            <w:shd w:val="clear" w:color="auto" w:fill="auto"/>
            <w:noWrap w:val="0"/>
            <w:vAlign w:val="center"/>
          </w:tcPr>
          <w:p w14:paraId="329C3891">
            <w:pPr>
              <w:pStyle w:val="11"/>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w:t>
            </w:r>
          </w:p>
        </w:tc>
        <w:tc>
          <w:tcPr>
            <w:tcW w:w="1276" w:type="dxa"/>
            <w:noWrap w:val="0"/>
            <w:vAlign w:val="center"/>
          </w:tcPr>
          <w:p w14:paraId="4C96C3AB">
            <w:pPr>
              <w:pStyle w:val="48"/>
              <w:spacing w:beforeLines="0" w:afterLines="0" w:line="240" w:lineRule="auto"/>
              <w:rPr>
                <w:rFonts w:hint="default" w:ascii="Times New Roman" w:hAnsi="Times New Roman" w:cs="Times New Roman"/>
                <w:snapToGrid w:val="0"/>
                <w:color w:val="auto"/>
                <w:kern w:val="21"/>
                <w:szCs w:val="21"/>
              </w:rPr>
            </w:pPr>
          </w:p>
        </w:tc>
        <w:tc>
          <w:tcPr>
            <w:tcW w:w="1701" w:type="dxa"/>
            <w:noWrap w:val="0"/>
            <w:vAlign w:val="center"/>
          </w:tcPr>
          <w:p w14:paraId="0DFFC7FA">
            <w:pPr>
              <w:pStyle w:val="48"/>
              <w:spacing w:beforeLines="0" w:afterLines="0" w:line="240" w:lineRule="auto"/>
              <w:rPr>
                <w:rFonts w:hint="default" w:ascii="Times New Roman" w:hAnsi="Times New Roman" w:cs="Times New Roman"/>
                <w:snapToGrid w:val="0"/>
                <w:color w:val="auto"/>
                <w:kern w:val="21"/>
                <w:szCs w:val="21"/>
              </w:rPr>
            </w:pPr>
          </w:p>
        </w:tc>
        <w:tc>
          <w:tcPr>
            <w:tcW w:w="1559" w:type="dxa"/>
            <w:shd w:val="clear" w:color="auto" w:fill="auto"/>
            <w:noWrap w:val="0"/>
            <w:vAlign w:val="center"/>
          </w:tcPr>
          <w:p w14:paraId="23E61609">
            <w:pPr>
              <w:pStyle w:val="48"/>
              <w:spacing w:line="240" w:lineRule="auto"/>
              <w:ind w:firstLine="0" w:firstLineChars="0"/>
              <w:jc w:val="center"/>
              <w:rPr>
                <w:rFonts w:hint="eastAsia" w:ascii="Times New Roman" w:hAnsi="宋体" w:eastAsia="宋体" w:cs="Times New Roman"/>
                <w:b w:val="0"/>
                <w:bCs w:val="0"/>
                <w:color w:val="auto"/>
                <w:spacing w:val="-12"/>
                <w:kern w:val="0"/>
                <w:sz w:val="21"/>
                <w:szCs w:val="21"/>
                <w:lang w:val="en-US" w:eastAsia="zh-CN" w:bidi="en-US"/>
              </w:rPr>
            </w:pPr>
            <w:r>
              <w:rPr>
                <w:rFonts w:hint="eastAsia" w:ascii="Times New Roman" w:cs="Times New Roman"/>
                <w:b w:val="0"/>
                <w:bCs w:val="0"/>
                <w:color w:val="auto"/>
                <w:sz w:val="21"/>
                <w:szCs w:val="21"/>
                <w:lang w:val="en-US" w:eastAsia="zh-CN"/>
              </w:rPr>
              <w:t>0.0135</w:t>
            </w:r>
          </w:p>
        </w:tc>
        <w:tc>
          <w:tcPr>
            <w:tcW w:w="1761" w:type="dxa"/>
            <w:shd w:val="clear" w:color="auto" w:fill="auto"/>
            <w:noWrap w:val="0"/>
            <w:vAlign w:val="center"/>
          </w:tcPr>
          <w:p w14:paraId="0B76E401">
            <w:pPr>
              <w:pStyle w:val="11"/>
              <w:spacing w:line="240" w:lineRule="auto"/>
              <w:ind w:firstLine="0" w:firstLineChars="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w:t>
            </w:r>
          </w:p>
        </w:tc>
        <w:tc>
          <w:tcPr>
            <w:tcW w:w="1796" w:type="dxa"/>
            <w:shd w:val="clear" w:color="auto" w:fill="auto"/>
            <w:noWrap w:val="0"/>
            <w:vAlign w:val="center"/>
          </w:tcPr>
          <w:p w14:paraId="0999A523">
            <w:pPr>
              <w:bidi w:val="0"/>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0.0135</w:t>
            </w:r>
          </w:p>
        </w:tc>
        <w:tc>
          <w:tcPr>
            <w:tcW w:w="989" w:type="dxa"/>
            <w:shd w:val="clear" w:color="auto" w:fill="auto"/>
            <w:noWrap w:val="0"/>
            <w:vAlign w:val="center"/>
          </w:tcPr>
          <w:p w14:paraId="4641BA30">
            <w:pPr>
              <w:bidi w:val="0"/>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+0.0135</w:t>
            </w:r>
          </w:p>
        </w:tc>
      </w:tr>
      <w:tr w14:paraId="60E8A4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4" w:type="dxa"/>
            <w:vMerge w:val="continue"/>
            <w:noWrap w:val="0"/>
            <w:vAlign w:val="center"/>
          </w:tcPr>
          <w:p w14:paraId="47F7ED11">
            <w:pPr>
              <w:pStyle w:val="48"/>
              <w:spacing w:beforeLines="0" w:afterLines="0" w:line="240" w:lineRule="auto"/>
              <w:rPr>
                <w:rFonts w:hint="default" w:ascii="Times New Roman" w:hAnsi="Times New Roman" w:cs="Times New Roman"/>
                <w:snapToGrid w:val="0"/>
                <w:color w:val="auto"/>
                <w:kern w:val="21"/>
                <w:szCs w:val="21"/>
              </w:rPr>
            </w:pPr>
          </w:p>
        </w:tc>
        <w:tc>
          <w:tcPr>
            <w:tcW w:w="1125" w:type="dxa"/>
            <w:gridSpan w:val="2"/>
            <w:vMerge w:val="restart"/>
            <w:noWrap w:val="0"/>
            <w:vAlign w:val="center"/>
          </w:tcPr>
          <w:p w14:paraId="3022B5BE">
            <w:pPr>
              <w:pStyle w:val="48"/>
              <w:spacing w:beforeLines="0" w:afterLines="0" w:line="240" w:lineRule="auto"/>
              <w:rPr>
                <w:rFonts w:hint="eastAsia" w:ascii="Times New Roman" w:hAnsi="Times New Roman" w:eastAsia="宋体" w:cs="Times New Roman"/>
                <w:snapToGrid w:val="0"/>
                <w:color w:val="auto"/>
                <w:kern w:val="21"/>
                <w:szCs w:val="21"/>
                <w:lang w:val="en-US" w:eastAsia="zh-CN"/>
              </w:rPr>
            </w:pPr>
            <w:r>
              <w:rPr>
                <w:rFonts w:hint="eastAsia" w:ascii="Times New Roman" w:cs="Times New Roman"/>
                <w:snapToGrid w:val="0"/>
                <w:color w:val="auto"/>
                <w:kern w:val="21"/>
                <w:szCs w:val="21"/>
                <w:lang w:val="en-US" w:eastAsia="zh-CN"/>
              </w:rPr>
              <w:t>无组织</w:t>
            </w:r>
          </w:p>
        </w:tc>
        <w:tc>
          <w:tcPr>
            <w:tcW w:w="1316" w:type="dxa"/>
            <w:shd w:val="clear" w:color="auto" w:fill="auto"/>
            <w:noWrap w:val="0"/>
            <w:vAlign w:val="center"/>
          </w:tcPr>
          <w:p w14:paraId="4D79D9CA">
            <w:pPr>
              <w:spacing w:line="320" w:lineRule="exact"/>
              <w:jc w:val="center"/>
              <w:rPr>
                <w:rFonts w:hint="eastAsia" w:ascii="Times New Roman" w:hAnsi="Times New Roman" w:eastAsia="宋体" w:cs="Times New Roman"/>
                <w:snapToGrid w:val="0"/>
                <w:color w:val="auto"/>
                <w:kern w:val="21"/>
                <w:sz w:val="21"/>
                <w:szCs w:val="21"/>
                <w:lang w:val="en-US" w:eastAsia="zh-CN" w:bidi="ar-SA"/>
              </w:rPr>
            </w:pPr>
            <w:r>
              <w:rPr>
                <w:rFonts w:hint="eastAsia"/>
                <w:color w:val="auto"/>
                <w:lang w:val="en-US" w:eastAsia="zh-CN"/>
              </w:rPr>
              <w:t>颗粒物</w:t>
            </w:r>
          </w:p>
        </w:tc>
        <w:tc>
          <w:tcPr>
            <w:tcW w:w="1701" w:type="dxa"/>
            <w:shd w:val="clear" w:color="auto" w:fill="auto"/>
            <w:noWrap w:val="0"/>
            <w:vAlign w:val="center"/>
          </w:tcPr>
          <w:p w14:paraId="050528A6">
            <w:pPr>
              <w:pStyle w:val="11"/>
              <w:spacing w:line="320" w:lineRule="exact"/>
              <w:ind w:firstLine="0" w:firstLineChars="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0.1411</w:t>
            </w:r>
          </w:p>
        </w:tc>
        <w:tc>
          <w:tcPr>
            <w:tcW w:w="1276" w:type="dxa"/>
            <w:noWrap w:val="0"/>
            <w:vAlign w:val="center"/>
          </w:tcPr>
          <w:p w14:paraId="667C4BE7">
            <w:pPr>
              <w:pStyle w:val="48"/>
              <w:spacing w:beforeLines="0" w:afterLines="0" w:line="240" w:lineRule="auto"/>
              <w:rPr>
                <w:rFonts w:hint="default" w:ascii="Times New Roman" w:hAnsi="Times New Roman" w:cs="Times New Roman"/>
                <w:snapToGrid w:val="0"/>
                <w:color w:val="auto"/>
                <w:kern w:val="21"/>
                <w:szCs w:val="21"/>
              </w:rPr>
            </w:pPr>
          </w:p>
        </w:tc>
        <w:tc>
          <w:tcPr>
            <w:tcW w:w="1701" w:type="dxa"/>
            <w:noWrap w:val="0"/>
            <w:vAlign w:val="center"/>
          </w:tcPr>
          <w:p w14:paraId="749568D5">
            <w:pPr>
              <w:pStyle w:val="48"/>
              <w:spacing w:beforeLines="0" w:afterLines="0" w:line="240" w:lineRule="auto"/>
              <w:rPr>
                <w:rFonts w:hint="default" w:ascii="Times New Roman" w:hAnsi="Times New Roman" w:cs="Times New Roman"/>
                <w:snapToGrid w:val="0"/>
                <w:color w:val="auto"/>
                <w:kern w:val="21"/>
                <w:szCs w:val="21"/>
              </w:rPr>
            </w:pPr>
          </w:p>
        </w:tc>
        <w:tc>
          <w:tcPr>
            <w:tcW w:w="1559" w:type="dxa"/>
            <w:shd w:val="clear" w:color="auto" w:fill="auto"/>
            <w:noWrap w:val="0"/>
            <w:vAlign w:val="center"/>
          </w:tcPr>
          <w:p w14:paraId="12BF1BE2">
            <w:pPr>
              <w:pStyle w:val="11"/>
              <w:spacing w:line="320" w:lineRule="exact"/>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0</w:t>
            </w:r>
          </w:p>
        </w:tc>
        <w:tc>
          <w:tcPr>
            <w:tcW w:w="1761" w:type="dxa"/>
            <w:shd w:val="clear" w:color="auto" w:fill="auto"/>
            <w:noWrap w:val="0"/>
            <w:vAlign w:val="center"/>
          </w:tcPr>
          <w:p w14:paraId="19CCA77D">
            <w:pPr>
              <w:pStyle w:val="11"/>
              <w:spacing w:line="320" w:lineRule="exact"/>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0</w:t>
            </w:r>
          </w:p>
        </w:tc>
        <w:tc>
          <w:tcPr>
            <w:tcW w:w="1796" w:type="dxa"/>
            <w:shd w:val="clear" w:color="auto" w:fill="auto"/>
            <w:noWrap w:val="0"/>
            <w:vAlign w:val="center"/>
          </w:tcPr>
          <w:p w14:paraId="186CCC4D">
            <w:pPr>
              <w:pStyle w:val="11"/>
              <w:spacing w:line="320" w:lineRule="exact"/>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0.1411</w:t>
            </w:r>
          </w:p>
        </w:tc>
        <w:tc>
          <w:tcPr>
            <w:tcW w:w="989" w:type="dxa"/>
            <w:shd w:val="clear" w:color="auto" w:fill="auto"/>
            <w:noWrap w:val="0"/>
            <w:vAlign w:val="center"/>
          </w:tcPr>
          <w:p w14:paraId="215F4CD7">
            <w:pPr>
              <w:pStyle w:val="11"/>
              <w:spacing w:line="320" w:lineRule="exact"/>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0</w:t>
            </w:r>
          </w:p>
        </w:tc>
      </w:tr>
      <w:tr w14:paraId="7FD1B2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4" w:type="dxa"/>
            <w:vMerge w:val="continue"/>
            <w:noWrap w:val="0"/>
            <w:vAlign w:val="center"/>
          </w:tcPr>
          <w:p w14:paraId="7A209151">
            <w:pPr>
              <w:pStyle w:val="48"/>
              <w:spacing w:beforeLines="0" w:afterLines="0" w:line="240" w:lineRule="auto"/>
              <w:rPr>
                <w:rFonts w:hint="default" w:ascii="Times New Roman" w:hAnsi="Times New Roman" w:cs="Times New Roman"/>
                <w:snapToGrid w:val="0"/>
                <w:color w:val="auto"/>
                <w:kern w:val="21"/>
                <w:szCs w:val="21"/>
              </w:rPr>
            </w:pPr>
          </w:p>
        </w:tc>
        <w:tc>
          <w:tcPr>
            <w:tcW w:w="1125" w:type="dxa"/>
            <w:gridSpan w:val="2"/>
            <w:vMerge w:val="continue"/>
            <w:noWrap w:val="0"/>
            <w:vAlign w:val="center"/>
          </w:tcPr>
          <w:p w14:paraId="79B3C09D">
            <w:pPr>
              <w:pStyle w:val="48"/>
              <w:spacing w:beforeLines="0" w:afterLines="0" w:line="240" w:lineRule="auto"/>
              <w:rPr>
                <w:rFonts w:hint="eastAsia" w:ascii="Times New Roman" w:cs="Times New Roman"/>
                <w:snapToGrid w:val="0"/>
                <w:color w:val="auto"/>
                <w:kern w:val="21"/>
                <w:szCs w:val="21"/>
                <w:lang w:val="en-US" w:eastAsia="zh-CN"/>
              </w:rPr>
            </w:pPr>
          </w:p>
        </w:tc>
        <w:tc>
          <w:tcPr>
            <w:tcW w:w="1316" w:type="dxa"/>
            <w:shd w:val="clear" w:color="auto" w:fill="auto"/>
            <w:noWrap w:val="0"/>
            <w:vAlign w:val="center"/>
          </w:tcPr>
          <w:p w14:paraId="3DC962E1">
            <w:pPr>
              <w:spacing w:line="320" w:lineRule="exact"/>
              <w:jc w:val="center"/>
              <w:rPr>
                <w:rFonts w:hint="eastAsia" w:ascii="Times New Roman" w:hAnsi="Times New Roman" w:eastAsia="宋体" w:cs="Times New Roman"/>
                <w:snapToGrid w:val="0"/>
                <w:color w:val="auto"/>
                <w:kern w:val="21"/>
                <w:sz w:val="21"/>
                <w:szCs w:val="21"/>
                <w:lang w:val="en-US" w:eastAsia="zh-CN" w:bidi="ar-SA"/>
              </w:rPr>
            </w:pPr>
            <w:r>
              <w:rPr>
                <w:rFonts w:hint="eastAsia"/>
                <w:color w:val="auto"/>
                <w:lang w:val="en-US" w:eastAsia="zh-CN"/>
              </w:rPr>
              <w:t>二氧化硫</w:t>
            </w:r>
          </w:p>
        </w:tc>
        <w:tc>
          <w:tcPr>
            <w:tcW w:w="1701" w:type="dxa"/>
            <w:shd w:val="clear" w:color="auto" w:fill="auto"/>
            <w:noWrap w:val="0"/>
            <w:vAlign w:val="center"/>
          </w:tcPr>
          <w:p w14:paraId="010B5581">
            <w:pPr>
              <w:pStyle w:val="11"/>
              <w:spacing w:line="320" w:lineRule="exact"/>
              <w:ind w:firstLine="0" w:firstLineChars="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0.0014</w:t>
            </w:r>
          </w:p>
        </w:tc>
        <w:tc>
          <w:tcPr>
            <w:tcW w:w="1276" w:type="dxa"/>
            <w:noWrap w:val="0"/>
            <w:vAlign w:val="center"/>
          </w:tcPr>
          <w:p w14:paraId="5EEDC2D8">
            <w:pPr>
              <w:pStyle w:val="48"/>
              <w:spacing w:beforeLines="0" w:afterLines="0" w:line="240" w:lineRule="auto"/>
              <w:rPr>
                <w:rFonts w:hint="default" w:ascii="Times New Roman" w:hAnsi="Times New Roman" w:cs="Times New Roman"/>
                <w:snapToGrid w:val="0"/>
                <w:color w:val="auto"/>
                <w:kern w:val="21"/>
                <w:szCs w:val="21"/>
              </w:rPr>
            </w:pPr>
          </w:p>
        </w:tc>
        <w:tc>
          <w:tcPr>
            <w:tcW w:w="1701" w:type="dxa"/>
            <w:noWrap w:val="0"/>
            <w:vAlign w:val="center"/>
          </w:tcPr>
          <w:p w14:paraId="3FE0CB5B">
            <w:pPr>
              <w:pStyle w:val="48"/>
              <w:spacing w:beforeLines="0" w:afterLines="0" w:line="240" w:lineRule="auto"/>
              <w:rPr>
                <w:rFonts w:hint="default" w:ascii="Times New Roman" w:hAnsi="Times New Roman" w:cs="Times New Roman"/>
                <w:snapToGrid w:val="0"/>
                <w:color w:val="auto"/>
                <w:kern w:val="21"/>
                <w:szCs w:val="21"/>
              </w:rPr>
            </w:pPr>
          </w:p>
        </w:tc>
        <w:tc>
          <w:tcPr>
            <w:tcW w:w="1559" w:type="dxa"/>
            <w:shd w:val="clear" w:color="auto" w:fill="auto"/>
            <w:noWrap w:val="0"/>
            <w:vAlign w:val="center"/>
          </w:tcPr>
          <w:p w14:paraId="4254A73D">
            <w:pPr>
              <w:pStyle w:val="11"/>
              <w:spacing w:line="320" w:lineRule="exact"/>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0</w:t>
            </w:r>
          </w:p>
        </w:tc>
        <w:tc>
          <w:tcPr>
            <w:tcW w:w="1761" w:type="dxa"/>
            <w:shd w:val="clear" w:color="auto" w:fill="auto"/>
            <w:noWrap w:val="0"/>
            <w:vAlign w:val="center"/>
          </w:tcPr>
          <w:p w14:paraId="1A407F61">
            <w:pPr>
              <w:pStyle w:val="11"/>
              <w:spacing w:line="320" w:lineRule="exact"/>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0</w:t>
            </w:r>
          </w:p>
        </w:tc>
        <w:tc>
          <w:tcPr>
            <w:tcW w:w="1796" w:type="dxa"/>
            <w:shd w:val="clear" w:color="auto" w:fill="auto"/>
            <w:noWrap w:val="0"/>
            <w:vAlign w:val="center"/>
          </w:tcPr>
          <w:p w14:paraId="489F537F">
            <w:pPr>
              <w:pStyle w:val="11"/>
              <w:spacing w:line="320" w:lineRule="exact"/>
              <w:ind w:firstLine="0" w:firstLineChars="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0.0014</w:t>
            </w:r>
          </w:p>
        </w:tc>
        <w:tc>
          <w:tcPr>
            <w:tcW w:w="989" w:type="dxa"/>
            <w:shd w:val="clear" w:color="auto" w:fill="auto"/>
            <w:noWrap w:val="0"/>
            <w:vAlign w:val="center"/>
          </w:tcPr>
          <w:p w14:paraId="129A6968">
            <w:pPr>
              <w:pStyle w:val="11"/>
              <w:spacing w:line="320" w:lineRule="exact"/>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0</w:t>
            </w:r>
          </w:p>
        </w:tc>
      </w:tr>
      <w:tr w14:paraId="2EADF5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4" w:type="dxa"/>
            <w:vMerge w:val="continue"/>
            <w:noWrap w:val="0"/>
            <w:vAlign w:val="center"/>
          </w:tcPr>
          <w:p w14:paraId="7E6B4C96">
            <w:pPr>
              <w:pStyle w:val="48"/>
              <w:spacing w:beforeLines="0" w:afterLines="0" w:line="240" w:lineRule="auto"/>
              <w:rPr>
                <w:rFonts w:hint="default" w:ascii="Times New Roman" w:hAnsi="Times New Roman" w:cs="Times New Roman"/>
                <w:snapToGrid w:val="0"/>
                <w:color w:val="auto"/>
                <w:kern w:val="21"/>
                <w:szCs w:val="21"/>
              </w:rPr>
            </w:pPr>
          </w:p>
        </w:tc>
        <w:tc>
          <w:tcPr>
            <w:tcW w:w="1125" w:type="dxa"/>
            <w:gridSpan w:val="2"/>
            <w:vMerge w:val="continue"/>
            <w:noWrap w:val="0"/>
            <w:vAlign w:val="center"/>
          </w:tcPr>
          <w:p w14:paraId="44072E05">
            <w:pPr>
              <w:pStyle w:val="48"/>
              <w:spacing w:beforeLines="0" w:afterLines="0" w:line="240" w:lineRule="auto"/>
              <w:rPr>
                <w:rFonts w:hint="eastAsia" w:ascii="Times New Roman" w:cs="Times New Roman"/>
                <w:snapToGrid w:val="0"/>
                <w:color w:val="auto"/>
                <w:kern w:val="21"/>
                <w:szCs w:val="21"/>
                <w:lang w:val="en-US" w:eastAsia="zh-CN"/>
              </w:rPr>
            </w:pPr>
          </w:p>
        </w:tc>
        <w:tc>
          <w:tcPr>
            <w:tcW w:w="1316" w:type="dxa"/>
            <w:shd w:val="clear" w:color="auto" w:fill="auto"/>
            <w:noWrap w:val="0"/>
            <w:vAlign w:val="center"/>
          </w:tcPr>
          <w:p w14:paraId="3D012A73">
            <w:pPr>
              <w:spacing w:line="320" w:lineRule="exact"/>
              <w:jc w:val="center"/>
              <w:rPr>
                <w:rFonts w:hint="eastAsia" w:ascii="Times New Roman" w:hAnsi="Times New Roman" w:eastAsia="宋体" w:cs="Times New Roman"/>
                <w:snapToGrid w:val="0"/>
                <w:color w:val="auto"/>
                <w:kern w:val="21"/>
                <w:sz w:val="21"/>
                <w:szCs w:val="21"/>
                <w:lang w:val="en-US" w:eastAsia="zh-CN" w:bidi="ar-SA"/>
              </w:rPr>
            </w:pPr>
            <w:r>
              <w:rPr>
                <w:rFonts w:hint="eastAsia"/>
                <w:color w:val="auto"/>
                <w:lang w:val="en-US" w:eastAsia="zh-CN"/>
              </w:rPr>
              <w:t>氮氧化物</w:t>
            </w:r>
          </w:p>
        </w:tc>
        <w:tc>
          <w:tcPr>
            <w:tcW w:w="1701" w:type="dxa"/>
            <w:shd w:val="clear" w:color="auto" w:fill="auto"/>
            <w:noWrap w:val="0"/>
            <w:vAlign w:val="center"/>
          </w:tcPr>
          <w:p w14:paraId="39592A3E">
            <w:pPr>
              <w:pStyle w:val="11"/>
              <w:spacing w:line="320" w:lineRule="exact"/>
              <w:ind w:firstLine="0" w:firstLineChars="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0.0131</w:t>
            </w:r>
          </w:p>
        </w:tc>
        <w:tc>
          <w:tcPr>
            <w:tcW w:w="1276" w:type="dxa"/>
            <w:noWrap w:val="0"/>
            <w:vAlign w:val="center"/>
          </w:tcPr>
          <w:p w14:paraId="49D4A140">
            <w:pPr>
              <w:pStyle w:val="48"/>
              <w:spacing w:beforeLines="0" w:afterLines="0" w:line="240" w:lineRule="auto"/>
              <w:rPr>
                <w:rFonts w:hint="default" w:ascii="Times New Roman" w:hAnsi="Times New Roman" w:cs="Times New Roman"/>
                <w:snapToGrid w:val="0"/>
                <w:color w:val="auto"/>
                <w:kern w:val="21"/>
                <w:szCs w:val="21"/>
              </w:rPr>
            </w:pPr>
          </w:p>
        </w:tc>
        <w:tc>
          <w:tcPr>
            <w:tcW w:w="1701" w:type="dxa"/>
            <w:noWrap w:val="0"/>
            <w:vAlign w:val="center"/>
          </w:tcPr>
          <w:p w14:paraId="5725F607">
            <w:pPr>
              <w:pStyle w:val="48"/>
              <w:spacing w:beforeLines="0" w:afterLines="0" w:line="240" w:lineRule="auto"/>
              <w:rPr>
                <w:rFonts w:hint="default" w:ascii="Times New Roman" w:hAnsi="Times New Roman" w:cs="Times New Roman"/>
                <w:snapToGrid w:val="0"/>
                <w:color w:val="auto"/>
                <w:kern w:val="21"/>
                <w:szCs w:val="21"/>
              </w:rPr>
            </w:pPr>
          </w:p>
        </w:tc>
        <w:tc>
          <w:tcPr>
            <w:tcW w:w="1559" w:type="dxa"/>
            <w:shd w:val="clear" w:color="auto" w:fill="auto"/>
            <w:noWrap w:val="0"/>
            <w:vAlign w:val="center"/>
          </w:tcPr>
          <w:p w14:paraId="01FC9B41">
            <w:pPr>
              <w:pStyle w:val="11"/>
              <w:spacing w:line="320" w:lineRule="exact"/>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0</w:t>
            </w:r>
          </w:p>
        </w:tc>
        <w:tc>
          <w:tcPr>
            <w:tcW w:w="1761" w:type="dxa"/>
            <w:shd w:val="clear" w:color="auto" w:fill="auto"/>
            <w:noWrap w:val="0"/>
            <w:vAlign w:val="center"/>
          </w:tcPr>
          <w:p w14:paraId="7760763B">
            <w:pPr>
              <w:pStyle w:val="11"/>
              <w:spacing w:line="320" w:lineRule="exact"/>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0</w:t>
            </w:r>
          </w:p>
        </w:tc>
        <w:tc>
          <w:tcPr>
            <w:tcW w:w="1796" w:type="dxa"/>
            <w:shd w:val="clear" w:color="auto" w:fill="auto"/>
            <w:noWrap w:val="0"/>
            <w:vAlign w:val="center"/>
          </w:tcPr>
          <w:p w14:paraId="17711464">
            <w:pPr>
              <w:pStyle w:val="11"/>
              <w:spacing w:line="320" w:lineRule="exact"/>
              <w:ind w:firstLine="0" w:firstLineChars="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0.0131</w:t>
            </w:r>
          </w:p>
        </w:tc>
        <w:tc>
          <w:tcPr>
            <w:tcW w:w="989" w:type="dxa"/>
            <w:shd w:val="clear" w:color="auto" w:fill="auto"/>
            <w:noWrap w:val="0"/>
            <w:vAlign w:val="center"/>
          </w:tcPr>
          <w:p w14:paraId="6E98FBBC">
            <w:pPr>
              <w:pStyle w:val="11"/>
              <w:spacing w:line="320" w:lineRule="exact"/>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0</w:t>
            </w:r>
          </w:p>
        </w:tc>
      </w:tr>
      <w:tr w14:paraId="05EF79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64" w:type="dxa"/>
            <w:vMerge w:val="continue"/>
            <w:noWrap w:val="0"/>
            <w:vAlign w:val="center"/>
          </w:tcPr>
          <w:p w14:paraId="3863DC57">
            <w:pPr>
              <w:pStyle w:val="48"/>
              <w:spacing w:beforeLines="0" w:afterLines="0" w:line="240" w:lineRule="auto"/>
              <w:rPr>
                <w:rFonts w:hint="default" w:ascii="Times New Roman" w:hAnsi="Times New Roman" w:cs="Times New Roman"/>
                <w:snapToGrid w:val="0"/>
                <w:color w:val="auto"/>
                <w:kern w:val="21"/>
                <w:szCs w:val="21"/>
              </w:rPr>
            </w:pPr>
          </w:p>
        </w:tc>
        <w:tc>
          <w:tcPr>
            <w:tcW w:w="1125" w:type="dxa"/>
            <w:gridSpan w:val="2"/>
            <w:vMerge w:val="continue"/>
            <w:noWrap w:val="0"/>
            <w:vAlign w:val="center"/>
          </w:tcPr>
          <w:p w14:paraId="7F5551BE">
            <w:pPr>
              <w:pStyle w:val="48"/>
              <w:spacing w:beforeLines="0" w:afterLines="0" w:line="240" w:lineRule="auto"/>
              <w:rPr>
                <w:rFonts w:hint="eastAsia" w:ascii="Times New Roman" w:cs="Times New Roman"/>
                <w:snapToGrid w:val="0"/>
                <w:color w:val="auto"/>
                <w:kern w:val="21"/>
                <w:szCs w:val="21"/>
                <w:lang w:val="en-US" w:eastAsia="zh-CN"/>
              </w:rPr>
            </w:pPr>
          </w:p>
        </w:tc>
        <w:tc>
          <w:tcPr>
            <w:tcW w:w="1316" w:type="dxa"/>
            <w:shd w:val="clear" w:color="auto" w:fill="auto"/>
            <w:noWrap w:val="0"/>
            <w:vAlign w:val="center"/>
          </w:tcPr>
          <w:p w14:paraId="06A9F97D">
            <w:pPr>
              <w:spacing w:line="320" w:lineRule="exact"/>
              <w:jc w:val="center"/>
              <w:rPr>
                <w:rFonts w:hint="eastAsia" w:ascii="Times New Roman" w:hAnsi="Times New Roman" w:eastAsia="宋体" w:cs="Times New Roman"/>
                <w:snapToGrid w:val="0"/>
                <w:color w:val="auto"/>
                <w:kern w:val="21"/>
                <w:sz w:val="21"/>
                <w:szCs w:val="21"/>
                <w:lang w:val="en-US" w:eastAsia="zh-CN" w:bidi="ar-SA"/>
              </w:rPr>
            </w:pPr>
            <w:r>
              <w:rPr>
                <w:rFonts w:hint="eastAsia"/>
                <w:color w:val="auto"/>
                <w:lang w:val="en-US" w:eastAsia="zh-CN"/>
              </w:rPr>
              <w:t>非甲烷总烃</w:t>
            </w:r>
          </w:p>
        </w:tc>
        <w:tc>
          <w:tcPr>
            <w:tcW w:w="1701" w:type="dxa"/>
            <w:shd w:val="clear" w:color="auto" w:fill="auto"/>
            <w:noWrap w:val="0"/>
            <w:vAlign w:val="center"/>
          </w:tcPr>
          <w:p w14:paraId="25D2915D">
            <w:pPr>
              <w:pStyle w:val="11"/>
              <w:spacing w:line="320" w:lineRule="exact"/>
              <w:ind w:firstLine="0" w:firstLineChars="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0.0062</w:t>
            </w:r>
          </w:p>
        </w:tc>
        <w:tc>
          <w:tcPr>
            <w:tcW w:w="1276" w:type="dxa"/>
            <w:noWrap w:val="0"/>
            <w:vAlign w:val="center"/>
          </w:tcPr>
          <w:p w14:paraId="27B288F2">
            <w:pPr>
              <w:pStyle w:val="48"/>
              <w:spacing w:beforeLines="0" w:afterLines="0" w:line="240" w:lineRule="auto"/>
              <w:rPr>
                <w:rFonts w:hint="default" w:ascii="Times New Roman" w:hAnsi="Times New Roman" w:cs="Times New Roman"/>
                <w:snapToGrid w:val="0"/>
                <w:color w:val="auto"/>
                <w:kern w:val="21"/>
                <w:szCs w:val="21"/>
              </w:rPr>
            </w:pPr>
          </w:p>
        </w:tc>
        <w:tc>
          <w:tcPr>
            <w:tcW w:w="1701" w:type="dxa"/>
            <w:noWrap w:val="0"/>
            <w:vAlign w:val="center"/>
          </w:tcPr>
          <w:p w14:paraId="7A2151F7">
            <w:pPr>
              <w:pStyle w:val="48"/>
              <w:spacing w:beforeLines="0" w:afterLines="0" w:line="240" w:lineRule="auto"/>
              <w:rPr>
                <w:rFonts w:hint="default" w:ascii="Times New Roman" w:hAnsi="Times New Roman" w:cs="Times New Roman"/>
                <w:snapToGrid w:val="0"/>
                <w:color w:val="auto"/>
                <w:kern w:val="21"/>
                <w:szCs w:val="21"/>
              </w:rPr>
            </w:pPr>
          </w:p>
        </w:tc>
        <w:tc>
          <w:tcPr>
            <w:tcW w:w="1559" w:type="dxa"/>
            <w:shd w:val="clear" w:color="auto" w:fill="auto"/>
            <w:noWrap w:val="0"/>
            <w:vAlign w:val="center"/>
          </w:tcPr>
          <w:p w14:paraId="061BAB32">
            <w:pPr>
              <w:pStyle w:val="11"/>
              <w:spacing w:line="320" w:lineRule="exact"/>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0</w:t>
            </w:r>
          </w:p>
        </w:tc>
        <w:tc>
          <w:tcPr>
            <w:tcW w:w="1761" w:type="dxa"/>
            <w:shd w:val="clear" w:color="auto" w:fill="auto"/>
            <w:noWrap w:val="0"/>
            <w:vAlign w:val="center"/>
          </w:tcPr>
          <w:p w14:paraId="409DBED2">
            <w:pPr>
              <w:pStyle w:val="11"/>
              <w:spacing w:line="320" w:lineRule="exact"/>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0</w:t>
            </w:r>
          </w:p>
        </w:tc>
        <w:tc>
          <w:tcPr>
            <w:tcW w:w="1796" w:type="dxa"/>
            <w:shd w:val="clear" w:color="auto" w:fill="auto"/>
            <w:noWrap w:val="0"/>
            <w:vAlign w:val="center"/>
          </w:tcPr>
          <w:p w14:paraId="1EC954EB">
            <w:pPr>
              <w:pStyle w:val="11"/>
              <w:spacing w:line="320" w:lineRule="exact"/>
              <w:ind w:firstLine="0" w:firstLineChars="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0.0062</w:t>
            </w:r>
          </w:p>
        </w:tc>
        <w:tc>
          <w:tcPr>
            <w:tcW w:w="989" w:type="dxa"/>
            <w:shd w:val="clear" w:color="auto" w:fill="auto"/>
            <w:noWrap w:val="0"/>
            <w:vAlign w:val="center"/>
          </w:tcPr>
          <w:p w14:paraId="02D060E8">
            <w:pPr>
              <w:pStyle w:val="11"/>
              <w:spacing w:line="320" w:lineRule="exact"/>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0</w:t>
            </w:r>
          </w:p>
        </w:tc>
      </w:tr>
      <w:tr w14:paraId="6B0A62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564" w:type="dxa"/>
            <w:vMerge w:val="restart"/>
            <w:noWrap w:val="0"/>
            <w:vAlign w:val="center"/>
          </w:tcPr>
          <w:p w14:paraId="69E8115B">
            <w:pPr>
              <w:pStyle w:val="48"/>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废水</w:t>
            </w:r>
          </w:p>
        </w:tc>
        <w:tc>
          <w:tcPr>
            <w:tcW w:w="2441" w:type="dxa"/>
            <w:gridSpan w:val="3"/>
            <w:noWrap w:val="0"/>
            <w:vAlign w:val="center"/>
          </w:tcPr>
          <w:p w14:paraId="1C5A44B2">
            <w:pPr>
              <w:autoSpaceDE w:val="0"/>
              <w:autoSpaceDN w:val="0"/>
              <w:adjustRightInd w:val="0"/>
              <w:spacing w:line="240" w:lineRule="auto"/>
              <w:ind w:firstLine="0" w:firstLineChars="0"/>
              <w:jc w:val="center"/>
              <w:rPr>
                <w:rFonts w:hint="default" w:ascii="Times New Roman" w:hAnsi="Times New Roman" w:eastAsia="宋体" w:cs="Times New Roman"/>
                <w:color w:val="auto"/>
                <w:kern w:val="2"/>
                <w:sz w:val="21"/>
                <w:szCs w:val="24"/>
                <w:lang w:val="en-US" w:eastAsia="zh-CN" w:bidi="ar-SA"/>
              </w:rPr>
            </w:pPr>
            <w:r>
              <w:rPr>
                <w:rFonts w:hint="eastAsia"/>
                <w:color w:val="auto"/>
                <w:lang w:eastAsia="zh-CN"/>
              </w:rPr>
              <w:t>废水量</w:t>
            </w:r>
          </w:p>
        </w:tc>
        <w:tc>
          <w:tcPr>
            <w:tcW w:w="1701" w:type="dxa"/>
            <w:shd w:val="clear" w:color="auto" w:fill="auto"/>
            <w:noWrap w:val="0"/>
            <w:vAlign w:val="center"/>
          </w:tcPr>
          <w:p w14:paraId="19C6E57F">
            <w:pPr>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507440</w:t>
            </w:r>
          </w:p>
        </w:tc>
        <w:tc>
          <w:tcPr>
            <w:tcW w:w="1276" w:type="dxa"/>
            <w:noWrap w:val="0"/>
            <w:vAlign w:val="center"/>
          </w:tcPr>
          <w:p w14:paraId="589CCBB9">
            <w:pPr>
              <w:pStyle w:val="48"/>
              <w:spacing w:beforeLines="0" w:afterLines="0" w:line="240" w:lineRule="auto"/>
              <w:rPr>
                <w:rFonts w:hint="default" w:ascii="Times New Roman" w:hAnsi="Times New Roman" w:cs="Times New Roman"/>
                <w:snapToGrid w:val="0"/>
                <w:color w:val="auto"/>
                <w:kern w:val="21"/>
                <w:szCs w:val="21"/>
              </w:rPr>
            </w:pPr>
          </w:p>
        </w:tc>
        <w:tc>
          <w:tcPr>
            <w:tcW w:w="1701" w:type="dxa"/>
            <w:noWrap w:val="0"/>
            <w:vAlign w:val="center"/>
          </w:tcPr>
          <w:p w14:paraId="53836322">
            <w:pPr>
              <w:pStyle w:val="48"/>
              <w:spacing w:beforeLines="0" w:afterLines="0" w:line="240" w:lineRule="auto"/>
              <w:rPr>
                <w:rFonts w:hint="default" w:ascii="Times New Roman" w:hAnsi="Times New Roman" w:cs="Times New Roman"/>
                <w:snapToGrid w:val="0"/>
                <w:color w:val="auto"/>
                <w:kern w:val="21"/>
                <w:szCs w:val="21"/>
              </w:rPr>
            </w:pPr>
          </w:p>
        </w:tc>
        <w:tc>
          <w:tcPr>
            <w:tcW w:w="1559" w:type="dxa"/>
            <w:noWrap w:val="0"/>
            <w:vAlign w:val="center"/>
          </w:tcPr>
          <w:p w14:paraId="4946F952">
            <w:pPr>
              <w:pStyle w:val="48"/>
              <w:spacing w:beforeLines="0" w:afterLines="0"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0</w:t>
            </w:r>
          </w:p>
        </w:tc>
        <w:tc>
          <w:tcPr>
            <w:tcW w:w="1761" w:type="dxa"/>
            <w:noWrap w:val="0"/>
            <w:vAlign w:val="center"/>
          </w:tcPr>
          <w:p w14:paraId="40F7B5E5">
            <w:pPr>
              <w:pStyle w:val="48"/>
              <w:spacing w:beforeLines="0" w:afterLines="0" w:line="240" w:lineRule="auto"/>
              <w:rPr>
                <w:rFonts w:hint="default" w:ascii="Times New Roman" w:hAnsi="Times New Roman" w:eastAsia="宋体" w:cs="Times New Roman"/>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0</w:t>
            </w:r>
          </w:p>
        </w:tc>
        <w:tc>
          <w:tcPr>
            <w:tcW w:w="1796" w:type="dxa"/>
            <w:shd w:val="clear" w:color="auto" w:fill="auto"/>
            <w:noWrap w:val="0"/>
            <w:vAlign w:val="center"/>
          </w:tcPr>
          <w:p w14:paraId="7469BF23">
            <w:pPr>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507440</w:t>
            </w:r>
          </w:p>
        </w:tc>
        <w:tc>
          <w:tcPr>
            <w:tcW w:w="989" w:type="dxa"/>
            <w:shd w:val="clear" w:color="auto" w:fill="auto"/>
            <w:noWrap w:val="0"/>
            <w:vAlign w:val="center"/>
          </w:tcPr>
          <w:p w14:paraId="1E50B8BF">
            <w:pPr>
              <w:pStyle w:val="48"/>
              <w:spacing w:beforeLines="0" w:afterLines="0" w:line="240" w:lineRule="auto"/>
              <w:rPr>
                <w:rFonts w:hint="default" w:ascii="Times New Roman" w:hAnsi="Times New Roman" w:eastAsia="宋体" w:cs="Times New Roman"/>
                <w:color w:val="auto"/>
                <w:spacing w:val="-12"/>
                <w:kern w:val="2"/>
                <w:sz w:val="21"/>
                <w:szCs w:val="21"/>
                <w:lang w:val="en-US" w:eastAsia="zh-CN" w:bidi="ar-SA"/>
              </w:rPr>
            </w:pPr>
            <w:r>
              <w:rPr>
                <w:rFonts w:hint="eastAsia" w:ascii="Times New Roman" w:hAnsi="Times New Roman" w:cs="Times New Roman"/>
                <w:color w:val="auto"/>
                <w:kern w:val="2"/>
                <w:sz w:val="21"/>
                <w:szCs w:val="21"/>
                <w:lang w:val="en-US" w:eastAsia="zh-CN" w:bidi="ar-SA"/>
              </w:rPr>
              <w:t>0</w:t>
            </w:r>
          </w:p>
        </w:tc>
      </w:tr>
      <w:tr w14:paraId="2C1F5B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64" w:type="dxa"/>
            <w:vMerge w:val="continue"/>
            <w:noWrap w:val="0"/>
            <w:vAlign w:val="center"/>
          </w:tcPr>
          <w:p w14:paraId="6CD23A4D">
            <w:pPr>
              <w:pStyle w:val="48"/>
              <w:spacing w:beforeLines="0" w:afterLines="0" w:line="240" w:lineRule="auto"/>
              <w:rPr>
                <w:rFonts w:hint="default" w:ascii="Times New Roman" w:hAnsi="Times New Roman" w:cs="Times New Roman"/>
                <w:snapToGrid w:val="0"/>
                <w:color w:val="auto"/>
                <w:kern w:val="21"/>
                <w:szCs w:val="21"/>
              </w:rPr>
            </w:pPr>
          </w:p>
        </w:tc>
        <w:tc>
          <w:tcPr>
            <w:tcW w:w="2441" w:type="dxa"/>
            <w:gridSpan w:val="3"/>
            <w:noWrap w:val="0"/>
            <w:vAlign w:val="center"/>
          </w:tcPr>
          <w:p w14:paraId="0A8D90B4">
            <w:pPr>
              <w:autoSpaceDE w:val="0"/>
              <w:autoSpaceDN w:val="0"/>
              <w:adjustRightInd w:val="0"/>
              <w:spacing w:line="240" w:lineRule="auto"/>
              <w:ind w:firstLine="0" w:firstLineChars="0"/>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COD</w:t>
            </w:r>
          </w:p>
        </w:tc>
        <w:tc>
          <w:tcPr>
            <w:tcW w:w="1701" w:type="dxa"/>
            <w:shd w:val="clear" w:color="auto" w:fill="auto"/>
            <w:noWrap w:val="0"/>
            <w:vAlign w:val="center"/>
          </w:tcPr>
          <w:p w14:paraId="15955D1C">
            <w:pPr>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51</w:t>
            </w:r>
          </w:p>
        </w:tc>
        <w:tc>
          <w:tcPr>
            <w:tcW w:w="1276" w:type="dxa"/>
            <w:noWrap w:val="0"/>
            <w:vAlign w:val="center"/>
          </w:tcPr>
          <w:p w14:paraId="5C9E3B9E">
            <w:pPr>
              <w:pStyle w:val="48"/>
              <w:spacing w:beforeLines="0" w:afterLines="0" w:line="240" w:lineRule="auto"/>
              <w:rPr>
                <w:rFonts w:hint="default" w:ascii="Times New Roman" w:hAnsi="Times New Roman" w:cs="Times New Roman"/>
                <w:snapToGrid w:val="0"/>
                <w:color w:val="auto"/>
                <w:kern w:val="21"/>
                <w:szCs w:val="21"/>
              </w:rPr>
            </w:pPr>
          </w:p>
        </w:tc>
        <w:tc>
          <w:tcPr>
            <w:tcW w:w="1701" w:type="dxa"/>
            <w:noWrap w:val="0"/>
            <w:vAlign w:val="center"/>
          </w:tcPr>
          <w:p w14:paraId="58DAAED6">
            <w:pPr>
              <w:pStyle w:val="48"/>
              <w:spacing w:beforeLines="0" w:afterLines="0" w:line="240" w:lineRule="auto"/>
              <w:rPr>
                <w:rFonts w:hint="default" w:ascii="Times New Roman" w:hAnsi="Times New Roman" w:cs="Times New Roman"/>
                <w:snapToGrid w:val="0"/>
                <w:color w:val="auto"/>
                <w:kern w:val="21"/>
                <w:szCs w:val="21"/>
              </w:rPr>
            </w:pPr>
          </w:p>
        </w:tc>
        <w:tc>
          <w:tcPr>
            <w:tcW w:w="1559" w:type="dxa"/>
            <w:shd w:val="clear" w:color="auto" w:fill="auto"/>
            <w:noWrap w:val="0"/>
            <w:vAlign w:val="center"/>
          </w:tcPr>
          <w:p w14:paraId="3D7E6BB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w:t>
            </w:r>
          </w:p>
        </w:tc>
        <w:tc>
          <w:tcPr>
            <w:tcW w:w="1761" w:type="dxa"/>
            <w:noWrap w:val="0"/>
            <w:vAlign w:val="center"/>
          </w:tcPr>
          <w:p w14:paraId="0AD9CF25">
            <w:pPr>
              <w:pStyle w:val="48"/>
              <w:spacing w:beforeLines="0" w:afterLines="0" w:line="240" w:lineRule="auto"/>
              <w:rPr>
                <w:rFonts w:hint="eastAsia" w:ascii="Times New Roman" w:hAnsi="Times New Roman" w:eastAsia="宋体" w:cs="Times New Roman"/>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0</w:t>
            </w:r>
          </w:p>
        </w:tc>
        <w:tc>
          <w:tcPr>
            <w:tcW w:w="1796" w:type="dxa"/>
            <w:shd w:val="clear" w:color="auto" w:fill="auto"/>
            <w:noWrap w:val="0"/>
            <w:vAlign w:val="center"/>
          </w:tcPr>
          <w:p w14:paraId="78124B3F">
            <w:pPr>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51</w:t>
            </w:r>
          </w:p>
        </w:tc>
        <w:tc>
          <w:tcPr>
            <w:tcW w:w="989" w:type="dxa"/>
            <w:shd w:val="clear" w:color="auto" w:fill="auto"/>
            <w:noWrap w:val="0"/>
            <w:vAlign w:val="center"/>
          </w:tcPr>
          <w:p w14:paraId="5431A1B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w:t>
            </w:r>
          </w:p>
        </w:tc>
      </w:tr>
      <w:tr w14:paraId="79D074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64" w:type="dxa"/>
            <w:vMerge w:val="continue"/>
            <w:noWrap w:val="0"/>
            <w:vAlign w:val="center"/>
          </w:tcPr>
          <w:p w14:paraId="73911A73">
            <w:pPr>
              <w:pStyle w:val="48"/>
              <w:spacing w:beforeLines="0" w:afterLines="0" w:line="240" w:lineRule="auto"/>
              <w:rPr>
                <w:rFonts w:hint="default" w:ascii="Times New Roman" w:hAnsi="Times New Roman" w:cs="Times New Roman"/>
                <w:snapToGrid w:val="0"/>
                <w:color w:val="auto"/>
                <w:kern w:val="21"/>
                <w:szCs w:val="21"/>
              </w:rPr>
            </w:pPr>
          </w:p>
        </w:tc>
        <w:tc>
          <w:tcPr>
            <w:tcW w:w="2441" w:type="dxa"/>
            <w:gridSpan w:val="3"/>
            <w:noWrap w:val="0"/>
            <w:vAlign w:val="center"/>
          </w:tcPr>
          <w:p w14:paraId="19746DFA">
            <w:pPr>
              <w:autoSpaceDE w:val="0"/>
              <w:autoSpaceDN w:val="0"/>
              <w:adjustRightInd w:val="0"/>
              <w:spacing w:line="240" w:lineRule="auto"/>
              <w:ind w:firstLine="0" w:firstLineChars="0"/>
              <w:jc w:val="center"/>
              <w:rPr>
                <w:rFonts w:hint="default"/>
                <w:color w:val="auto"/>
                <w:lang w:val="en-US" w:eastAsia="zh-CN"/>
              </w:rPr>
            </w:pPr>
            <w:r>
              <w:rPr>
                <w:rFonts w:hint="eastAsia"/>
                <w:color w:val="auto"/>
                <w:lang w:val="en-US" w:eastAsia="zh-CN"/>
              </w:rPr>
              <w:t>SS</w:t>
            </w:r>
          </w:p>
        </w:tc>
        <w:tc>
          <w:tcPr>
            <w:tcW w:w="1701" w:type="dxa"/>
            <w:shd w:val="clear" w:color="auto" w:fill="auto"/>
            <w:noWrap w:val="0"/>
            <w:vAlign w:val="center"/>
          </w:tcPr>
          <w:p w14:paraId="28371EF0">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35.73</w:t>
            </w:r>
          </w:p>
        </w:tc>
        <w:tc>
          <w:tcPr>
            <w:tcW w:w="1276" w:type="dxa"/>
            <w:noWrap w:val="0"/>
            <w:vAlign w:val="center"/>
          </w:tcPr>
          <w:p w14:paraId="781C4CD2">
            <w:pPr>
              <w:pStyle w:val="48"/>
              <w:spacing w:beforeLines="0" w:afterLines="0" w:line="240" w:lineRule="auto"/>
              <w:rPr>
                <w:rFonts w:hint="default" w:ascii="Times New Roman" w:hAnsi="Times New Roman" w:cs="Times New Roman"/>
                <w:snapToGrid w:val="0"/>
                <w:color w:val="auto"/>
                <w:kern w:val="21"/>
                <w:szCs w:val="21"/>
              </w:rPr>
            </w:pPr>
          </w:p>
        </w:tc>
        <w:tc>
          <w:tcPr>
            <w:tcW w:w="1701" w:type="dxa"/>
            <w:noWrap w:val="0"/>
            <w:vAlign w:val="center"/>
          </w:tcPr>
          <w:p w14:paraId="38470243">
            <w:pPr>
              <w:pStyle w:val="48"/>
              <w:spacing w:beforeLines="0" w:afterLines="0" w:line="240" w:lineRule="auto"/>
              <w:rPr>
                <w:rFonts w:hint="default" w:ascii="Times New Roman" w:hAnsi="Times New Roman" w:cs="Times New Roman"/>
                <w:snapToGrid w:val="0"/>
                <w:color w:val="auto"/>
                <w:kern w:val="21"/>
                <w:szCs w:val="21"/>
              </w:rPr>
            </w:pPr>
          </w:p>
        </w:tc>
        <w:tc>
          <w:tcPr>
            <w:tcW w:w="1559" w:type="dxa"/>
            <w:shd w:val="clear" w:color="auto" w:fill="auto"/>
            <w:noWrap w:val="0"/>
            <w:vAlign w:val="center"/>
          </w:tcPr>
          <w:p w14:paraId="2DABAEE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0</w:t>
            </w:r>
          </w:p>
        </w:tc>
        <w:tc>
          <w:tcPr>
            <w:tcW w:w="1761" w:type="dxa"/>
            <w:noWrap w:val="0"/>
            <w:vAlign w:val="center"/>
          </w:tcPr>
          <w:p w14:paraId="1C889061">
            <w:pPr>
              <w:pStyle w:val="48"/>
              <w:spacing w:beforeLines="0" w:afterLines="0" w:line="240" w:lineRule="auto"/>
              <w:rPr>
                <w:rFonts w:hint="eastAsia" w:ascii="Times New Roman" w:hAnsi="Times New Roman" w:eastAsia="宋体" w:cs="Times New Roman"/>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0</w:t>
            </w:r>
          </w:p>
        </w:tc>
        <w:tc>
          <w:tcPr>
            <w:tcW w:w="1796" w:type="dxa"/>
            <w:shd w:val="clear" w:color="auto" w:fill="auto"/>
            <w:noWrap w:val="0"/>
            <w:vAlign w:val="center"/>
          </w:tcPr>
          <w:p w14:paraId="268D1AE1">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35.73</w:t>
            </w:r>
          </w:p>
        </w:tc>
        <w:tc>
          <w:tcPr>
            <w:tcW w:w="989" w:type="dxa"/>
            <w:shd w:val="clear" w:color="auto" w:fill="auto"/>
            <w:noWrap w:val="0"/>
            <w:vAlign w:val="center"/>
          </w:tcPr>
          <w:p w14:paraId="28E6B89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0</w:t>
            </w:r>
          </w:p>
        </w:tc>
      </w:tr>
      <w:tr w14:paraId="052E25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64" w:type="dxa"/>
            <w:vMerge w:val="continue"/>
            <w:noWrap w:val="0"/>
            <w:vAlign w:val="center"/>
          </w:tcPr>
          <w:p w14:paraId="36E0076A">
            <w:pPr>
              <w:pStyle w:val="48"/>
              <w:spacing w:beforeLines="0" w:afterLines="0" w:line="240" w:lineRule="auto"/>
              <w:rPr>
                <w:rFonts w:hint="default" w:ascii="Times New Roman" w:hAnsi="Times New Roman" w:cs="Times New Roman"/>
                <w:snapToGrid w:val="0"/>
                <w:color w:val="auto"/>
                <w:kern w:val="21"/>
                <w:szCs w:val="21"/>
              </w:rPr>
            </w:pPr>
          </w:p>
        </w:tc>
        <w:tc>
          <w:tcPr>
            <w:tcW w:w="2441" w:type="dxa"/>
            <w:gridSpan w:val="3"/>
            <w:noWrap w:val="0"/>
            <w:vAlign w:val="center"/>
          </w:tcPr>
          <w:p w14:paraId="3F8185D4">
            <w:pPr>
              <w:autoSpaceDE w:val="0"/>
              <w:autoSpaceDN w:val="0"/>
              <w:adjustRightInd w:val="0"/>
              <w:spacing w:line="240" w:lineRule="auto"/>
              <w:ind w:firstLine="0" w:firstLineChars="0"/>
              <w:jc w:val="center"/>
              <w:rPr>
                <w:rFonts w:hint="default" w:ascii="Times New Roman" w:hAnsi="Times New Roman" w:eastAsia="宋体" w:cs="Times New Roman"/>
                <w:color w:val="auto"/>
                <w:kern w:val="2"/>
                <w:sz w:val="21"/>
                <w:szCs w:val="24"/>
                <w:lang w:val="en-US" w:eastAsia="zh-CN" w:bidi="ar-SA"/>
              </w:rPr>
            </w:pPr>
            <w:r>
              <w:rPr>
                <w:rFonts w:hint="eastAsia"/>
                <w:color w:val="auto"/>
                <w:lang w:eastAsia="zh-CN"/>
              </w:rPr>
              <w:t>氨氮</w:t>
            </w:r>
          </w:p>
        </w:tc>
        <w:tc>
          <w:tcPr>
            <w:tcW w:w="1701" w:type="dxa"/>
            <w:shd w:val="clear" w:color="auto" w:fill="auto"/>
            <w:noWrap w:val="0"/>
            <w:vAlign w:val="center"/>
          </w:tcPr>
          <w:p w14:paraId="79C8E0F2">
            <w:pPr>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10.2</w:t>
            </w:r>
          </w:p>
        </w:tc>
        <w:tc>
          <w:tcPr>
            <w:tcW w:w="1276" w:type="dxa"/>
            <w:noWrap w:val="0"/>
            <w:vAlign w:val="center"/>
          </w:tcPr>
          <w:p w14:paraId="0C54E32A">
            <w:pPr>
              <w:pStyle w:val="48"/>
              <w:spacing w:beforeLines="0" w:afterLines="0" w:line="240" w:lineRule="auto"/>
              <w:rPr>
                <w:rFonts w:hint="default" w:ascii="Times New Roman" w:hAnsi="Times New Roman" w:cs="Times New Roman"/>
                <w:snapToGrid w:val="0"/>
                <w:color w:val="auto"/>
                <w:kern w:val="21"/>
                <w:szCs w:val="21"/>
              </w:rPr>
            </w:pPr>
          </w:p>
        </w:tc>
        <w:tc>
          <w:tcPr>
            <w:tcW w:w="1701" w:type="dxa"/>
            <w:noWrap w:val="0"/>
            <w:vAlign w:val="center"/>
          </w:tcPr>
          <w:p w14:paraId="66BB6277">
            <w:pPr>
              <w:pStyle w:val="48"/>
              <w:spacing w:beforeLines="0" w:afterLines="0" w:line="240" w:lineRule="auto"/>
              <w:rPr>
                <w:rFonts w:hint="default" w:ascii="Times New Roman" w:hAnsi="Times New Roman" w:cs="Times New Roman"/>
                <w:snapToGrid w:val="0"/>
                <w:color w:val="auto"/>
                <w:kern w:val="21"/>
                <w:szCs w:val="21"/>
              </w:rPr>
            </w:pPr>
          </w:p>
        </w:tc>
        <w:tc>
          <w:tcPr>
            <w:tcW w:w="1559" w:type="dxa"/>
            <w:shd w:val="clear" w:color="auto" w:fill="auto"/>
            <w:noWrap w:val="0"/>
            <w:vAlign w:val="center"/>
          </w:tcPr>
          <w:p w14:paraId="7E58EAC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w:t>
            </w:r>
          </w:p>
        </w:tc>
        <w:tc>
          <w:tcPr>
            <w:tcW w:w="1761" w:type="dxa"/>
            <w:noWrap w:val="0"/>
            <w:vAlign w:val="center"/>
          </w:tcPr>
          <w:p w14:paraId="69040309">
            <w:pPr>
              <w:pStyle w:val="48"/>
              <w:spacing w:beforeLines="0" w:afterLines="0" w:line="240" w:lineRule="auto"/>
              <w:rPr>
                <w:rFonts w:hint="eastAsia" w:ascii="Times New Roman" w:hAnsi="Times New Roman" w:eastAsia="宋体" w:cs="Times New Roman"/>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0</w:t>
            </w:r>
          </w:p>
        </w:tc>
        <w:tc>
          <w:tcPr>
            <w:tcW w:w="1796" w:type="dxa"/>
            <w:shd w:val="clear" w:color="auto" w:fill="auto"/>
            <w:noWrap w:val="0"/>
            <w:vAlign w:val="center"/>
          </w:tcPr>
          <w:p w14:paraId="330995E2">
            <w:pPr>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10.2</w:t>
            </w:r>
          </w:p>
        </w:tc>
        <w:tc>
          <w:tcPr>
            <w:tcW w:w="989" w:type="dxa"/>
            <w:shd w:val="clear" w:color="auto" w:fill="auto"/>
            <w:noWrap w:val="0"/>
            <w:vAlign w:val="center"/>
          </w:tcPr>
          <w:p w14:paraId="2FC9F23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w:t>
            </w:r>
          </w:p>
        </w:tc>
      </w:tr>
      <w:tr w14:paraId="06D36B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564" w:type="dxa"/>
            <w:vMerge w:val="continue"/>
            <w:noWrap w:val="0"/>
            <w:vAlign w:val="center"/>
          </w:tcPr>
          <w:p w14:paraId="4F59FCE7">
            <w:pPr>
              <w:pStyle w:val="48"/>
              <w:spacing w:beforeLines="0" w:afterLines="0" w:line="240" w:lineRule="auto"/>
              <w:rPr>
                <w:rFonts w:hint="default" w:ascii="Times New Roman" w:hAnsi="Times New Roman" w:cs="Times New Roman"/>
                <w:snapToGrid w:val="0"/>
                <w:color w:val="auto"/>
                <w:kern w:val="21"/>
                <w:szCs w:val="21"/>
              </w:rPr>
            </w:pPr>
          </w:p>
        </w:tc>
        <w:tc>
          <w:tcPr>
            <w:tcW w:w="2441" w:type="dxa"/>
            <w:gridSpan w:val="3"/>
            <w:noWrap w:val="0"/>
            <w:vAlign w:val="center"/>
          </w:tcPr>
          <w:p w14:paraId="7FF23514">
            <w:pPr>
              <w:autoSpaceDE w:val="0"/>
              <w:autoSpaceDN w:val="0"/>
              <w:adjustRightInd w:val="0"/>
              <w:spacing w:line="240" w:lineRule="auto"/>
              <w:ind w:firstLine="0" w:firstLineChars="0"/>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TP</w:t>
            </w:r>
          </w:p>
        </w:tc>
        <w:tc>
          <w:tcPr>
            <w:tcW w:w="1701" w:type="dxa"/>
            <w:shd w:val="clear" w:color="auto" w:fill="auto"/>
            <w:noWrap w:val="0"/>
            <w:vAlign w:val="center"/>
          </w:tcPr>
          <w:p w14:paraId="2B38FA86">
            <w:pPr>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0.76</w:t>
            </w:r>
          </w:p>
        </w:tc>
        <w:tc>
          <w:tcPr>
            <w:tcW w:w="1276" w:type="dxa"/>
            <w:noWrap w:val="0"/>
            <w:vAlign w:val="center"/>
          </w:tcPr>
          <w:p w14:paraId="3A8AF6C2">
            <w:pPr>
              <w:pStyle w:val="48"/>
              <w:spacing w:beforeLines="0" w:afterLines="0" w:line="240" w:lineRule="auto"/>
              <w:rPr>
                <w:rFonts w:hint="default" w:ascii="Times New Roman" w:hAnsi="Times New Roman" w:cs="Times New Roman"/>
                <w:snapToGrid w:val="0"/>
                <w:color w:val="auto"/>
                <w:kern w:val="21"/>
                <w:szCs w:val="21"/>
              </w:rPr>
            </w:pPr>
          </w:p>
        </w:tc>
        <w:tc>
          <w:tcPr>
            <w:tcW w:w="1701" w:type="dxa"/>
            <w:noWrap w:val="0"/>
            <w:vAlign w:val="center"/>
          </w:tcPr>
          <w:p w14:paraId="7360A3D9">
            <w:pPr>
              <w:pStyle w:val="48"/>
              <w:spacing w:beforeLines="0" w:afterLines="0" w:line="240" w:lineRule="auto"/>
              <w:rPr>
                <w:rFonts w:hint="default" w:ascii="Times New Roman" w:hAnsi="Times New Roman" w:cs="Times New Roman"/>
                <w:snapToGrid w:val="0"/>
                <w:color w:val="auto"/>
                <w:kern w:val="21"/>
                <w:szCs w:val="21"/>
              </w:rPr>
            </w:pPr>
          </w:p>
        </w:tc>
        <w:tc>
          <w:tcPr>
            <w:tcW w:w="1559" w:type="dxa"/>
            <w:shd w:val="clear" w:color="auto" w:fill="auto"/>
            <w:noWrap w:val="0"/>
            <w:vAlign w:val="center"/>
          </w:tcPr>
          <w:p w14:paraId="34AAEB8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w:t>
            </w:r>
          </w:p>
        </w:tc>
        <w:tc>
          <w:tcPr>
            <w:tcW w:w="1761" w:type="dxa"/>
            <w:noWrap w:val="0"/>
            <w:vAlign w:val="center"/>
          </w:tcPr>
          <w:p w14:paraId="2071F198">
            <w:pPr>
              <w:pStyle w:val="48"/>
              <w:spacing w:beforeLines="0" w:afterLines="0" w:line="240" w:lineRule="auto"/>
              <w:rPr>
                <w:rFonts w:hint="eastAsia" w:ascii="Times New Roman" w:hAnsi="Times New Roman" w:eastAsia="宋体" w:cs="Times New Roman"/>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0</w:t>
            </w:r>
          </w:p>
        </w:tc>
        <w:tc>
          <w:tcPr>
            <w:tcW w:w="1796" w:type="dxa"/>
            <w:shd w:val="clear" w:color="auto" w:fill="auto"/>
            <w:noWrap w:val="0"/>
            <w:vAlign w:val="center"/>
          </w:tcPr>
          <w:p w14:paraId="0B3B3D4F">
            <w:pPr>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0.76</w:t>
            </w:r>
          </w:p>
        </w:tc>
        <w:tc>
          <w:tcPr>
            <w:tcW w:w="989" w:type="dxa"/>
            <w:shd w:val="clear" w:color="auto" w:fill="auto"/>
            <w:noWrap w:val="0"/>
            <w:vAlign w:val="center"/>
          </w:tcPr>
          <w:p w14:paraId="5AE9BF0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w:t>
            </w:r>
          </w:p>
        </w:tc>
      </w:tr>
      <w:tr w14:paraId="0CE167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64" w:type="dxa"/>
            <w:vMerge w:val="continue"/>
            <w:noWrap w:val="0"/>
            <w:vAlign w:val="center"/>
          </w:tcPr>
          <w:p w14:paraId="03C086AB">
            <w:pPr>
              <w:pStyle w:val="48"/>
              <w:spacing w:beforeLines="0" w:afterLines="0" w:line="240" w:lineRule="auto"/>
              <w:rPr>
                <w:rFonts w:hint="default" w:ascii="Times New Roman" w:hAnsi="Times New Roman" w:cs="Times New Roman"/>
                <w:snapToGrid w:val="0"/>
                <w:color w:val="auto"/>
                <w:kern w:val="21"/>
                <w:szCs w:val="21"/>
              </w:rPr>
            </w:pPr>
          </w:p>
        </w:tc>
        <w:tc>
          <w:tcPr>
            <w:tcW w:w="2441" w:type="dxa"/>
            <w:gridSpan w:val="3"/>
            <w:noWrap w:val="0"/>
            <w:vAlign w:val="center"/>
          </w:tcPr>
          <w:p w14:paraId="04F42730">
            <w:pPr>
              <w:autoSpaceDE w:val="0"/>
              <w:autoSpaceDN w:val="0"/>
              <w:adjustRightInd w:val="0"/>
              <w:spacing w:line="240" w:lineRule="auto"/>
              <w:ind w:firstLine="0" w:firstLineChars="0"/>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TN</w:t>
            </w:r>
          </w:p>
        </w:tc>
        <w:tc>
          <w:tcPr>
            <w:tcW w:w="1701" w:type="dxa"/>
            <w:shd w:val="clear" w:color="auto" w:fill="auto"/>
            <w:noWrap w:val="0"/>
            <w:vAlign w:val="center"/>
          </w:tcPr>
          <w:p w14:paraId="383B9D52">
            <w:pPr>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15.3</w:t>
            </w:r>
          </w:p>
        </w:tc>
        <w:tc>
          <w:tcPr>
            <w:tcW w:w="1276" w:type="dxa"/>
            <w:noWrap w:val="0"/>
            <w:vAlign w:val="center"/>
          </w:tcPr>
          <w:p w14:paraId="72460DDB">
            <w:pPr>
              <w:pStyle w:val="48"/>
              <w:spacing w:beforeLines="0" w:afterLines="0" w:line="240" w:lineRule="auto"/>
              <w:rPr>
                <w:rFonts w:hint="default" w:ascii="Times New Roman" w:hAnsi="Times New Roman" w:cs="Times New Roman"/>
                <w:snapToGrid w:val="0"/>
                <w:color w:val="auto"/>
                <w:kern w:val="21"/>
                <w:szCs w:val="21"/>
              </w:rPr>
            </w:pPr>
          </w:p>
        </w:tc>
        <w:tc>
          <w:tcPr>
            <w:tcW w:w="1701" w:type="dxa"/>
            <w:noWrap w:val="0"/>
            <w:vAlign w:val="center"/>
          </w:tcPr>
          <w:p w14:paraId="2D4D4493">
            <w:pPr>
              <w:pStyle w:val="48"/>
              <w:spacing w:beforeLines="0" w:afterLines="0" w:line="240" w:lineRule="auto"/>
              <w:rPr>
                <w:rFonts w:hint="default" w:ascii="Times New Roman" w:hAnsi="Times New Roman" w:cs="Times New Roman"/>
                <w:snapToGrid w:val="0"/>
                <w:color w:val="auto"/>
                <w:kern w:val="21"/>
                <w:szCs w:val="21"/>
              </w:rPr>
            </w:pPr>
          </w:p>
        </w:tc>
        <w:tc>
          <w:tcPr>
            <w:tcW w:w="1559" w:type="dxa"/>
            <w:shd w:val="clear" w:color="auto" w:fill="auto"/>
            <w:noWrap w:val="0"/>
            <w:vAlign w:val="center"/>
          </w:tcPr>
          <w:p w14:paraId="64849AA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w:t>
            </w:r>
          </w:p>
        </w:tc>
        <w:tc>
          <w:tcPr>
            <w:tcW w:w="1761" w:type="dxa"/>
            <w:noWrap w:val="0"/>
            <w:vAlign w:val="center"/>
          </w:tcPr>
          <w:p w14:paraId="49A8696B">
            <w:pPr>
              <w:pStyle w:val="48"/>
              <w:spacing w:beforeLines="0" w:afterLines="0" w:line="240" w:lineRule="auto"/>
              <w:rPr>
                <w:rFonts w:hint="eastAsia" w:ascii="Times New Roman" w:hAnsi="Times New Roman" w:eastAsia="宋体" w:cs="Times New Roman"/>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0</w:t>
            </w:r>
          </w:p>
        </w:tc>
        <w:tc>
          <w:tcPr>
            <w:tcW w:w="1796" w:type="dxa"/>
            <w:shd w:val="clear" w:color="auto" w:fill="auto"/>
            <w:noWrap w:val="0"/>
            <w:vAlign w:val="center"/>
          </w:tcPr>
          <w:p w14:paraId="34BD9A02">
            <w:pPr>
              <w:spacing w:line="240" w:lineRule="auto"/>
              <w:ind w:firstLine="0" w:firstLineChars="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15.3</w:t>
            </w:r>
          </w:p>
        </w:tc>
        <w:tc>
          <w:tcPr>
            <w:tcW w:w="989" w:type="dxa"/>
            <w:shd w:val="clear" w:color="auto" w:fill="auto"/>
            <w:noWrap w:val="0"/>
            <w:vAlign w:val="center"/>
          </w:tcPr>
          <w:p w14:paraId="1F74B1A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w:t>
            </w:r>
          </w:p>
        </w:tc>
      </w:tr>
      <w:tr w14:paraId="51F58A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02" w:type="dxa"/>
            <w:gridSpan w:val="2"/>
            <w:vMerge w:val="restart"/>
            <w:noWrap w:val="0"/>
            <w:vAlign w:val="center"/>
          </w:tcPr>
          <w:p w14:paraId="44E6BCE9">
            <w:pPr>
              <w:pStyle w:val="48"/>
              <w:spacing w:beforeLines="0" w:afterLines="0" w:line="240" w:lineRule="auto"/>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snapToGrid w:val="0"/>
                <w:color w:val="auto"/>
                <w:kern w:val="21"/>
                <w:szCs w:val="21"/>
              </w:rPr>
              <w:t>一般固体废物</w:t>
            </w:r>
          </w:p>
        </w:tc>
        <w:tc>
          <w:tcPr>
            <w:tcW w:w="1503" w:type="dxa"/>
            <w:gridSpan w:val="2"/>
            <w:noWrap w:val="0"/>
            <w:vAlign w:val="center"/>
          </w:tcPr>
          <w:p w14:paraId="65C56EDA">
            <w:pPr>
              <w:pStyle w:val="48"/>
              <w:spacing w:beforeLines="0" w:afterLines="0" w:line="240" w:lineRule="auto"/>
              <w:jc w:val="center"/>
              <w:rPr>
                <w:rFonts w:hint="eastAsia" w:ascii="Times New Roman" w:hAnsi="Times New Roman" w:eastAsia="宋体" w:cs="Times New Roman"/>
                <w:snapToGrid w:val="0"/>
                <w:color w:val="auto"/>
                <w:kern w:val="21"/>
                <w:szCs w:val="21"/>
                <w:lang w:eastAsia="zh-CN"/>
              </w:rPr>
            </w:pPr>
            <w:r>
              <w:rPr>
                <w:rFonts w:hint="eastAsia" w:ascii="Times New Roman" w:hAnsi="Times New Roman" w:cs="Times New Roman"/>
                <w:snapToGrid w:val="0"/>
                <w:color w:val="auto"/>
                <w:kern w:val="21"/>
                <w:szCs w:val="21"/>
                <w:lang w:eastAsia="zh-CN"/>
              </w:rPr>
              <w:t>污泥</w:t>
            </w:r>
          </w:p>
        </w:tc>
        <w:tc>
          <w:tcPr>
            <w:tcW w:w="1701" w:type="dxa"/>
            <w:noWrap w:val="0"/>
            <w:vAlign w:val="center"/>
          </w:tcPr>
          <w:p w14:paraId="3ACE5C4B">
            <w:pPr>
              <w:pStyle w:val="48"/>
              <w:spacing w:beforeLines="0" w:afterLines="0" w:line="240" w:lineRule="auto"/>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900</w:t>
            </w:r>
          </w:p>
        </w:tc>
        <w:tc>
          <w:tcPr>
            <w:tcW w:w="1276" w:type="dxa"/>
            <w:noWrap w:val="0"/>
            <w:vAlign w:val="center"/>
          </w:tcPr>
          <w:p w14:paraId="3B52CD71">
            <w:pPr>
              <w:pStyle w:val="48"/>
              <w:spacing w:beforeLines="0" w:afterLines="0" w:line="240" w:lineRule="auto"/>
              <w:rPr>
                <w:rFonts w:hint="default" w:ascii="Times New Roman" w:hAnsi="Times New Roman" w:cs="Times New Roman"/>
                <w:snapToGrid w:val="0"/>
                <w:color w:val="auto"/>
                <w:kern w:val="21"/>
                <w:szCs w:val="21"/>
              </w:rPr>
            </w:pPr>
          </w:p>
        </w:tc>
        <w:tc>
          <w:tcPr>
            <w:tcW w:w="1701" w:type="dxa"/>
            <w:noWrap w:val="0"/>
            <w:vAlign w:val="center"/>
          </w:tcPr>
          <w:p w14:paraId="16830530">
            <w:pPr>
              <w:keepNext w:val="0"/>
              <w:keepLines w:val="0"/>
              <w:suppressLineNumbers w:val="0"/>
              <w:spacing w:before="100" w:beforeAutospacing="1" w:after="100" w:afterAutospacing="1"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p>
        </w:tc>
        <w:tc>
          <w:tcPr>
            <w:tcW w:w="1559" w:type="dxa"/>
            <w:shd w:val="clear" w:color="auto" w:fill="auto"/>
            <w:noWrap w:val="0"/>
            <w:vAlign w:val="center"/>
          </w:tcPr>
          <w:p w14:paraId="48014BF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w:t>
            </w:r>
          </w:p>
        </w:tc>
        <w:tc>
          <w:tcPr>
            <w:tcW w:w="1761" w:type="dxa"/>
            <w:noWrap w:val="0"/>
            <w:vAlign w:val="center"/>
          </w:tcPr>
          <w:p w14:paraId="2E8E2202">
            <w:pPr>
              <w:pStyle w:val="48"/>
              <w:spacing w:beforeLines="0" w:afterLines="0" w:line="240" w:lineRule="auto"/>
              <w:rPr>
                <w:rFonts w:hint="default" w:ascii="Times New Roman" w:hAnsi="Times New Roman" w:eastAsia="宋体" w:cs="Times New Roman"/>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0</w:t>
            </w:r>
          </w:p>
        </w:tc>
        <w:tc>
          <w:tcPr>
            <w:tcW w:w="1796" w:type="dxa"/>
            <w:shd w:val="clear" w:color="auto" w:fill="auto"/>
            <w:noWrap w:val="0"/>
            <w:vAlign w:val="center"/>
          </w:tcPr>
          <w:p w14:paraId="36C346A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900</w:t>
            </w:r>
          </w:p>
        </w:tc>
        <w:tc>
          <w:tcPr>
            <w:tcW w:w="989" w:type="dxa"/>
            <w:shd w:val="clear" w:color="auto" w:fill="auto"/>
            <w:noWrap w:val="0"/>
            <w:vAlign w:val="center"/>
          </w:tcPr>
          <w:p w14:paraId="0614DA8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w:t>
            </w:r>
          </w:p>
        </w:tc>
      </w:tr>
      <w:tr w14:paraId="2EF961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02" w:type="dxa"/>
            <w:gridSpan w:val="2"/>
            <w:vMerge w:val="continue"/>
            <w:noWrap w:val="0"/>
            <w:vAlign w:val="center"/>
          </w:tcPr>
          <w:p w14:paraId="179ADD45">
            <w:pPr>
              <w:pStyle w:val="48"/>
              <w:spacing w:beforeLines="0" w:afterLines="0" w:line="240" w:lineRule="auto"/>
              <w:jc w:val="center"/>
              <w:rPr>
                <w:rFonts w:hint="default" w:ascii="Times New Roman" w:hAnsi="Times New Roman" w:cs="Times New Roman"/>
                <w:snapToGrid w:val="0"/>
                <w:color w:val="auto"/>
                <w:kern w:val="21"/>
                <w:szCs w:val="21"/>
              </w:rPr>
            </w:pPr>
          </w:p>
        </w:tc>
        <w:tc>
          <w:tcPr>
            <w:tcW w:w="1503" w:type="dxa"/>
            <w:gridSpan w:val="2"/>
            <w:shd w:val="clear" w:color="auto" w:fill="auto"/>
            <w:noWrap w:val="0"/>
            <w:vAlign w:val="center"/>
          </w:tcPr>
          <w:p w14:paraId="126EFEDA">
            <w:pPr>
              <w:pStyle w:val="49"/>
              <w:spacing w:before="100" w:beforeAutospacing="1" w:after="100" w:afterAutospacing="1" w:line="240" w:lineRule="auto"/>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color w:val="auto"/>
                <w:sz w:val="21"/>
                <w:szCs w:val="21"/>
                <w:lang w:val="en-US" w:eastAsia="zh-CN"/>
              </w:rPr>
              <w:t>炉渣</w:t>
            </w:r>
          </w:p>
        </w:tc>
        <w:tc>
          <w:tcPr>
            <w:tcW w:w="1701" w:type="dxa"/>
            <w:noWrap w:val="0"/>
            <w:vAlign w:val="center"/>
          </w:tcPr>
          <w:p w14:paraId="0F2077D2">
            <w:pPr>
              <w:pStyle w:val="48"/>
              <w:spacing w:beforeLines="0" w:afterLines="0" w:line="240" w:lineRule="auto"/>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0</w:t>
            </w:r>
          </w:p>
        </w:tc>
        <w:tc>
          <w:tcPr>
            <w:tcW w:w="1276" w:type="dxa"/>
            <w:noWrap w:val="0"/>
            <w:vAlign w:val="center"/>
          </w:tcPr>
          <w:p w14:paraId="0C3D9F9B">
            <w:pPr>
              <w:pStyle w:val="48"/>
              <w:spacing w:beforeLines="0" w:afterLines="0" w:line="240" w:lineRule="auto"/>
              <w:rPr>
                <w:rFonts w:hint="default" w:ascii="Times New Roman" w:hAnsi="Times New Roman" w:cs="Times New Roman"/>
                <w:snapToGrid w:val="0"/>
                <w:color w:val="auto"/>
                <w:kern w:val="21"/>
                <w:szCs w:val="21"/>
              </w:rPr>
            </w:pPr>
          </w:p>
        </w:tc>
        <w:tc>
          <w:tcPr>
            <w:tcW w:w="1701" w:type="dxa"/>
            <w:noWrap w:val="0"/>
            <w:vAlign w:val="center"/>
          </w:tcPr>
          <w:p w14:paraId="473BA566">
            <w:pPr>
              <w:keepNext w:val="0"/>
              <w:keepLines w:val="0"/>
              <w:suppressLineNumbers w:val="0"/>
              <w:spacing w:before="100" w:beforeAutospacing="1" w:after="100" w:afterAutospacing="1"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p>
        </w:tc>
        <w:tc>
          <w:tcPr>
            <w:tcW w:w="1559" w:type="dxa"/>
            <w:shd w:val="clear" w:color="auto" w:fill="auto"/>
            <w:noWrap w:val="0"/>
            <w:vAlign w:val="center"/>
          </w:tcPr>
          <w:p w14:paraId="3900FED5">
            <w:pPr>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291.165</w:t>
            </w:r>
          </w:p>
        </w:tc>
        <w:tc>
          <w:tcPr>
            <w:tcW w:w="1761" w:type="dxa"/>
            <w:noWrap w:val="0"/>
            <w:vAlign w:val="center"/>
          </w:tcPr>
          <w:p w14:paraId="3B249078">
            <w:pPr>
              <w:pStyle w:val="48"/>
              <w:spacing w:beforeLines="0" w:afterLines="0" w:line="240" w:lineRule="auto"/>
              <w:rPr>
                <w:rFonts w:hint="default" w:ascii="Times New Roman" w:hAnsi="Times New Roman" w:eastAsia="宋体" w:cs="Times New Roman"/>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0</w:t>
            </w:r>
          </w:p>
        </w:tc>
        <w:tc>
          <w:tcPr>
            <w:tcW w:w="1796" w:type="dxa"/>
            <w:shd w:val="clear" w:color="auto" w:fill="auto"/>
            <w:noWrap w:val="0"/>
            <w:vAlign w:val="center"/>
          </w:tcPr>
          <w:p w14:paraId="69C331F2">
            <w:pPr>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291.165</w:t>
            </w:r>
          </w:p>
        </w:tc>
        <w:tc>
          <w:tcPr>
            <w:tcW w:w="989" w:type="dxa"/>
            <w:shd w:val="clear" w:color="auto" w:fill="auto"/>
            <w:noWrap w:val="0"/>
            <w:vAlign w:val="center"/>
          </w:tcPr>
          <w:p w14:paraId="37C25690">
            <w:pPr>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+291.165</w:t>
            </w:r>
          </w:p>
        </w:tc>
      </w:tr>
      <w:tr w14:paraId="05E074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02" w:type="dxa"/>
            <w:gridSpan w:val="2"/>
            <w:vMerge w:val="continue"/>
            <w:noWrap w:val="0"/>
            <w:vAlign w:val="center"/>
          </w:tcPr>
          <w:p w14:paraId="5B64AE34">
            <w:pPr>
              <w:pStyle w:val="48"/>
              <w:spacing w:beforeLines="0" w:afterLines="0" w:line="240" w:lineRule="auto"/>
              <w:jc w:val="center"/>
              <w:rPr>
                <w:rFonts w:hint="default" w:ascii="Times New Roman" w:hAnsi="Times New Roman" w:cs="Times New Roman"/>
                <w:snapToGrid w:val="0"/>
                <w:color w:val="auto"/>
                <w:kern w:val="21"/>
                <w:szCs w:val="21"/>
              </w:rPr>
            </w:pPr>
          </w:p>
        </w:tc>
        <w:tc>
          <w:tcPr>
            <w:tcW w:w="1503" w:type="dxa"/>
            <w:gridSpan w:val="2"/>
            <w:shd w:val="clear" w:color="auto" w:fill="auto"/>
            <w:noWrap w:val="0"/>
            <w:vAlign w:val="center"/>
          </w:tcPr>
          <w:p w14:paraId="2AD49625">
            <w:pPr>
              <w:pStyle w:val="49"/>
              <w:spacing w:before="100" w:beforeAutospacing="1" w:after="100" w:afterAutospacing="1" w:line="240" w:lineRule="auto"/>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除尘灰</w:t>
            </w:r>
          </w:p>
        </w:tc>
        <w:tc>
          <w:tcPr>
            <w:tcW w:w="1701" w:type="dxa"/>
            <w:noWrap w:val="0"/>
            <w:vAlign w:val="center"/>
          </w:tcPr>
          <w:p w14:paraId="473D73CC">
            <w:pPr>
              <w:pStyle w:val="48"/>
              <w:spacing w:beforeLines="0" w:afterLines="0" w:line="240" w:lineRule="auto"/>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0</w:t>
            </w:r>
          </w:p>
        </w:tc>
        <w:tc>
          <w:tcPr>
            <w:tcW w:w="1276" w:type="dxa"/>
            <w:noWrap w:val="0"/>
            <w:vAlign w:val="center"/>
          </w:tcPr>
          <w:p w14:paraId="18C6573B">
            <w:pPr>
              <w:pStyle w:val="48"/>
              <w:spacing w:beforeLines="0" w:afterLines="0" w:line="240" w:lineRule="auto"/>
              <w:rPr>
                <w:rFonts w:hint="default" w:ascii="Times New Roman" w:hAnsi="Times New Roman" w:cs="Times New Roman"/>
                <w:snapToGrid w:val="0"/>
                <w:color w:val="auto"/>
                <w:kern w:val="21"/>
                <w:szCs w:val="21"/>
              </w:rPr>
            </w:pPr>
          </w:p>
        </w:tc>
        <w:tc>
          <w:tcPr>
            <w:tcW w:w="1701" w:type="dxa"/>
            <w:noWrap w:val="0"/>
            <w:vAlign w:val="center"/>
          </w:tcPr>
          <w:p w14:paraId="28F17BD3">
            <w:pPr>
              <w:keepNext w:val="0"/>
              <w:keepLines w:val="0"/>
              <w:suppressLineNumbers w:val="0"/>
              <w:spacing w:before="100" w:beforeAutospacing="1" w:after="100" w:afterAutospacing="1"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p>
        </w:tc>
        <w:tc>
          <w:tcPr>
            <w:tcW w:w="1559" w:type="dxa"/>
            <w:shd w:val="clear" w:color="auto" w:fill="auto"/>
            <w:noWrap w:val="0"/>
            <w:vAlign w:val="center"/>
          </w:tcPr>
          <w:p w14:paraId="365F7AA7">
            <w:pPr>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0.2276</w:t>
            </w:r>
          </w:p>
        </w:tc>
        <w:tc>
          <w:tcPr>
            <w:tcW w:w="1761" w:type="dxa"/>
            <w:noWrap w:val="0"/>
            <w:vAlign w:val="center"/>
          </w:tcPr>
          <w:p w14:paraId="150945D6">
            <w:pPr>
              <w:pStyle w:val="48"/>
              <w:spacing w:beforeLines="0" w:afterLines="0" w:line="240" w:lineRule="auto"/>
              <w:rPr>
                <w:rFonts w:hint="default" w:ascii="Times New Roman" w:hAnsi="Times New Roman" w:eastAsia="宋体" w:cs="Times New Roman"/>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0</w:t>
            </w:r>
          </w:p>
        </w:tc>
        <w:tc>
          <w:tcPr>
            <w:tcW w:w="1796" w:type="dxa"/>
            <w:shd w:val="clear" w:color="auto" w:fill="auto"/>
            <w:noWrap w:val="0"/>
            <w:vAlign w:val="center"/>
          </w:tcPr>
          <w:p w14:paraId="5B1DDDBF">
            <w:pPr>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0.2276</w:t>
            </w:r>
          </w:p>
        </w:tc>
        <w:tc>
          <w:tcPr>
            <w:tcW w:w="989" w:type="dxa"/>
            <w:shd w:val="clear" w:color="auto" w:fill="auto"/>
            <w:noWrap w:val="0"/>
            <w:vAlign w:val="center"/>
          </w:tcPr>
          <w:p w14:paraId="66601D2D">
            <w:pPr>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+0.2276</w:t>
            </w:r>
          </w:p>
        </w:tc>
      </w:tr>
      <w:tr w14:paraId="40425E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02" w:type="dxa"/>
            <w:gridSpan w:val="2"/>
            <w:vMerge w:val="continue"/>
            <w:noWrap w:val="0"/>
            <w:vAlign w:val="center"/>
          </w:tcPr>
          <w:p w14:paraId="46DF132D">
            <w:pPr>
              <w:pStyle w:val="48"/>
              <w:spacing w:beforeLines="0" w:afterLines="0" w:line="240" w:lineRule="auto"/>
              <w:jc w:val="center"/>
              <w:rPr>
                <w:rFonts w:hint="default" w:ascii="Times New Roman" w:hAnsi="Times New Roman" w:cs="Times New Roman"/>
                <w:snapToGrid w:val="0"/>
                <w:color w:val="auto"/>
                <w:kern w:val="21"/>
                <w:szCs w:val="21"/>
              </w:rPr>
            </w:pPr>
          </w:p>
        </w:tc>
        <w:tc>
          <w:tcPr>
            <w:tcW w:w="1503" w:type="dxa"/>
            <w:gridSpan w:val="2"/>
            <w:shd w:val="clear" w:color="auto" w:fill="auto"/>
            <w:noWrap w:val="0"/>
            <w:vAlign w:val="center"/>
          </w:tcPr>
          <w:p w14:paraId="2EA41399">
            <w:pPr>
              <w:pStyle w:val="49"/>
              <w:spacing w:before="100" w:beforeAutospacing="1" w:after="100" w:afterAutospacing="1" w:line="240" w:lineRule="auto"/>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color w:val="auto"/>
                <w:sz w:val="21"/>
                <w:szCs w:val="21"/>
                <w:lang w:val="en-US" w:eastAsia="zh-CN"/>
              </w:rPr>
              <w:t>废布袋</w:t>
            </w:r>
          </w:p>
        </w:tc>
        <w:tc>
          <w:tcPr>
            <w:tcW w:w="1701" w:type="dxa"/>
            <w:noWrap w:val="0"/>
            <w:vAlign w:val="center"/>
          </w:tcPr>
          <w:p w14:paraId="53752220">
            <w:pPr>
              <w:pStyle w:val="48"/>
              <w:spacing w:beforeLines="0" w:afterLines="0" w:line="240" w:lineRule="auto"/>
              <w:rPr>
                <w:rFonts w:hint="default" w:ascii="Times New Roman" w:hAnsi="Times New Roman"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0</w:t>
            </w:r>
          </w:p>
        </w:tc>
        <w:tc>
          <w:tcPr>
            <w:tcW w:w="1276" w:type="dxa"/>
            <w:noWrap w:val="0"/>
            <w:vAlign w:val="center"/>
          </w:tcPr>
          <w:p w14:paraId="073A1189">
            <w:pPr>
              <w:pStyle w:val="48"/>
              <w:spacing w:beforeLines="0" w:afterLines="0" w:line="240" w:lineRule="auto"/>
              <w:rPr>
                <w:rFonts w:hint="default" w:ascii="Times New Roman" w:hAnsi="Times New Roman" w:cs="Times New Roman"/>
                <w:snapToGrid w:val="0"/>
                <w:color w:val="auto"/>
                <w:kern w:val="21"/>
                <w:szCs w:val="21"/>
              </w:rPr>
            </w:pPr>
          </w:p>
        </w:tc>
        <w:tc>
          <w:tcPr>
            <w:tcW w:w="1701" w:type="dxa"/>
            <w:noWrap w:val="0"/>
            <w:vAlign w:val="center"/>
          </w:tcPr>
          <w:p w14:paraId="4C25199C">
            <w:pPr>
              <w:keepNext w:val="0"/>
              <w:keepLines w:val="0"/>
              <w:suppressLineNumbers w:val="0"/>
              <w:spacing w:before="100" w:beforeAutospacing="1" w:after="100" w:afterAutospacing="1"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p>
        </w:tc>
        <w:tc>
          <w:tcPr>
            <w:tcW w:w="1559" w:type="dxa"/>
            <w:shd w:val="clear" w:color="auto" w:fill="auto"/>
            <w:noWrap w:val="0"/>
            <w:vAlign w:val="center"/>
          </w:tcPr>
          <w:p w14:paraId="599999E6">
            <w:pPr>
              <w:keepNext w:val="0"/>
              <w:keepLines w:val="0"/>
              <w:pageBreakBefore w:val="0"/>
              <w:kinsoku/>
              <w:wordWrap/>
              <w:overflowPunct/>
              <w:topLinePunct w:val="0"/>
              <w:autoSpaceDE/>
              <w:autoSpaceDN/>
              <w:bidi w:val="0"/>
              <w:spacing w:line="240" w:lineRule="auto"/>
              <w:ind w:firstLine="0" w:firstLine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0.2</w:t>
            </w:r>
          </w:p>
        </w:tc>
        <w:tc>
          <w:tcPr>
            <w:tcW w:w="1761" w:type="dxa"/>
            <w:noWrap w:val="0"/>
            <w:vAlign w:val="center"/>
          </w:tcPr>
          <w:p w14:paraId="50EB05AC">
            <w:pPr>
              <w:pStyle w:val="48"/>
              <w:spacing w:beforeLines="0" w:afterLines="0" w:line="240" w:lineRule="auto"/>
              <w:rPr>
                <w:rFonts w:hint="eastAsia" w:ascii="Times New Roman" w:hAnsi="Times New Roman" w:cs="Times New Roman"/>
                <w:snapToGrid w:val="0"/>
                <w:color w:val="auto"/>
                <w:kern w:val="21"/>
                <w:szCs w:val="21"/>
                <w:lang w:val="en-US" w:eastAsia="zh-CN"/>
              </w:rPr>
            </w:pPr>
          </w:p>
        </w:tc>
        <w:tc>
          <w:tcPr>
            <w:tcW w:w="1796" w:type="dxa"/>
            <w:shd w:val="clear" w:color="auto" w:fill="auto"/>
            <w:noWrap w:val="0"/>
            <w:vAlign w:val="center"/>
          </w:tcPr>
          <w:p w14:paraId="3551FF78">
            <w:pPr>
              <w:keepNext w:val="0"/>
              <w:keepLines w:val="0"/>
              <w:pageBreakBefore w:val="0"/>
              <w:kinsoku/>
              <w:wordWrap/>
              <w:overflowPunct/>
              <w:topLinePunct w:val="0"/>
              <w:autoSpaceDE/>
              <w:autoSpaceDN/>
              <w:bidi w:val="0"/>
              <w:spacing w:line="240" w:lineRule="auto"/>
              <w:ind w:firstLine="0" w:firstLine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0.2</w:t>
            </w:r>
          </w:p>
        </w:tc>
        <w:tc>
          <w:tcPr>
            <w:tcW w:w="989" w:type="dxa"/>
            <w:shd w:val="clear" w:color="auto" w:fill="auto"/>
            <w:noWrap w:val="0"/>
            <w:vAlign w:val="center"/>
          </w:tcPr>
          <w:p w14:paraId="09693391">
            <w:pPr>
              <w:keepNext w:val="0"/>
              <w:keepLines w:val="0"/>
              <w:pageBreakBefore w:val="0"/>
              <w:kinsoku/>
              <w:wordWrap/>
              <w:overflowPunct/>
              <w:topLinePunct w:val="0"/>
              <w:autoSpaceDE/>
              <w:autoSpaceDN/>
              <w:bidi w:val="0"/>
              <w:spacing w:line="240" w:lineRule="auto"/>
              <w:ind w:firstLine="0" w:firstLine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+0.2</w:t>
            </w:r>
          </w:p>
        </w:tc>
      </w:tr>
      <w:tr w14:paraId="1A10FB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02" w:type="dxa"/>
            <w:gridSpan w:val="2"/>
            <w:vMerge w:val="continue"/>
            <w:noWrap w:val="0"/>
            <w:vAlign w:val="center"/>
          </w:tcPr>
          <w:p w14:paraId="49B47038">
            <w:pPr>
              <w:pStyle w:val="48"/>
              <w:spacing w:beforeLines="0" w:afterLines="0" w:line="240" w:lineRule="auto"/>
              <w:jc w:val="center"/>
              <w:rPr>
                <w:rFonts w:hint="default" w:ascii="Times New Roman" w:hAnsi="Times New Roman" w:cs="Times New Roman"/>
                <w:snapToGrid w:val="0"/>
                <w:color w:val="auto"/>
                <w:kern w:val="21"/>
                <w:szCs w:val="21"/>
              </w:rPr>
            </w:pPr>
          </w:p>
        </w:tc>
        <w:tc>
          <w:tcPr>
            <w:tcW w:w="1503" w:type="dxa"/>
            <w:gridSpan w:val="2"/>
            <w:shd w:val="clear" w:color="auto" w:fill="auto"/>
            <w:noWrap w:val="0"/>
            <w:vAlign w:val="center"/>
          </w:tcPr>
          <w:p w14:paraId="3CA3838F">
            <w:pPr>
              <w:pStyle w:val="49"/>
              <w:spacing w:before="100" w:beforeAutospacing="1" w:after="100" w:afterAutospacing="1" w:line="240" w:lineRule="auto"/>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color w:val="auto"/>
                <w:sz w:val="21"/>
                <w:szCs w:val="21"/>
                <w:lang w:val="en-US" w:eastAsia="zh-CN"/>
              </w:rPr>
              <w:t>废包装材料</w:t>
            </w:r>
          </w:p>
        </w:tc>
        <w:tc>
          <w:tcPr>
            <w:tcW w:w="1701" w:type="dxa"/>
            <w:noWrap w:val="0"/>
            <w:vAlign w:val="center"/>
          </w:tcPr>
          <w:p w14:paraId="6C42C23E">
            <w:pPr>
              <w:pStyle w:val="48"/>
              <w:spacing w:beforeLines="0" w:afterLines="0" w:line="240" w:lineRule="auto"/>
              <w:rPr>
                <w:rFonts w:hint="default" w:ascii="Times New Roman" w:hAnsi="Times New Roman"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0</w:t>
            </w:r>
          </w:p>
        </w:tc>
        <w:tc>
          <w:tcPr>
            <w:tcW w:w="1276" w:type="dxa"/>
            <w:noWrap w:val="0"/>
            <w:vAlign w:val="center"/>
          </w:tcPr>
          <w:p w14:paraId="0D52988B">
            <w:pPr>
              <w:pStyle w:val="48"/>
              <w:spacing w:beforeLines="0" w:afterLines="0" w:line="240" w:lineRule="auto"/>
              <w:rPr>
                <w:rFonts w:hint="default" w:ascii="Times New Roman" w:hAnsi="Times New Roman" w:cs="Times New Roman"/>
                <w:snapToGrid w:val="0"/>
                <w:color w:val="auto"/>
                <w:kern w:val="21"/>
                <w:szCs w:val="21"/>
              </w:rPr>
            </w:pPr>
          </w:p>
        </w:tc>
        <w:tc>
          <w:tcPr>
            <w:tcW w:w="1701" w:type="dxa"/>
            <w:noWrap w:val="0"/>
            <w:vAlign w:val="center"/>
          </w:tcPr>
          <w:p w14:paraId="78F6E783">
            <w:pPr>
              <w:keepNext w:val="0"/>
              <w:keepLines w:val="0"/>
              <w:suppressLineNumbers w:val="0"/>
              <w:spacing w:before="100" w:beforeAutospacing="1" w:after="100" w:afterAutospacing="1"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p>
        </w:tc>
        <w:tc>
          <w:tcPr>
            <w:tcW w:w="1559" w:type="dxa"/>
            <w:shd w:val="clear" w:color="auto" w:fill="auto"/>
            <w:noWrap w:val="0"/>
            <w:vAlign w:val="center"/>
          </w:tcPr>
          <w:p w14:paraId="1109754F">
            <w:pPr>
              <w:keepNext w:val="0"/>
              <w:keepLines w:val="0"/>
              <w:pageBreakBefore w:val="0"/>
              <w:kinsoku/>
              <w:wordWrap/>
              <w:overflowPunct/>
              <w:topLinePunct w:val="0"/>
              <w:autoSpaceDE/>
              <w:autoSpaceDN/>
              <w:bidi w:val="0"/>
              <w:spacing w:line="240" w:lineRule="auto"/>
              <w:ind w:firstLine="0" w:firstLineChars="0"/>
              <w:jc w:val="center"/>
              <w:rPr>
                <w:rFonts w:hint="eastAsia" w:ascii="Times New Roman" w:hAnsi="Times New Roman" w:eastAsia="宋体" w:cs="Times New Roman"/>
                <w:b w:val="0"/>
                <w:bCs w:val="0"/>
                <w:color w:val="000000"/>
                <w:kern w:val="2"/>
                <w:sz w:val="21"/>
                <w:szCs w:val="21"/>
                <w:lang w:val="en-US" w:eastAsia="zh-CN" w:bidi="ar-SA"/>
              </w:rPr>
            </w:pPr>
            <w:r>
              <w:rPr>
                <w:rFonts w:hint="eastAsia" w:cs="Times New Roman"/>
                <w:b w:val="0"/>
                <w:bCs w:val="0"/>
                <w:color w:val="000000"/>
                <w:sz w:val="21"/>
                <w:szCs w:val="21"/>
                <w:lang w:val="en-US" w:eastAsia="zh-CN"/>
              </w:rPr>
              <w:t>1</w:t>
            </w:r>
          </w:p>
        </w:tc>
        <w:tc>
          <w:tcPr>
            <w:tcW w:w="1761" w:type="dxa"/>
            <w:noWrap w:val="0"/>
            <w:vAlign w:val="center"/>
          </w:tcPr>
          <w:p w14:paraId="6E6ABE17">
            <w:pPr>
              <w:pStyle w:val="48"/>
              <w:spacing w:beforeLines="0" w:afterLines="0" w:line="240" w:lineRule="auto"/>
              <w:rPr>
                <w:rFonts w:hint="eastAsia" w:ascii="Times New Roman" w:hAnsi="Times New Roman" w:cs="Times New Roman"/>
                <w:snapToGrid w:val="0"/>
                <w:color w:val="auto"/>
                <w:kern w:val="21"/>
                <w:szCs w:val="21"/>
                <w:lang w:val="en-US" w:eastAsia="zh-CN"/>
              </w:rPr>
            </w:pPr>
          </w:p>
        </w:tc>
        <w:tc>
          <w:tcPr>
            <w:tcW w:w="1796" w:type="dxa"/>
            <w:shd w:val="clear" w:color="auto" w:fill="auto"/>
            <w:noWrap w:val="0"/>
            <w:vAlign w:val="center"/>
          </w:tcPr>
          <w:p w14:paraId="2BE57431">
            <w:pPr>
              <w:keepNext w:val="0"/>
              <w:keepLines w:val="0"/>
              <w:pageBreakBefore w:val="0"/>
              <w:kinsoku/>
              <w:wordWrap/>
              <w:overflowPunct/>
              <w:topLinePunct w:val="0"/>
              <w:autoSpaceDE/>
              <w:autoSpaceDN/>
              <w:bidi w:val="0"/>
              <w:spacing w:line="240" w:lineRule="auto"/>
              <w:ind w:firstLine="0" w:firstLineChars="0"/>
              <w:jc w:val="center"/>
              <w:rPr>
                <w:rFonts w:hint="eastAsia" w:ascii="Times New Roman" w:hAnsi="Times New Roman" w:eastAsia="宋体" w:cs="Times New Roman"/>
                <w:b w:val="0"/>
                <w:bCs w:val="0"/>
                <w:color w:val="000000"/>
                <w:kern w:val="2"/>
                <w:sz w:val="21"/>
                <w:szCs w:val="21"/>
                <w:lang w:val="en-US" w:eastAsia="zh-CN" w:bidi="ar-SA"/>
              </w:rPr>
            </w:pPr>
            <w:r>
              <w:rPr>
                <w:rFonts w:hint="eastAsia" w:cs="Times New Roman"/>
                <w:b w:val="0"/>
                <w:bCs w:val="0"/>
                <w:color w:val="000000"/>
                <w:sz w:val="21"/>
                <w:szCs w:val="21"/>
                <w:lang w:val="en-US" w:eastAsia="zh-CN"/>
              </w:rPr>
              <w:t>1</w:t>
            </w:r>
          </w:p>
        </w:tc>
        <w:tc>
          <w:tcPr>
            <w:tcW w:w="989" w:type="dxa"/>
            <w:shd w:val="clear" w:color="auto" w:fill="auto"/>
            <w:noWrap w:val="0"/>
            <w:vAlign w:val="center"/>
          </w:tcPr>
          <w:p w14:paraId="55644EAE">
            <w:pPr>
              <w:keepNext w:val="0"/>
              <w:keepLines w:val="0"/>
              <w:pageBreakBefore w:val="0"/>
              <w:kinsoku/>
              <w:wordWrap/>
              <w:overflowPunct/>
              <w:topLinePunct w:val="0"/>
              <w:autoSpaceDE/>
              <w:autoSpaceDN/>
              <w:bidi w:val="0"/>
              <w:spacing w:line="240" w:lineRule="auto"/>
              <w:ind w:firstLine="0" w:firstLineChars="0"/>
              <w:jc w:val="center"/>
              <w:rPr>
                <w:rFonts w:hint="eastAsia" w:ascii="Times New Roman" w:hAnsi="Times New Roman" w:eastAsia="宋体" w:cs="Times New Roman"/>
                <w:b w:val="0"/>
                <w:bCs w:val="0"/>
                <w:color w:val="000000"/>
                <w:kern w:val="2"/>
                <w:sz w:val="21"/>
                <w:szCs w:val="21"/>
                <w:lang w:val="en-US" w:eastAsia="zh-CN" w:bidi="ar-SA"/>
              </w:rPr>
            </w:pPr>
            <w:r>
              <w:rPr>
                <w:rFonts w:hint="eastAsia" w:cs="Times New Roman"/>
                <w:b w:val="0"/>
                <w:bCs w:val="0"/>
                <w:color w:val="000000"/>
                <w:sz w:val="21"/>
                <w:szCs w:val="21"/>
                <w:lang w:val="en-US" w:eastAsia="zh-CN"/>
              </w:rPr>
              <w:t>+1</w:t>
            </w:r>
          </w:p>
        </w:tc>
      </w:tr>
      <w:tr w14:paraId="00648F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02" w:type="dxa"/>
            <w:gridSpan w:val="2"/>
            <w:vMerge w:val="continue"/>
            <w:noWrap w:val="0"/>
            <w:vAlign w:val="center"/>
          </w:tcPr>
          <w:p w14:paraId="71D5E9AA">
            <w:pPr>
              <w:pStyle w:val="48"/>
              <w:spacing w:beforeLines="0" w:afterLines="0" w:line="240" w:lineRule="auto"/>
              <w:jc w:val="center"/>
              <w:rPr>
                <w:rFonts w:hint="default" w:ascii="Times New Roman" w:hAnsi="Times New Roman" w:cs="Times New Roman"/>
                <w:snapToGrid w:val="0"/>
                <w:color w:val="auto"/>
                <w:kern w:val="21"/>
                <w:szCs w:val="21"/>
              </w:rPr>
            </w:pPr>
          </w:p>
        </w:tc>
        <w:tc>
          <w:tcPr>
            <w:tcW w:w="1503" w:type="dxa"/>
            <w:gridSpan w:val="2"/>
            <w:shd w:val="clear" w:color="auto" w:fill="auto"/>
            <w:noWrap w:val="0"/>
            <w:vAlign w:val="center"/>
          </w:tcPr>
          <w:p w14:paraId="5FE8F1F5">
            <w:pPr>
              <w:pStyle w:val="49"/>
              <w:spacing w:before="100" w:beforeAutospacing="1" w:after="100" w:afterAutospacing="1" w:line="240" w:lineRule="auto"/>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color w:val="auto"/>
                <w:sz w:val="21"/>
                <w:szCs w:val="21"/>
                <w:lang w:val="en-US" w:eastAsia="zh-CN"/>
              </w:rPr>
              <w:t>脱硫石膏</w:t>
            </w:r>
          </w:p>
        </w:tc>
        <w:tc>
          <w:tcPr>
            <w:tcW w:w="1701" w:type="dxa"/>
            <w:noWrap w:val="0"/>
            <w:vAlign w:val="center"/>
          </w:tcPr>
          <w:p w14:paraId="10305374">
            <w:pPr>
              <w:pStyle w:val="48"/>
              <w:spacing w:beforeLines="0" w:afterLines="0" w:line="240" w:lineRule="auto"/>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0</w:t>
            </w:r>
          </w:p>
        </w:tc>
        <w:tc>
          <w:tcPr>
            <w:tcW w:w="1276" w:type="dxa"/>
            <w:noWrap w:val="0"/>
            <w:vAlign w:val="center"/>
          </w:tcPr>
          <w:p w14:paraId="6D9945E2">
            <w:pPr>
              <w:pStyle w:val="48"/>
              <w:spacing w:beforeLines="0" w:afterLines="0" w:line="240" w:lineRule="auto"/>
              <w:rPr>
                <w:rFonts w:hint="default" w:ascii="Times New Roman" w:hAnsi="Times New Roman" w:cs="Times New Roman"/>
                <w:snapToGrid w:val="0"/>
                <w:color w:val="auto"/>
                <w:kern w:val="21"/>
                <w:szCs w:val="21"/>
              </w:rPr>
            </w:pPr>
          </w:p>
        </w:tc>
        <w:tc>
          <w:tcPr>
            <w:tcW w:w="1701" w:type="dxa"/>
            <w:noWrap w:val="0"/>
            <w:vAlign w:val="center"/>
          </w:tcPr>
          <w:p w14:paraId="3264F6DE">
            <w:pPr>
              <w:keepNext w:val="0"/>
              <w:keepLines w:val="0"/>
              <w:suppressLineNumbers w:val="0"/>
              <w:spacing w:before="100" w:beforeAutospacing="1" w:after="100" w:afterAutospacing="1"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p>
        </w:tc>
        <w:tc>
          <w:tcPr>
            <w:tcW w:w="1559" w:type="dxa"/>
            <w:shd w:val="clear" w:color="auto" w:fill="auto"/>
            <w:noWrap w:val="0"/>
            <w:vAlign w:val="center"/>
          </w:tcPr>
          <w:p w14:paraId="2A445D38">
            <w:pPr>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b w:val="0"/>
                <w:bCs w:val="0"/>
                <w:color w:val="000000"/>
                <w:kern w:val="2"/>
                <w:sz w:val="21"/>
                <w:szCs w:val="21"/>
                <w:lang w:val="en-US" w:eastAsia="zh-CN" w:bidi="ar-SA"/>
              </w:rPr>
            </w:pPr>
            <w:r>
              <w:rPr>
                <w:rFonts w:hint="eastAsia" w:cs="Times New Roman"/>
                <w:b w:val="0"/>
                <w:bCs w:val="0"/>
                <w:color w:val="000000"/>
                <w:sz w:val="21"/>
                <w:szCs w:val="21"/>
                <w:lang w:val="en-US" w:eastAsia="zh-CN"/>
              </w:rPr>
              <w:t>0.241</w:t>
            </w:r>
          </w:p>
        </w:tc>
        <w:tc>
          <w:tcPr>
            <w:tcW w:w="1761" w:type="dxa"/>
            <w:noWrap w:val="0"/>
            <w:vAlign w:val="center"/>
          </w:tcPr>
          <w:p w14:paraId="4F6F79E1">
            <w:pPr>
              <w:pStyle w:val="48"/>
              <w:spacing w:beforeLines="0" w:afterLines="0" w:line="240" w:lineRule="auto"/>
              <w:rPr>
                <w:rFonts w:hint="default" w:ascii="Times New Roman" w:hAnsi="Times New Roman" w:eastAsia="宋体" w:cs="Times New Roman"/>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0</w:t>
            </w:r>
          </w:p>
        </w:tc>
        <w:tc>
          <w:tcPr>
            <w:tcW w:w="1796" w:type="dxa"/>
            <w:shd w:val="clear" w:color="auto" w:fill="auto"/>
            <w:noWrap w:val="0"/>
            <w:vAlign w:val="center"/>
          </w:tcPr>
          <w:p w14:paraId="6F853A06">
            <w:pPr>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b w:val="0"/>
                <w:bCs w:val="0"/>
                <w:color w:val="000000"/>
                <w:kern w:val="2"/>
                <w:sz w:val="21"/>
                <w:szCs w:val="21"/>
                <w:lang w:val="en-US" w:eastAsia="zh-CN" w:bidi="ar-SA"/>
              </w:rPr>
            </w:pPr>
            <w:r>
              <w:rPr>
                <w:rFonts w:hint="eastAsia" w:cs="Times New Roman"/>
                <w:b w:val="0"/>
                <w:bCs w:val="0"/>
                <w:color w:val="000000"/>
                <w:sz w:val="21"/>
                <w:szCs w:val="21"/>
                <w:lang w:val="en-US" w:eastAsia="zh-CN"/>
              </w:rPr>
              <w:t>0.241</w:t>
            </w:r>
          </w:p>
        </w:tc>
        <w:tc>
          <w:tcPr>
            <w:tcW w:w="989" w:type="dxa"/>
            <w:shd w:val="clear" w:color="auto" w:fill="auto"/>
            <w:noWrap w:val="0"/>
            <w:vAlign w:val="center"/>
          </w:tcPr>
          <w:p w14:paraId="20A3134E">
            <w:pPr>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b w:val="0"/>
                <w:bCs w:val="0"/>
                <w:color w:val="000000"/>
                <w:kern w:val="2"/>
                <w:sz w:val="21"/>
                <w:szCs w:val="21"/>
                <w:lang w:val="en-US" w:eastAsia="zh-CN" w:bidi="ar-SA"/>
              </w:rPr>
            </w:pPr>
            <w:r>
              <w:rPr>
                <w:rFonts w:hint="eastAsia" w:cs="Times New Roman"/>
                <w:b w:val="0"/>
                <w:bCs w:val="0"/>
                <w:color w:val="000000"/>
                <w:sz w:val="21"/>
                <w:szCs w:val="21"/>
                <w:lang w:val="en-US" w:eastAsia="zh-CN"/>
              </w:rPr>
              <w:t>+0.241</w:t>
            </w:r>
          </w:p>
        </w:tc>
      </w:tr>
      <w:tr w14:paraId="0C4958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502" w:type="dxa"/>
            <w:gridSpan w:val="2"/>
            <w:vMerge w:val="restart"/>
            <w:noWrap w:val="0"/>
            <w:vAlign w:val="center"/>
          </w:tcPr>
          <w:p w14:paraId="0B1FAA05">
            <w:pPr>
              <w:pStyle w:val="48"/>
              <w:spacing w:beforeLines="0" w:afterLines="0" w:line="240" w:lineRule="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snapToGrid w:val="0"/>
                <w:color w:val="auto"/>
                <w:kern w:val="21"/>
                <w:szCs w:val="21"/>
              </w:rPr>
              <w:t>危险废物</w:t>
            </w:r>
          </w:p>
        </w:tc>
        <w:tc>
          <w:tcPr>
            <w:tcW w:w="1503" w:type="dxa"/>
            <w:gridSpan w:val="2"/>
            <w:noWrap w:val="0"/>
            <w:vAlign w:val="center"/>
          </w:tcPr>
          <w:p w14:paraId="40A86382">
            <w:pPr>
              <w:pStyle w:val="48"/>
              <w:spacing w:beforeLines="0" w:afterLines="0" w:line="240" w:lineRule="auto"/>
              <w:rPr>
                <w:rFonts w:hint="eastAsia" w:ascii="Times New Roman" w:hAnsi="Times New Roman" w:eastAsia="宋体" w:cs="Times New Roman"/>
                <w:snapToGrid w:val="0"/>
                <w:color w:val="auto"/>
                <w:kern w:val="21"/>
                <w:szCs w:val="21"/>
                <w:lang w:eastAsia="zh-CN"/>
              </w:rPr>
            </w:pPr>
            <w:r>
              <w:rPr>
                <w:rFonts w:hint="eastAsia" w:ascii="Times New Roman" w:hAnsi="Times New Roman" w:cs="Times New Roman"/>
                <w:snapToGrid w:val="0"/>
                <w:color w:val="auto"/>
                <w:kern w:val="21"/>
                <w:szCs w:val="21"/>
                <w:lang w:eastAsia="zh-CN"/>
              </w:rPr>
              <w:t>废弃包装物</w:t>
            </w:r>
          </w:p>
        </w:tc>
        <w:tc>
          <w:tcPr>
            <w:tcW w:w="1701" w:type="dxa"/>
            <w:noWrap w:val="0"/>
            <w:vAlign w:val="center"/>
          </w:tcPr>
          <w:p w14:paraId="69975A3A">
            <w:pPr>
              <w:pStyle w:val="48"/>
              <w:spacing w:beforeLines="0" w:afterLines="0" w:line="240" w:lineRule="auto"/>
              <w:rPr>
                <w:rFonts w:hint="default" w:ascii="Times New Roman" w:hAnsi="Times New Roman" w:eastAsia="宋体" w:cs="Times New Roman"/>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0.45</w:t>
            </w:r>
          </w:p>
        </w:tc>
        <w:tc>
          <w:tcPr>
            <w:tcW w:w="1276" w:type="dxa"/>
            <w:noWrap w:val="0"/>
            <w:vAlign w:val="center"/>
          </w:tcPr>
          <w:p w14:paraId="6F3FFE0E">
            <w:pPr>
              <w:pStyle w:val="48"/>
              <w:spacing w:beforeLines="0" w:afterLines="0" w:line="240" w:lineRule="auto"/>
              <w:rPr>
                <w:rFonts w:hint="default" w:ascii="Times New Roman" w:hAnsi="Times New Roman" w:cs="Times New Roman"/>
                <w:snapToGrid w:val="0"/>
                <w:color w:val="auto"/>
                <w:kern w:val="21"/>
                <w:szCs w:val="21"/>
              </w:rPr>
            </w:pPr>
          </w:p>
        </w:tc>
        <w:tc>
          <w:tcPr>
            <w:tcW w:w="1701" w:type="dxa"/>
            <w:noWrap w:val="0"/>
            <w:vAlign w:val="center"/>
          </w:tcPr>
          <w:p w14:paraId="0F0BF8E4">
            <w:pPr>
              <w:pStyle w:val="48"/>
              <w:spacing w:beforeLines="0" w:afterLines="0" w:line="240" w:lineRule="auto"/>
              <w:rPr>
                <w:rFonts w:hint="default" w:ascii="Times New Roman" w:hAnsi="Times New Roman" w:cs="Times New Roman"/>
                <w:snapToGrid w:val="0"/>
                <w:color w:val="auto"/>
                <w:kern w:val="21"/>
                <w:szCs w:val="21"/>
              </w:rPr>
            </w:pPr>
          </w:p>
        </w:tc>
        <w:tc>
          <w:tcPr>
            <w:tcW w:w="1559" w:type="dxa"/>
            <w:shd w:val="clear" w:color="auto" w:fill="auto"/>
            <w:noWrap w:val="0"/>
            <w:vAlign w:val="center"/>
          </w:tcPr>
          <w:p w14:paraId="5FDC5A0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w:t>
            </w:r>
          </w:p>
        </w:tc>
        <w:tc>
          <w:tcPr>
            <w:tcW w:w="1761" w:type="dxa"/>
            <w:noWrap w:val="0"/>
            <w:vAlign w:val="center"/>
          </w:tcPr>
          <w:p w14:paraId="1677B6AD">
            <w:pPr>
              <w:pStyle w:val="48"/>
              <w:spacing w:beforeLines="0" w:afterLines="0" w:line="240" w:lineRule="auto"/>
              <w:rPr>
                <w:rFonts w:hint="default" w:ascii="Times New Roman" w:hAnsi="Times New Roman" w:eastAsia="宋体" w:cs="Times New Roman"/>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0</w:t>
            </w:r>
          </w:p>
        </w:tc>
        <w:tc>
          <w:tcPr>
            <w:tcW w:w="1796" w:type="dxa"/>
            <w:shd w:val="clear" w:color="auto" w:fill="auto"/>
            <w:noWrap w:val="0"/>
            <w:vAlign w:val="center"/>
          </w:tcPr>
          <w:p w14:paraId="2D9AC31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0.45</w:t>
            </w:r>
          </w:p>
        </w:tc>
        <w:tc>
          <w:tcPr>
            <w:tcW w:w="989" w:type="dxa"/>
            <w:shd w:val="clear" w:color="auto" w:fill="auto"/>
            <w:noWrap w:val="0"/>
            <w:vAlign w:val="center"/>
          </w:tcPr>
          <w:p w14:paraId="6CB9069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w:t>
            </w:r>
          </w:p>
        </w:tc>
      </w:tr>
      <w:tr w14:paraId="1D99F7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502" w:type="dxa"/>
            <w:gridSpan w:val="2"/>
            <w:vMerge w:val="continue"/>
            <w:noWrap w:val="0"/>
            <w:vAlign w:val="center"/>
          </w:tcPr>
          <w:p w14:paraId="1F381578">
            <w:pPr>
              <w:pStyle w:val="48"/>
              <w:spacing w:beforeLines="0" w:afterLines="0" w:line="240" w:lineRule="auto"/>
              <w:rPr>
                <w:rFonts w:hint="default" w:ascii="Times New Roman" w:hAnsi="Times New Roman" w:cs="Times New Roman"/>
                <w:snapToGrid w:val="0"/>
                <w:color w:val="auto"/>
                <w:kern w:val="21"/>
                <w:szCs w:val="21"/>
              </w:rPr>
            </w:pPr>
          </w:p>
        </w:tc>
        <w:tc>
          <w:tcPr>
            <w:tcW w:w="1503" w:type="dxa"/>
            <w:gridSpan w:val="2"/>
            <w:noWrap w:val="0"/>
            <w:vAlign w:val="center"/>
          </w:tcPr>
          <w:p w14:paraId="3CF2A298">
            <w:pPr>
              <w:pStyle w:val="48"/>
              <w:spacing w:beforeLines="0" w:afterLines="0" w:line="240" w:lineRule="auto"/>
              <w:rPr>
                <w:rFonts w:hint="eastAsia" w:ascii="Times New Roman" w:hAnsi="Times New Roman" w:eastAsia="宋体" w:cs="Times New Roman"/>
                <w:snapToGrid w:val="0"/>
                <w:color w:val="auto"/>
                <w:kern w:val="21"/>
                <w:szCs w:val="21"/>
                <w:lang w:eastAsia="zh-CN"/>
              </w:rPr>
            </w:pPr>
            <w:r>
              <w:rPr>
                <w:rFonts w:hint="eastAsia" w:ascii="Times New Roman" w:hAnsi="Times New Roman" w:cs="Times New Roman"/>
                <w:snapToGrid w:val="0"/>
                <w:color w:val="auto"/>
                <w:kern w:val="21"/>
                <w:szCs w:val="21"/>
                <w:lang w:eastAsia="zh-CN"/>
              </w:rPr>
              <w:t>废油</w:t>
            </w:r>
          </w:p>
        </w:tc>
        <w:tc>
          <w:tcPr>
            <w:tcW w:w="1701" w:type="dxa"/>
            <w:noWrap w:val="0"/>
            <w:vAlign w:val="center"/>
          </w:tcPr>
          <w:p w14:paraId="3069006C">
            <w:pPr>
              <w:pStyle w:val="48"/>
              <w:spacing w:beforeLines="0" w:afterLines="0" w:line="240" w:lineRule="auto"/>
              <w:rPr>
                <w:rFonts w:hint="default" w:ascii="Times New Roman" w:hAnsi="Times New Roman" w:eastAsia="宋体" w:cs="Times New Roman"/>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0.4</w:t>
            </w:r>
          </w:p>
        </w:tc>
        <w:tc>
          <w:tcPr>
            <w:tcW w:w="1276" w:type="dxa"/>
            <w:noWrap w:val="0"/>
            <w:vAlign w:val="center"/>
          </w:tcPr>
          <w:p w14:paraId="374278B6">
            <w:pPr>
              <w:pStyle w:val="48"/>
              <w:spacing w:beforeLines="0" w:afterLines="0" w:line="240" w:lineRule="auto"/>
              <w:rPr>
                <w:rFonts w:hint="default" w:ascii="Times New Roman" w:hAnsi="Times New Roman" w:cs="Times New Roman"/>
                <w:snapToGrid w:val="0"/>
                <w:color w:val="auto"/>
                <w:kern w:val="21"/>
                <w:szCs w:val="21"/>
              </w:rPr>
            </w:pPr>
          </w:p>
        </w:tc>
        <w:tc>
          <w:tcPr>
            <w:tcW w:w="1701" w:type="dxa"/>
            <w:noWrap w:val="0"/>
            <w:vAlign w:val="center"/>
          </w:tcPr>
          <w:p w14:paraId="4630FB86">
            <w:pPr>
              <w:pStyle w:val="48"/>
              <w:spacing w:beforeLines="0" w:afterLines="0" w:line="240" w:lineRule="auto"/>
              <w:rPr>
                <w:rFonts w:hint="default" w:ascii="Times New Roman" w:hAnsi="Times New Roman" w:cs="Times New Roman"/>
                <w:snapToGrid w:val="0"/>
                <w:color w:val="auto"/>
                <w:kern w:val="21"/>
                <w:szCs w:val="21"/>
              </w:rPr>
            </w:pPr>
          </w:p>
        </w:tc>
        <w:tc>
          <w:tcPr>
            <w:tcW w:w="1559" w:type="dxa"/>
            <w:shd w:val="clear" w:color="auto" w:fill="auto"/>
            <w:noWrap w:val="0"/>
            <w:vAlign w:val="center"/>
          </w:tcPr>
          <w:p w14:paraId="67C566A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w:t>
            </w:r>
          </w:p>
        </w:tc>
        <w:tc>
          <w:tcPr>
            <w:tcW w:w="1761" w:type="dxa"/>
            <w:noWrap w:val="0"/>
            <w:vAlign w:val="center"/>
          </w:tcPr>
          <w:p w14:paraId="19A910FE">
            <w:pPr>
              <w:pStyle w:val="48"/>
              <w:spacing w:beforeLines="0" w:afterLines="0" w:line="240" w:lineRule="auto"/>
              <w:rPr>
                <w:rFonts w:hint="default" w:ascii="Times New Roman" w:hAnsi="Times New Roman" w:eastAsia="宋体" w:cs="Times New Roman"/>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0</w:t>
            </w:r>
          </w:p>
        </w:tc>
        <w:tc>
          <w:tcPr>
            <w:tcW w:w="1796" w:type="dxa"/>
            <w:shd w:val="clear" w:color="auto" w:fill="auto"/>
            <w:noWrap w:val="0"/>
            <w:vAlign w:val="center"/>
          </w:tcPr>
          <w:p w14:paraId="433CE66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0.4</w:t>
            </w:r>
          </w:p>
        </w:tc>
        <w:tc>
          <w:tcPr>
            <w:tcW w:w="989" w:type="dxa"/>
            <w:shd w:val="clear" w:color="auto" w:fill="auto"/>
            <w:noWrap w:val="0"/>
            <w:vAlign w:val="center"/>
          </w:tcPr>
          <w:p w14:paraId="5109937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w:t>
            </w:r>
          </w:p>
        </w:tc>
      </w:tr>
      <w:tr w14:paraId="3DC55B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502" w:type="dxa"/>
            <w:gridSpan w:val="2"/>
            <w:vMerge w:val="continue"/>
            <w:noWrap w:val="0"/>
            <w:vAlign w:val="center"/>
          </w:tcPr>
          <w:p w14:paraId="0C520E46">
            <w:pPr>
              <w:pStyle w:val="48"/>
              <w:spacing w:beforeLines="0" w:afterLines="0" w:line="240" w:lineRule="auto"/>
              <w:rPr>
                <w:rFonts w:hint="default" w:ascii="Times New Roman" w:hAnsi="Times New Roman" w:cs="Times New Roman"/>
                <w:snapToGrid w:val="0"/>
                <w:color w:val="auto"/>
                <w:kern w:val="21"/>
                <w:szCs w:val="21"/>
              </w:rPr>
            </w:pPr>
          </w:p>
        </w:tc>
        <w:tc>
          <w:tcPr>
            <w:tcW w:w="1503" w:type="dxa"/>
            <w:gridSpan w:val="2"/>
            <w:noWrap w:val="0"/>
            <w:vAlign w:val="center"/>
          </w:tcPr>
          <w:p w14:paraId="022301A3">
            <w:pPr>
              <w:pStyle w:val="48"/>
              <w:spacing w:beforeLines="0" w:afterLines="0" w:line="240" w:lineRule="auto"/>
              <w:rPr>
                <w:rFonts w:hint="eastAsia" w:ascii="Times New Roman" w:hAnsi="Times New Roman" w:eastAsia="宋体" w:cs="Times New Roman"/>
                <w:snapToGrid w:val="0"/>
                <w:color w:val="auto"/>
                <w:kern w:val="21"/>
                <w:szCs w:val="21"/>
                <w:lang w:eastAsia="zh-CN"/>
              </w:rPr>
            </w:pPr>
            <w:r>
              <w:rPr>
                <w:rFonts w:hint="eastAsia" w:ascii="Times New Roman" w:hAnsi="Times New Roman" w:cs="Times New Roman"/>
                <w:snapToGrid w:val="0"/>
                <w:color w:val="auto"/>
                <w:kern w:val="21"/>
                <w:szCs w:val="21"/>
                <w:lang w:eastAsia="zh-CN"/>
              </w:rPr>
              <w:t>机械废油</w:t>
            </w:r>
          </w:p>
        </w:tc>
        <w:tc>
          <w:tcPr>
            <w:tcW w:w="1701" w:type="dxa"/>
            <w:noWrap w:val="0"/>
            <w:vAlign w:val="center"/>
          </w:tcPr>
          <w:p w14:paraId="62E4F9F7">
            <w:pPr>
              <w:pStyle w:val="48"/>
              <w:spacing w:beforeLines="0" w:afterLines="0" w:line="240" w:lineRule="auto"/>
              <w:rPr>
                <w:rFonts w:hint="default" w:ascii="Times New Roman" w:hAnsi="Times New Roman" w:eastAsia="宋体" w:cs="Times New Roman"/>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0.1</w:t>
            </w:r>
          </w:p>
        </w:tc>
        <w:tc>
          <w:tcPr>
            <w:tcW w:w="1276" w:type="dxa"/>
            <w:noWrap w:val="0"/>
            <w:vAlign w:val="center"/>
          </w:tcPr>
          <w:p w14:paraId="13BB045A">
            <w:pPr>
              <w:pStyle w:val="48"/>
              <w:spacing w:beforeLines="0" w:afterLines="0" w:line="240" w:lineRule="auto"/>
              <w:rPr>
                <w:rFonts w:hint="default" w:ascii="Times New Roman" w:hAnsi="Times New Roman" w:cs="Times New Roman"/>
                <w:snapToGrid w:val="0"/>
                <w:color w:val="auto"/>
                <w:kern w:val="21"/>
                <w:szCs w:val="21"/>
              </w:rPr>
            </w:pPr>
          </w:p>
        </w:tc>
        <w:tc>
          <w:tcPr>
            <w:tcW w:w="1701" w:type="dxa"/>
            <w:noWrap w:val="0"/>
            <w:vAlign w:val="center"/>
          </w:tcPr>
          <w:p w14:paraId="75426B05">
            <w:pPr>
              <w:pStyle w:val="48"/>
              <w:spacing w:beforeLines="0" w:afterLines="0" w:line="240" w:lineRule="auto"/>
              <w:rPr>
                <w:rFonts w:hint="default" w:ascii="Times New Roman" w:hAnsi="Times New Roman" w:cs="Times New Roman"/>
                <w:snapToGrid w:val="0"/>
                <w:color w:val="auto"/>
                <w:kern w:val="21"/>
                <w:szCs w:val="21"/>
              </w:rPr>
            </w:pPr>
          </w:p>
        </w:tc>
        <w:tc>
          <w:tcPr>
            <w:tcW w:w="1559" w:type="dxa"/>
            <w:shd w:val="clear" w:color="auto" w:fill="auto"/>
            <w:noWrap w:val="0"/>
            <w:vAlign w:val="center"/>
          </w:tcPr>
          <w:p w14:paraId="4B40B5F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w:t>
            </w:r>
          </w:p>
        </w:tc>
        <w:tc>
          <w:tcPr>
            <w:tcW w:w="1761" w:type="dxa"/>
            <w:noWrap w:val="0"/>
            <w:vAlign w:val="center"/>
          </w:tcPr>
          <w:p w14:paraId="6BD44559">
            <w:pPr>
              <w:pStyle w:val="48"/>
              <w:spacing w:beforeLines="0" w:afterLines="0" w:line="240" w:lineRule="auto"/>
              <w:rPr>
                <w:rFonts w:hint="default" w:ascii="Times New Roman" w:hAnsi="Times New Roman" w:eastAsia="宋体" w:cs="Times New Roman"/>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0</w:t>
            </w:r>
          </w:p>
        </w:tc>
        <w:tc>
          <w:tcPr>
            <w:tcW w:w="1796" w:type="dxa"/>
            <w:shd w:val="clear" w:color="auto" w:fill="auto"/>
            <w:noWrap w:val="0"/>
            <w:vAlign w:val="center"/>
          </w:tcPr>
          <w:p w14:paraId="2A5D142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0.1</w:t>
            </w:r>
          </w:p>
        </w:tc>
        <w:tc>
          <w:tcPr>
            <w:tcW w:w="989" w:type="dxa"/>
            <w:shd w:val="clear" w:color="auto" w:fill="auto"/>
            <w:noWrap w:val="0"/>
            <w:vAlign w:val="center"/>
          </w:tcPr>
          <w:p w14:paraId="224CF30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w:t>
            </w:r>
          </w:p>
        </w:tc>
      </w:tr>
      <w:tr w14:paraId="63E282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502" w:type="dxa"/>
            <w:gridSpan w:val="2"/>
            <w:vMerge w:val="continue"/>
            <w:noWrap w:val="0"/>
            <w:vAlign w:val="center"/>
          </w:tcPr>
          <w:p w14:paraId="499198D2">
            <w:pPr>
              <w:pStyle w:val="48"/>
              <w:spacing w:beforeLines="0" w:afterLines="0" w:line="240" w:lineRule="auto"/>
              <w:rPr>
                <w:rFonts w:hint="default" w:ascii="Times New Roman" w:hAnsi="Times New Roman" w:cs="Times New Roman"/>
                <w:snapToGrid w:val="0"/>
                <w:color w:val="auto"/>
                <w:kern w:val="21"/>
                <w:szCs w:val="21"/>
              </w:rPr>
            </w:pPr>
          </w:p>
        </w:tc>
        <w:tc>
          <w:tcPr>
            <w:tcW w:w="1503" w:type="dxa"/>
            <w:gridSpan w:val="2"/>
            <w:noWrap w:val="0"/>
            <w:vAlign w:val="center"/>
          </w:tcPr>
          <w:p w14:paraId="43EF9798">
            <w:pPr>
              <w:pStyle w:val="48"/>
              <w:spacing w:beforeLines="0" w:afterLines="0" w:line="240" w:lineRule="auto"/>
              <w:rPr>
                <w:rFonts w:hint="eastAsia" w:ascii="Times New Roman" w:hAnsi="Times New Roman" w:eastAsia="宋体" w:cs="Times New Roman"/>
                <w:snapToGrid w:val="0"/>
                <w:color w:val="auto"/>
                <w:kern w:val="21"/>
                <w:szCs w:val="21"/>
                <w:lang w:eastAsia="zh-CN"/>
              </w:rPr>
            </w:pPr>
            <w:r>
              <w:rPr>
                <w:rFonts w:hint="eastAsia" w:ascii="Times New Roman" w:hAnsi="Times New Roman" w:cs="Times New Roman"/>
                <w:snapToGrid w:val="0"/>
                <w:color w:val="auto"/>
                <w:kern w:val="21"/>
                <w:szCs w:val="21"/>
                <w:lang w:eastAsia="zh-CN"/>
              </w:rPr>
              <w:t>在线监测废液</w:t>
            </w:r>
          </w:p>
        </w:tc>
        <w:tc>
          <w:tcPr>
            <w:tcW w:w="1701" w:type="dxa"/>
            <w:noWrap w:val="0"/>
            <w:vAlign w:val="center"/>
          </w:tcPr>
          <w:p w14:paraId="366AECCE">
            <w:pPr>
              <w:pStyle w:val="48"/>
              <w:spacing w:beforeLines="0" w:afterLines="0" w:line="240" w:lineRule="auto"/>
              <w:rPr>
                <w:rFonts w:hint="default" w:ascii="Times New Roman" w:hAnsi="Times New Roman" w:eastAsia="宋体" w:cs="Times New Roman"/>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0.5</w:t>
            </w:r>
          </w:p>
        </w:tc>
        <w:tc>
          <w:tcPr>
            <w:tcW w:w="1276" w:type="dxa"/>
            <w:noWrap w:val="0"/>
            <w:vAlign w:val="center"/>
          </w:tcPr>
          <w:p w14:paraId="7863F6CE">
            <w:pPr>
              <w:pStyle w:val="48"/>
              <w:spacing w:beforeLines="0" w:afterLines="0" w:line="240" w:lineRule="auto"/>
              <w:rPr>
                <w:rFonts w:hint="default" w:ascii="Times New Roman" w:hAnsi="Times New Roman" w:cs="Times New Roman"/>
                <w:snapToGrid w:val="0"/>
                <w:color w:val="auto"/>
                <w:kern w:val="21"/>
                <w:szCs w:val="21"/>
              </w:rPr>
            </w:pPr>
          </w:p>
        </w:tc>
        <w:tc>
          <w:tcPr>
            <w:tcW w:w="1701" w:type="dxa"/>
            <w:noWrap w:val="0"/>
            <w:vAlign w:val="center"/>
          </w:tcPr>
          <w:p w14:paraId="118669D5">
            <w:pPr>
              <w:pStyle w:val="48"/>
              <w:spacing w:beforeLines="0" w:afterLines="0" w:line="240" w:lineRule="auto"/>
              <w:rPr>
                <w:rFonts w:hint="default" w:ascii="Times New Roman" w:hAnsi="Times New Roman" w:cs="Times New Roman"/>
                <w:snapToGrid w:val="0"/>
                <w:color w:val="auto"/>
                <w:kern w:val="21"/>
                <w:szCs w:val="21"/>
              </w:rPr>
            </w:pPr>
          </w:p>
        </w:tc>
        <w:tc>
          <w:tcPr>
            <w:tcW w:w="1559" w:type="dxa"/>
            <w:shd w:val="clear" w:color="auto" w:fill="auto"/>
            <w:noWrap w:val="0"/>
            <w:vAlign w:val="center"/>
          </w:tcPr>
          <w:p w14:paraId="109013F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w:t>
            </w:r>
          </w:p>
        </w:tc>
        <w:tc>
          <w:tcPr>
            <w:tcW w:w="1761" w:type="dxa"/>
            <w:noWrap w:val="0"/>
            <w:vAlign w:val="center"/>
          </w:tcPr>
          <w:p w14:paraId="384F66F4">
            <w:pPr>
              <w:pStyle w:val="48"/>
              <w:spacing w:beforeLines="0" w:afterLines="0" w:line="240" w:lineRule="auto"/>
              <w:rPr>
                <w:rFonts w:hint="default" w:ascii="Times New Roman" w:hAnsi="Times New Roman" w:eastAsia="宋体" w:cs="Times New Roman"/>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0</w:t>
            </w:r>
          </w:p>
        </w:tc>
        <w:tc>
          <w:tcPr>
            <w:tcW w:w="1796" w:type="dxa"/>
            <w:shd w:val="clear" w:color="auto" w:fill="auto"/>
            <w:noWrap w:val="0"/>
            <w:vAlign w:val="center"/>
          </w:tcPr>
          <w:p w14:paraId="689BC36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0.5</w:t>
            </w:r>
          </w:p>
        </w:tc>
        <w:tc>
          <w:tcPr>
            <w:tcW w:w="989" w:type="dxa"/>
            <w:shd w:val="clear" w:color="auto" w:fill="auto"/>
            <w:noWrap w:val="0"/>
            <w:vAlign w:val="center"/>
          </w:tcPr>
          <w:p w14:paraId="5CE0C4A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w:t>
            </w:r>
          </w:p>
        </w:tc>
      </w:tr>
      <w:tr w14:paraId="2E1D26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502" w:type="dxa"/>
            <w:gridSpan w:val="2"/>
            <w:vMerge w:val="continue"/>
            <w:noWrap w:val="0"/>
            <w:vAlign w:val="center"/>
          </w:tcPr>
          <w:p w14:paraId="2FDF1B42">
            <w:pPr>
              <w:pStyle w:val="48"/>
              <w:spacing w:beforeLines="0" w:afterLines="0" w:line="240" w:lineRule="auto"/>
              <w:rPr>
                <w:rFonts w:hint="default" w:ascii="Times New Roman" w:hAnsi="Times New Roman" w:cs="Times New Roman"/>
                <w:snapToGrid w:val="0"/>
                <w:color w:val="auto"/>
                <w:kern w:val="21"/>
                <w:szCs w:val="21"/>
              </w:rPr>
            </w:pPr>
          </w:p>
        </w:tc>
        <w:tc>
          <w:tcPr>
            <w:tcW w:w="1503" w:type="dxa"/>
            <w:gridSpan w:val="2"/>
            <w:noWrap w:val="0"/>
            <w:vAlign w:val="center"/>
          </w:tcPr>
          <w:p w14:paraId="31214B35">
            <w:pPr>
              <w:pStyle w:val="48"/>
              <w:spacing w:beforeLines="0" w:afterLines="0" w:line="240" w:lineRule="auto"/>
              <w:rPr>
                <w:rFonts w:hint="eastAsia" w:ascii="Times New Roman" w:hAnsi="Times New Roman" w:eastAsia="宋体" w:cs="Times New Roman"/>
                <w:snapToGrid w:val="0"/>
                <w:color w:val="auto"/>
                <w:kern w:val="21"/>
                <w:szCs w:val="21"/>
                <w:lang w:eastAsia="zh-CN"/>
              </w:rPr>
            </w:pPr>
            <w:r>
              <w:rPr>
                <w:rFonts w:hint="eastAsia" w:ascii="Times New Roman" w:hAnsi="Times New Roman" w:cs="Times New Roman"/>
                <w:snapToGrid w:val="0"/>
                <w:color w:val="auto"/>
                <w:kern w:val="21"/>
                <w:szCs w:val="21"/>
                <w:lang w:eastAsia="zh-CN"/>
              </w:rPr>
              <w:t>废催化剂</w:t>
            </w:r>
          </w:p>
        </w:tc>
        <w:tc>
          <w:tcPr>
            <w:tcW w:w="1701" w:type="dxa"/>
            <w:noWrap w:val="0"/>
            <w:vAlign w:val="center"/>
          </w:tcPr>
          <w:p w14:paraId="1FABD1E1">
            <w:pPr>
              <w:pStyle w:val="48"/>
              <w:spacing w:beforeLines="0" w:afterLines="0" w:line="240" w:lineRule="auto"/>
              <w:rPr>
                <w:rFonts w:hint="default" w:ascii="Times New Roman" w:hAnsi="Times New Roman" w:eastAsia="宋体" w:cs="Times New Roman"/>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0.5t/3a</w:t>
            </w:r>
          </w:p>
        </w:tc>
        <w:tc>
          <w:tcPr>
            <w:tcW w:w="1276" w:type="dxa"/>
            <w:noWrap w:val="0"/>
            <w:vAlign w:val="center"/>
          </w:tcPr>
          <w:p w14:paraId="7B5C0C33">
            <w:pPr>
              <w:pStyle w:val="48"/>
              <w:spacing w:beforeLines="0" w:afterLines="0" w:line="240" w:lineRule="auto"/>
              <w:rPr>
                <w:rFonts w:hint="default" w:ascii="Times New Roman" w:hAnsi="Times New Roman" w:cs="Times New Roman"/>
                <w:snapToGrid w:val="0"/>
                <w:color w:val="auto"/>
                <w:kern w:val="21"/>
                <w:szCs w:val="21"/>
              </w:rPr>
            </w:pPr>
          </w:p>
        </w:tc>
        <w:tc>
          <w:tcPr>
            <w:tcW w:w="1701" w:type="dxa"/>
            <w:noWrap w:val="0"/>
            <w:vAlign w:val="center"/>
          </w:tcPr>
          <w:p w14:paraId="0D1B0F92">
            <w:pPr>
              <w:pStyle w:val="48"/>
              <w:spacing w:beforeLines="0" w:afterLines="0" w:line="240" w:lineRule="auto"/>
              <w:rPr>
                <w:rFonts w:hint="default" w:ascii="Times New Roman" w:hAnsi="Times New Roman" w:cs="Times New Roman"/>
                <w:snapToGrid w:val="0"/>
                <w:color w:val="auto"/>
                <w:kern w:val="21"/>
                <w:szCs w:val="21"/>
              </w:rPr>
            </w:pPr>
          </w:p>
        </w:tc>
        <w:tc>
          <w:tcPr>
            <w:tcW w:w="1559" w:type="dxa"/>
            <w:shd w:val="clear" w:color="auto" w:fill="auto"/>
            <w:noWrap w:val="0"/>
            <w:vAlign w:val="center"/>
          </w:tcPr>
          <w:p w14:paraId="782FA6E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0.5t/3a</w:t>
            </w:r>
          </w:p>
        </w:tc>
        <w:tc>
          <w:tcPr>
            <w:tcW w:w="1761" w:type="dxa"/>
            <w:noWrap w:val="0"/>
            <w:vAlign w:val="center"/>
          </w:tcPr>
          <w:p w14:paraId="356A9EAB">
            <w:pPr>
              <w:pStyle w:val="48"/>
              <w:spacing w:beforeLines="0" w:afterLines="0" w:line="240" w:lineRule="auto"/>
              <w:rPr>
                <w:rFonts w:hint="default" w:ascii="Times New Roman" w:hAnsi="Times New Roman" w:eastAsia="宋体" w:cs="Times New Roman"/>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0</w:t>
            </w:r>
          </w:p>
        </w:tc>
        <w:tc>
          <w:tcPr>
            <w:tcW w:w="1796" w:type="dxa"/>
            <w:shd w:val="clear" w:color="auto" w:fill="auto"/>
            <w:noWrap w:val="0"/>
            <w:vAlign w:val="center"/>
          </w:tcPr>
          <w:p w14:paraId="5EAAA16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0.5t/3a</w:t>
            </w:r>
          </w:p>
        </w:tc>
        <w:tc>
          <w:tcPr>
            <w:tcW w:w="989" w:type="dxa"/>
            <w:shd w:val="clear" w:color="auto" w:fill="auto"/>
            <w:noWrap w:val="0"/>
            <w:vAlign w:val="center"/>
          </w:tcPr>
          <w:p w14:paraId="2A79CAB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+0.5t/3a</w:t>
            </w:r>
          </w:p>
        </w:tc>
      </w:tr>
      <w:tr w14:paraId="65C441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3005" w:type="dxa"/>
            <w:gridSpan w:val="4"/>
            <w:noWrap w:val="0"/>
            <w:vAlign w:val="center"/>
          </w:tcPr>
          <w:p w14:paraId="74F17E7D">
            <w:pPr>
              <w:pStyle w:val="49"/>
              <w:spacing w:before="100" w:beforeAutospacing="1" w:after="100" w:afterAutospacing="1" w:line="240" w:lineRule="auto"/>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color w:val="auto"/>
                <w:lang w:val="en-US" w:eastAsia="zh-CN"/>
              </w:rPr>
              <w:t>生活垃圾</w:t>
            </w:r>
          </w:p>
        </w:tc>
        <w:tc>
          <w:tcPr>
            <w:tcW w:w="1701" w:type="dxa"/>
            <w:noWrap w:val="0"/>
            <w:vAlign w:val="center"/>
          </w:tcPr>
          <w:p w14:paraId="6E57A09E">
            <w:pPr>
              <w:pStyle w:val="48"/>
              <w:spacing w:beforeLines="0" w:afterLines="0" w:line="240" w:lineRule="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cs="Times New Roman"/>
                <w:snapToGrid w:val="0"/>
                <w:color w:val="auto"/>
                <w:kern w:val="21"/>
                <w:sz w:val="21"/>
                <w:szCs w:val="21"/>
                <w:lang w:val="en-US" w:eastAsia="zh-CN" w:bidi="ar-SA"/>
              </w:rPr>
              <w:t>34.5</w:t>
            </w:r>
          </w:p>
        </w:tc>
        <w:tc>
          <w:tcPr>
            <w:tcW w:w="0" w:type="auto"/>
            <w:noWrap w:val="0"/>
            <w:vAlign w:val="center"/>
          </w:tcPr>
          <w:p w14:paraId="04F8DB97">
            <w:pPr>
              <w:pStyle w:val="48"/>
              <w:spacing w:beforeLines="0" w:afterLines="0" w:line="240" w:lineRule="auto"/>
              <w:rPr>
                <w:rFonts w:hint="default" w:ascii="Times New Roman" w:hAnsi="Times New Roman" w:eastAsia="宋体" w:cs="Times New Roman"/>
                <w:snapToGrid w:val="0"/>
                <w:color w:val="auto"/>
                <w:kern w:val="21"/>
                <w:sz w:val="21"/>
                <w:szCs w:val="21"/>
                <w:lang w:val="en-US" w:eastAsia="zh-CN" w:bidi="ar-SA"/>
              </w:rPr>
            </w:pPr>
          </w:p>
        </w:tc>
        <w:tc>
          <w:tcPr>
            <w:tcW w:w="0" w:type="auto"/>
            <w:noWrap w:val="0"/>
            <w:vAlign w:val="center"/>
          </w:tcPr>
          <w:p w14:paraId="31F3F427">
            <w:pPr>
              <w:keepNext w:val="0"/>
              <w:keepLines w:val="0"/>
              <w:suppressLineNumbers w:val="0"/>
              <w:spacing w:before="100" w:beforeAutospacing="1" w:after="100" w:afterAutospacing="1"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p>
        </w:tc>
        <w:tc>
          <w:tcPr>
            <w:tcW w:w="1559" w:type="dxa"/>
            <w:noWrap w:val="0"/>
            <w:vAlign w:val="center"/>
          </w:tcPr>
          <w:p w14:paraId="71A81ECB">
            <w:pPr>
              <w:pStyle w:val="48"/>
              <w:spacing w:beforeLines="0" w:afterLines="0"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0</w:t>
            </w:r>
          </w:p>
        </w:tc>
        <w:tc>
          <w:tcPr>
            <w:tcW w:w="1761" w:type="dxa"/>
            <w:noWrap w:val="0"/>
            <w:vAlign w:val="center"/>
          </w:tcPr>
          <w:p w14:paraId="7D009C22">
            <w:pPr>
              <w:pStyle w:val="48"/>
              <w:spacing w:beforeLines="0" w:afterLines="0" w:line="240" w:lineRule="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cs="Times New Roman"/>
                <w:snapToGrid w:val="0"/>
                <w:color w:val="auto"/>
                <w:kern w:val="21"/>
                <w:sz w:val="21"/>
                <w:szCs w:val="21"/>
                <w:lang w:val="en-US" w:eastAsia="zh-CN" w:bidi="ar-SA"/>
              </w:rPr>
              <w:t>0</w:t>
            </w:r>
          </w:p>
        </w:tc>
        <w:tc>
          <w:tcPr>
            <w:tcW w:w="1796" w:type="dxa"/>
            <w:shd w:val="clear" w:color="auto" w:fill="auto"/>
            <w:noWrap w:val="0"/>
            <w:vAlign w:val="center"/>
          </w:tcPr>
          <w:p w14:paraId="750B71E0">
            <w:pPr>
              <w:pStyle w:val="48"/>
              <w:spacing w:beforeLines="0" w:afterLines="0" w:line="240" w:lineRule="auto"/>
              <w:rPr>
                <w:rFonts w:hint="default" w:ascii="Times New Roman" w:hAnsi="Times New Roman" w:eastAsia="宋体" w:cs="Times New Roman"/>
                <w:color w:val="auto"/>
                <w:spacing w:val="-12"/>
                <w:kern w:val="2"/>
                <w:sz w:val="21"/>
                <w:szCs w:val="21"/>
                <w:lang w:val="en-US" w:eastAsia="zh-CN" w:bidi="ar-SA"/>
              </w:rPr>
            </w:pPr>
            <w:r>
              <w:rPr>
                <w:rFonts w:hint="eastAsia" w:ascii="Times New Roman" w:hAnsi="Times New Roman" w:cs="Times New Roman"/>
                <w:color w:val="auto"/>
                <w:spacing w:val="-12"/>
                <w:kern w:val="2"/>
                <w:sz w:val="21"/>
                <w:szCs w:val="21"/>
                <w:lang w:val="en-US" w:eastAsia="zh-CN" w:bidi="ar-SA"/>
              </w:rPr>
              <w:t>34.5</w:t>
            </w:r>
          </w:p>
        </w:tc>
        <w:tc>
          <w:tcPr>
            <w:tcW w:w="989" w:type="dxa"/>
            <w:shd w:val="clear" w:color="auto" w:fill="auto"/>
            <w:noWrap w:val="0"/>
            <w:vAlign w:val="center"/>
          </w:tcPr>
          <w:p w14:paraId="01C7622A">
            <w:pPr>
              <w:pStyle w:val="48"/>
              <w:spacing w:beforeLines="0" w:afterLines="0" w:line="240" w:lineRule="auto"/>
              <w:rPr>
                <w:rFonts w:hint="default" w:ascii="Times New Roman" w:hAnsi="Times New Roman" w:eastAsia="宋体" w:cs="Times New Roman"/>
                <w:color w:val="auto"/>
                <w:spacing w:val="-12"/>
                <w:kern w:val="2"/>
                <w:sz w:val="21"/>
                <w:szCs w:val="21"/>
                <w:lang w:val="en-US" w:eastAsia="zh-CN" w:bidi="ar-SA"/>
              </w:rPr>
            </w:pPr>
            <w:r>
              <w:rPr>
                <w:rFonts w:hint="eastAsia" w:ascii="Times New Roman" w:hAnsi="Times New Roman" w:cs="Times New Roman"/>
                <w:color w:val="auto"/>
                <w:spacing w:val="-12"/>
                <w:kern w:val="2"/>
                <w:sz w:val="21"/>
                <w:szCs w:val="21"/>
                <w:lang w:val="en-US" w:eastAsia="zh-CN" w:bidi="ar-SA"/>
              </w:rPr>
              <w:t>0</w:t>
            </w:r>
          </w:p>
        </w:tc>
      </w:tr>
    </w:tbl>
    <w:p w14:paraId="146B6E46">
      <w:pPr>
        <w:pStyle w:val="48"/>
        <w:spacing w:before="192" w:beforeLines="80" w:after="24"/>
        <w:jc w:val="left"/>
        <w:rPr>
          <w:rFonts w:ascii="宋体" w:hAnsi="宋体" w:eastAsia="黑体"/>
          <w:color w:val="auto"/>
        </w:rPr>
      </w:pPr>
      <w:r>
        <w:rPr>
          <w:rFonts w:hAnsi="宋体"/>
          <w:snapToGrid w:val="0"/>
          <w:color w:val="auto"/>
          <w:kern w:val="21"/>
          <w:szCs w:val="21"/>
        </w:rPr>
        <w:t>注：</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6 \* GB3 \* MERGEFORMAT </w:instrText>
      </w:r>
      <w:r>
        <w:rPr>
          <w:rFonts w:hAnsi="宋体"/>
          <w:snapToGrid w:val="0"/>
          <w:color w:val="auto"/>
          <w:spacing w:val="-16"/>
          <w:kern w:val="21"/>
          <w:szCs w:val="21"/>
        </w:rPr>
        <w:fldChar w:fldCharType="separate"/>
      </w:r>
      <w:r>
        <w:rPr>
          <w:rFonts w:hint="eastAsia" w:hAnsi="宋体"/>
          <w:color w:val="auto"/>
          <w:szCs w:val="21"/>
        </w:rPr>
        <w:t>⑥</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1 \* GB3 \* MERGEFORMAT </w:instrText>
      </w:r>
      <w:r>
        <w:rPr>
          <w:rFonts w:hAnsi="宋体"/>
          <w:snapToGrid w:val="0"/>
          <w:color w:val="auto"/>
          <w:spacing w:val="-6"/>
          <w:kern w:val="21"/>
          <w:szCs w:val="21"/>
        </w:rPr>
        <w:fldChar w:fldCharType="separate"/>
      </w:r>
      <w:r>
        <w:rPr>
          <w:rFonts w:hint="eastAsia" w:hAnsi="宋体"/>
          <w:color w:val="auto"/>
          <w:szCs w:val="21"/>
        </w:rPr>
        <w:t>①</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3 \* GB3 \* MERGEFORMAT </w:instrText>
      </w:r>
      <w:r>
        <w:rPr>
          <w:rFonts w:hAnsi="宋体"/>
          <w:snapToGrid w:val="0"/>
          <w:color w:val="auto"/>
          <w:spacing w:val="-6"/>
          <w:kern w:val="21"/>
          <w:szCs w:val="21"/>
        </w:rPr>
        <w:fldChar w:fldCharType="separate"/>
      </w:r>
      <w:r>
        <w:rPr>
          <w:rFonts w:hint="eastAsia" w:hAnsi="宋体"/>
          <w:color w:val="auto"/>
          <w:szCs w:val="21"/>
        </w:rPr>
        <w:t>③</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4 \* GB3 \* MERGEFORMAT </w:instrText>
      </w:r>
      <w:r>
        <w:rPr>
          <w:rFonts w:hAnsi="宋体"/>
          <w:snapToGrid w:val="0"/>
          <w:color w:val="auto"/>
          <w:spacing w:val="-6"/>
          <w:kern w:val="21"/>
          <w:szCs w:val="21"/>
        </w:rPr>
        <w:fldChar w:fldCharType="separate"/>
      </w:r>
      <w:r>
        <w:rPr>
          <w:rFonts w:hint="eastAsia" w:hAnsi="宋体"/>
          <w:color w:val="auto"/>
          <w:szCs w:val="21"/>
        </w:rPr>
        <w:t>④</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5 \* GB3 \* MERGEFORMAT </w:instrText>
      </w:r>
      <w:r>
        <w:rPr>
          <w:rFonts w:hAnsi="宋体"/>
          <w:snapToGrid w:val="0"/>
          <w:color w:val="auto"/>
          <w:spacing w:val="-16"/>
          <w:kern w:val="21"/>
          <w:szCs w:val="21"/>
        </w:rPr>
        <w:fldChar w:fldCharType="separate"/>
      </w:r>
      <w:r>
        <w:rPr>
          <w:rFonts w:hint="eastAsia" w:hAnsi="宋体"/>
          <w:color w:val="auto"/>
          <w:szCs w:val="21"/>
        </w:rPr>
        <w:t>⑤</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7 \* GB3 \* MERGEFORMAT </w:instrText>
      </w:r>
      <w:r>
        <w:rPr>
          <w:rFonts w:hAnsi="宋体"/>
          <w:snapToGrid w:val="0"/>
          <w:color w:val="auto"/>
          <w:spacing w:val="-6"/>
          <w:kern w:val="21"/>
          <w:szCs w:val="21"/>
        </w:rPr>
        <w:fldChar w:fldCharType="separate"/>
      </w:r>
      <w:r>
        <w:rPr>
          <w:rFonts w:hint="eastAsia" w:hAnsi="宋体"/>
          <w:color w:val="auto"/>
          <w:szCs w:val="21"/>
        </w:rPr>
        <w:t>⑦</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6 \* GB3 \* MERGEFORMAT </w:instrText>
      </w:r>
      <w:r>
        <w:rPr>
          <w:rFonts w:hAnsi="宋体"/>
          <w:snapToGrid w:val="0"/>
          <w:color w:val="auto"/>
          <w:spacing w:val="-16"/>
          <w:kern w:val="21"/>
          <w:szCs w:val="21"/>
        </w:rPr>
        <w:fldChar w:fldCharType="separate"/>
      </w:r>
      <w:r>
        <w:rPr>
          <w:rFonts w:hint="eastAsia" w:hAnsi="宋体"/>
          <w:color w:val="auto"/>
          <w:szCs w:val="21"/>
        </w:rPr>
        <w:t>⑥</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1 \* GB3 \* MERGEFORMAT </w:instrText>
      </w:r>
      <w:r>
        <w:rPr>
          <w:rFonts w:hAnsi="宋体"/>
          <w:snapToGrid w:val="0"/>
          <w:color w:val="auto"/>
          <w:spacing w:val="-6"/>
          <w:kern w:val="21"/>
          <w:szCs w:val="21"/>
        </w:rPr>
        <w:fldChar w:fldCharType="separate"/>
      </w:r>
      <w:r>
        <w:rPr>
          <w:rFonts w:hint="eastAsia" w:hAnsi="宋体"/>
          <w:color w:val="auto"/>
          <w:szCs w:val="21"/>
        </w:rPr>
        <w:t>①</w:t>
      </w:r>
      <w:r>
        <w:rPr>
          <w:rFonts w:hAnsi="宋体"/>
          <w:snapToGrid w:val="0"/>
          <w:color w:val="auto"/>
          <w:spacing w:val="-6"/>
          <w:kern w:val="21"/>
          <w:szCs w:val="21"/>
        </w:rPr>
        <w:fldChar w:fldCharType="end"/>
      </w:r>
    </w:p>
    <w:p w14:paraId="7A205786"/>
    <w:p w14:paraId="3085C8E3"/>
    <w:p w14:paraId="56C16707"/>
    <w:p w14:paraId="1217A0C0"/>
    <w:p w14:paraId="277AD52E"/>
    <w:p w14:paraId="1E61C0F0"/>
    <w:p w14:paraId="647A0F1D"/>
    <w:sectPr>
      <w:footerReference r:id="rId6" w:type="default"/>
      <w:pgSz w:w="16838" w:h="11906" w:orient="landscape"/>
      <w:pgMar w:top="1531" w:right="1701" w:bottom="1531" w:left="1701"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2"/>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7A4C903D-FBCF-4ACB-B82E-8BD4377E33FE}"/>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5E816F07-BDC9-46D3-86F5-A71EABAFA5E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98BBDBDE-D77B-48B4-A7BB-FA06DBA40E7A}"/>
  </w:font>
  <w:font w:name="宋体-18030">
    <w:altName w:val="微软雅黑"/>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80F3C52" w:usb2="00000016" w:usb3="00000000" w:csb0="0004001F" w:csb1="00000000"/>
  </w:font>
  <w:font w:name="文鼎CS楷体">
    <w:altName w:val="黑体"/>
    <w:panose1 w:val="00000000000000000000"/>
    <w:charset w:val="86"/>
    <w:family w:val="auto"/>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embedRegular r:id="rId4" w:fontKey="{99002A8B-6681-4B4F-99ED-4A69C97DFE01}"/>
  </w:font>
  <w:font w:name="楷体_GB2312">
    <w:panose1 w:val="02010609030101010101"/>
    <w:charset w:val="86"/>
    <w:family w:val="modern"/>
    <w:pitch w:val="default"/>
    <w:sig w:usb0="00000001" w:usb1="080E0000" w:usb2="00000000" w:usb3="00000000" w:csb0="00040000" w:csb1="00000000"/>
    <w:embedRegular r:id="rId5" w:fontKey="{A89ABE07-5B6E-4ABC-9375-5D6F324BB27D}"/>
  </w:font>
  <w:font w:name="华文仿宋">
    <w:panose1 w:val="02010600040101010101"/>
    <w:charset w:val="86"/>
    <w:family w:val="auto"/>
    <w:pitch w:val="default"/>
    <w:sig w:usb0="00000287" w:usb1="080F0000" w:usb2="00000000" w:usb3="00000000" w:csb0="0004009F" w:csb1="DFD70000"/>
    <w:embedRegular r:id="rId6" w:fontKey="{D9F39BB3-43FD-4B5C-A325-8AFD6468A531}"/>
  </w:font>
  <w:font w:name="仿宋">
    <w:panose1 w:val="02010609060101010101"/>
    <w:charset w:val="86"/>
    <w:family w:val="modern"/>
    <w:pitch w:val="default"/>
    <w:sig w:usb0="800002BF" w:usb1="38CF7CFA" w:usb2="00000016" w:usb3="00000000" w:csb0="00040001" w:csb1="00000000"/>
    <w:embedRegular r:id="rId7" w:fontKey="{B6DAF9E1-C549-4B79-B56F-2FDA796FB987}"/>
  </w:font>
  <w:font w:name="Wingdings 2">
    <w:panose1 w:val="05020102010507070707"/>
    <w:charset w:val="02"/>
    <w:family w:val="auto"/>
    <w:pitch w:val="default"/>
    <w:sig w:usb0="00000000" w:usb1="00000000" w:usb2="00000000" w:usb3="00000000" w:csb0="80000000" w:csb1="00000000"/>
    <w:embedRegular r:id="rId8" w:fontKey="{ABD05FAB-FB81-4112-9354-0FBF013002B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74253">
    <w:pPr>
      <w:pStyle w:val="1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F3B02">
    <w:pPr>
      <w:pStyle w:val="14"/>
      <w:framePr w:wrap="around" w:vAnchor="text" w:hAnchor="margin" w:xAlign="center" w:y="1"/>
      <w:rPr>
        <w:rStyle w:val="27"/>
      </w:rPr>
    </w:pPr>
    <w:r>
      <w:fldChar w:fldCharType="begin"/>
    </w:r>
    <w:r>
      <w:rPr>
        <w:rStyle w:val="27"/>
      </w:rPr>
      <w:instrText xml:space="preserve">PAGE  </w:instrText>
    </w:r>
    <w:r>
      <w:fldChar w:fldCharType="end"/>
    </w:r>
  </w:p>
  <w:p w14:paraId="4B547C9D">
    <w:pPr>
      <w:pStyle w:val="1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D0FC6">
    <w:pPr>
      <w:pStyle w:val="14"/>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D096CA">
                          <w:pPr>
                            <w:pStyle w:val="14"/>
                            <w:rPr>
                              <w:rStyle w:val="27"/>
                              <w:rFonts w:ascii="宋体" w:hAnsi="宋体"/>
                              <w:sz w:val="28"/>
                              <w:szCs w:val="28"/>
                            </w:rPr>
                          </w:pPr>
                          <w:r>
                            <w:rPr>
                              <w:rStyle w:val="27"/>
                              <w:rFonts w:hint="eastAsia" w:ascii="宋体" w:hAnsi="宋体"/>
                              <w:sz w:val="28"/>
                              <w:szCs w:val="28"/>
                            </w:rPr>
                            <w:t>—</w:t>
                          </w:r>
                          <w:r>
                            <w:rPr>
                              <w:rFonts w:ascii="宋体" w:hAnsi="宋体"/>
                              <w:sz w:val="26"/>
                              <w:szCs w:val="26"/>
                            </w:rPr>
                            <w:fldChar w:fldCharType="begin"/>
                          </w:r>
                          <w:r>
                            <w:rPr>
                              <w:rStyle w:val="27"/>
                              <w:rFonts w:ascii="宋体" w:hAnsi="宋体"/>
                              <w:sz w:val="26"/>
                              <w:szCs w:val="26"/>
                            </w:rPr>
                            <w:instrText xml:space="preserve">PAGE  </w:instrText>
                          </w:r>
                          <w:r>
                            <w:rPr>
                              <w:rFonts w:ascii="宋体" w:hAnsi="宋体"/>
                              <w:sz w:val="26"/>
                              <w:szCs w:val="26"/>
                            </w:rPr>
                            <w:fldChar w:fldCharType="separate"/>
                          </w:r>
                          <w:r>
                            <w:rPr>
                              <w:rStyle w:val="27"/>
                              <w:rFonts w:ascii="宋体" w:hAnsi="宋体"/>
                              <w:sz w:val="26"/>
                              <w:szCs w:val="26"/>
                            </w:rPr>
                            <w:t>9</w:t>
                          </w:r>
                          <w:r>
                            <w:rPr>
                              <w:rFonts w:ascii="宋体" w:hAnsi="宋体"/>
                              <w:sz w:val="26"/>
                              <w:szCs w:val="26"/>
                            </w:rPr>
                            <w:fldChar w:fldCharType="end"/>
                          </w:r>
                          <w:r>
                            <w:rPr>
                              <w:rStyle w:val="27"/>
                              <w:rFonts w:hint="eastAsia" w:ascii="宋体" w:hAnsi="宋体"/>
                              <w:sz w:val="28"/>
                              <w:szCs w:val="28"/>
                            </w:rPr>
                            <w:t>—</w:t>
                          </w:r>
                        </w:p>
                      </w:txbxContent>
                    </wps:txbx>
                    <wps:bodyPr vert="horz" wrap="none" lIns="0" tIns="0" rIns="0" bIns="0" anchor="t" anchorCtr="0" upright="0">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H558qrgAQAAwgMAAA4AAAAA&#10;AAAAAQAgAAAAHgEAAGRycy9lMm9Eb2MueG1sUEsFBgAAAAAGAAYAWQEAAHAFAAAAAA==&#10;">
              <v:fill on="f" focussize="0,0"/>
              <v:stroke on="f"/>
              <v:imagedata o:title=""/>
              <o:lock v:ext="edit" aspectratio="f"/>
              <v:textbox inset="0mm,0mm,0mm,0mm" style="mso-fit-shape-to-text:t;">
                <w:txbxContent>
                  <w:p w14:paraId="73D096CA">
                    <w:pPr>
                      <w:pStyle w:val="14"/>
                      <w:rPr>
                        <w:rStyle w:val="27"/>
                        <w:rFonts w:ascii="宋体" w:hAnsi="宋体"/>
                        <w:sz w:val="28"/>
                        <w:szCs w:val="28"/>
                      </w:rPr>
                    </w:pPr>
                    <w:r>
                      <w:rPr>
                        <w:rStyle w:val="27"/>
                        <w:rFonts w:hint="eastAsia" w:ascii="宋体" w:hAnsi="宋体"/>
                        <w:sz w:val="28"/>
                        <w:szCs w:val="28"/>
                      </w:rPr>
                      <w:t>—</w:t>
                    </w:r>
                    <w:r>
                      <w:rPr>
                        <w:rFonts w:ascii="宋体" w:hAnsi="宋体"/>
                        <w:sz w:val="26"/>
                        <w:szCs w:val="26"/>
                      </w:rPr>
                      <w:fldChar w:fldCharType="begin"/>
                    </w:r>
                    <w:r>
                      <w:rPr>
                        <w:rStyle w:val="27"/>
                        <w:rFonts w:ascii="宋体" w:hAnsi="宋体"/>
                        <w:sz w:val="26"/>
                        <w:szCs w:val="26"/>
                      </w:rPr>
                      <w:instrText xml:space="preserve">PAGE  </w:instrText>
                    </w:r>
                    <w:r>
                      <w:rPr>
                        <w:rFonts w:ascii="宋体" w:hAnsi="宋体"/>
                        <w:sz w:val="26"/>
                        <w:szCs w:val="26"/>
                      </w:rPr>
                      <w:fldChar w:fldCharType="separate"/>
                    </w:r>
                    <w:r>
                      <w:rPr>
                        <w:rStyle w:val="27"/>
                        <w:rFonts w:ascii="宋体" w:hAnsi="宋体"/>
                        <w:sz w:val="26"/>
                        <w:szCs w:val="26"/>
                      </w:rPr>
                      <w:t>9</w:t>
                    </w:r>
                    <w:r>
                      <w:rPr>
                        <w:rFonts w:ascii="宋体" w:hAnsi="宋体"/>
                        <w:sz w:val="26"/>
                        <w:szCs w:val="26"/>
                      </w:rPr>
                      <w:fldChar w:fldCharType="end"/>
                    </w:r>
                    <w:r>
                      <w:rPr>
                        <w:rStyle w:val="27"/>
                        <w:rFonts w:hint="eastAsia" w:ascii="宋体" w:hAnsi="宋体"/>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10F38">
    <w:pPr>
      <w:pStyle w:val="14"/>
      <w:ind w:right="360"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2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AD2FED">
                          <w:pPr>
                            <w:pStyle w:val="14"/>
                            <w:rPr>
                              <w:rStyle w:val="27"/>
                              <w:rFonts w:ascii="宋体" w:hAnsi="宋体"/>
                              <w:sz w:val="28"/>
                              <w:szCs w:val="28"/>
                            </w:rPr>
                          </w:pPr>
                          <w:r>
                            <w:rPr>
                              <w:rStyle w:val="27"/>
                              <w:rFonts w:hint="eastAsia" w:ascii="宋体" w:hAnsi="宋体"/>
                              <w:sz w:val="28"/>
                              <w:szCs w:val="28"/>
                            </w:rPr>
                            <w:t>—</w:t>
                          </w:r>
                          <w:r>
                            <w:rPr>
                              <w:rFonts w:ascii="宋体" w:hAnsi="宋体"/>
                              <w:sz w:val="26"/>
                              <w:szCs w:val="26"/>
                            </w:rPr>
                            <w:fldChar w:fldCharType="begin"/>
                          </w:r>
                          <w:r>
                            <w:rPr>
                              <w:rStyle w:val="27"/>
                              <w:rFonts w:ascii="宋体" w:hAnsi="宋体"/>
                              <w:sz w:val="26"/>
                              <w:szCs w:val="26"/>
                            </w:rPr>
                            <w:instrText xml:space="preserve">PAGE  </w:instrText>
                          </w:r>
                          <w:r>
                            <w:rPr>
                              <w:rFonts w:ascii="宋体" w:hAnsi="宋体"/>
                              <w:sz w:val="26"/>
                              <w:szCs w:val="26"/>
                            </w:rPr>
                            <w:fldChar w:fldCharType="separate"/>
                          </w:r>
                          <w:r>
                            <w:rPr>
                              <w:rStyle w:val="27"/>
                              <w:rFonts w:ascii="宋体" w:hAnsi="宋体"/>
                              <w:sz w:val="26"/>
                              <w:szCs w:val="26"/>
                            </w:rPr>
                            <w:t>11</w:t>
                          </w:r>
                          <w:r>
                            <w:rPr>
                              <w:rFonts w:ascii="宋体" w:hAnsi="宋体"/>
                              <w:sz w:val="26"/>
                              <w:szCs w:val="26"/>
                            </w:rPr>
                            <w:fldChar w:fldCharType="end"/>
                          </w:r>
                          <w:r>
                            <w:rPr>
                              <w:rStyle w:val="27"/>
                              <w:rFonts w:hint="eastAsia" w:ascii="宋体" w:hAnsi="宋体"/>
                              <w:sz w:val="28"/>
                              <w:szCs w:val="28"/>
                            </w:rPr>
                            <w:t>—</w:t>
                          </w:r>
                        </w:p>
                      </w:txbxContent>
                    </wps:txbx>
                    <wps:bodyPr vert="horz" wrap="none" lIns="0" tIns="0" rIns="0" bIns="0" anchor="t" anchorCtr="0" upright="0">
                      <a:spAutoFit/>
                    </wps:bodyPr>
                  </wps:wsp>
                </a:graphicData>
              </a:graphic>
            </wp:anchor>
          </w:drawing>
        </mc:Choice>
        <mc:Fallback>
          <w:pict>
            <v:shape id="文本框 205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vz7rO4QEAAMIDAAAOAAAA&#10;AAAAAAEAIAAAAB4BAABkcnMvZTJvRG9jLnhtbFBLBQYAAAAABgAGAFkBAABxBQAAAAA=&#10;">
              <v:fill on="f" focussize="0,0"/>
              <v:stroke on="f"/>
              <v:imagedata o:title=""/>
              <o:lock v:ext="edit" aspectratio="f"/>
              <v:textbox inset="0mm,0mm,0mm,0mm" style="mso-fit-shape-to-text:t;">
                <w:txbxContent>
                  <w:p w14:paraId="5BAD2FED">
                    <w:pPr>
                      <w:pStyle w:val="14"/>
                      <w:rPr>
                        <w:rStyle w:val="27"/>
                        <w:rFonts w:ascii="宋体" w:hAnsi="宋体"/>
                        <w:sz w:val="28"/>
                        <w:szCs w:val="28"/>
                      </w:rPr>
                    </w:pPr>
                    <w:r>
                      <w:rPr>
                        <w:rStyle w:val="27"/>
                        <w:rFonts w:hint="eastAsia" w:ascii="宋体" w:hAnsi="宋体"/>
                        <w:sz w:val="28"/>
                        <w:szCs w:val="28"/>
                      </w:rPr>
                      <w:t>—</w:t>
                    </w:r>
                    <w:r>
                      <w:rPr>
                        <w:rFonts w:ascii="宋体" w:hAnsi="宋体"/>
                        <w:sz w:val="26"/>
                        <w:szCs w:val="26"/>
                      </w:rPr>
                      <w:fldChar w:fldCharType="begin"/>
                    </w:r>
                    <w:r>
                      <w:rPr>
                        <w:rStyle w:val="27"/>
                        <w:rFonts w:ascii="宋体" w:hAnsi="宋体"/>
                        <w:sz w:val="26"/>
                        <w:szCs w:val="26"/>
                      </w:rPr>
                      <w:instrText xml:space="preserve">PAGE  </w:instrText>
                    </w:r>
                    <w:r>
                      <w:rPr>
                        <w:rFonts w:ascii="宋体" w:hAnsi="宋体"/>
                        <w:sz w:val="26"/>
                        <w:szCs w:val="26"/>
                      </w:rPr>
                      <w:fldChar w:fldCharType="separate"/>
                    </w:r>
                    <w:r>
                      <w:rPr>
                        <w:rStyle w:val="27"/>
                        <w:rFonts w:ascii="宋体" w:hAnsi="宋体"/>
                        <w:sz w:val="26"/>
                        <w:szCs w:val="26"/>
                      </w:rPr>
                      <w:t>11</w:t>
                    </w:r>
                    <w:r>
                      <w:rPr>
                        <w:rFonts w:ascii="宋体" w:hAnsi="宋体"/>
                        <w:sz w:val="26"/>
                        <w:szCs w:val="26"/>
                      </w:rPr>
                      <w:fldChar w:fldCharType="end"/>
                    </w:r>
                    <w:r>
                      <w:rPr>
                        <w:rStyle w:val="27"/>
                        <w:rFonts w:hint="eastAsia" w:ascii="宋体" w:hAnsi="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9713A7"/>
    <w:multiLevelType w:val="singleLevel"/>
    <w:tmpl w:val="B79713A7"/>
    <w:lvl w:ilvl="0" w:tentative="0">
      <w:start w:val="7"/>
      <w:numFmt w:val="decimal"/>
      <w:suff w:val="nothing"/>
      <w:lvlText w:val="%1、"/>
      <w:lvlJc w:val="left"/>
    </w:lvl>
  </w:abstractNum>
  <w:abstractNum w:abstractNumId="1">
    <w:nsid w:val="D6CF0CF5"/>
    <w:multiLevelType w:val="singleLevel"/>
    <w:tmpl w:val="D6CF0CF5"/>
    <w:lvl w:ilvl="0" w:tentative="0">
      <w:start w:val="1"/>
      <w:numFmt w:val="decimal"/>
      <w:lvlText w:val="%1."/>
      <w:lvlJc w:val="left"/>
      <w:pPr>
        <w:tabs>
          <w:tab w:val="left" w:pos="312"/>
        </w:tabs>
      </w:pPr>
    </w:lvl>
  </w:abstractNum>
  <w:abstractNum w:abstractNumId="2">
    <w:nsid w:val="2AE2F7F9"/>
    <w:multiLevelType w:val="singleLevel"/>
    <w:tmpl w:val="2AE2F7F9"/>
    <w:lvl w:ilvl="0" w:tentative="0">
      <w:start w:val="1"/>
      <w:numFmt w:val="decimal"/>
      <w:suff w:val="nothing"/>
      <w:lvlText w:val="%1、"/>
      <w:lvlJc w:val="left"/>
    </w:lvl>
  </w:abstractNum>
  <w:abstractNum w:abstractNumId="3">
    <w:nsid w:val="74A5D338"/>
    <w:multiLevelType w:val="singleLevel"/>
    <w:tmpl w:val="74A5D338"/>
    <w:lvl w:ilvl="0" w:tentative="0">
      <w:start w:val="1"/>
      <w:numFmt w:val="decimal"/>
      <w:suff w:val="nothing"/>
      <w:lvlText w:val="%1、"/>
      <w:lvlJc w:val="left"/>
    </w:lvl>
  </w:abstractNum>
  <w:abstractNum w:abstractNumId="4">
    <w:nsid w:val="75C6D7AC"/>
    <w:multiLevelType w:val="singleLevel"/>
    <w:tmpl w:val="75C6D7AC"/>
    <w:lvl w:ilvl="0" w:tentative="0">
      <w:start w:val="1"/>
      <w:numFmt w:val="decimal"/>
      <w:suff w:val="nothing"/>
      <w:lvlText w:val="%1、"/>
      <w:lvlJc w:val="left"/>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wODJiMjM1ZTBhM2Q5Y2RmYjgzMjAyY2Q5MDMwYmIifQ=="/>
    <w:docVar w:name="KSO_WPS_MARK_KEY" w:val="75242595-a611-43f9-912f-0ca50fabd9a1"/>
  </w:docVars>
  <w:rsids>
    <w:rsidRoot w:val="00172A27"/>
    <w:rsid w:val="000060B3"/>
    <w:rsid w:val="0004364B"/>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1A28"/>
    <w:rsid w:val="00254345"/>
    <w:rsid w:val="00264557"/>
    <w:rsid w:val="002805AB"/>
    <w:rsid w:val="00284204"/>
    <w:rsid w:val="00291773"/>
    <w:rsid w:val="002A168C"/>
    <w:rsid w:val="002A3DC7"/>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84B9B"/>
    <w:rsid w:val="004855F6"/>
    <w:rsid w:val="0048661E"/>
    <w:rsid w:val="00494670"/>
    <w:rsid w:val="004A3823"/>
    <w:rsid w:val="004B625A"/>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377A6"/>
    <w:rsid w:val="00637A3D"/>
    <w:rsid w:val="006411EF"/>
    <w:rsid w:val="00656DA8"/>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4251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809FD"/>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B5255"/>
    <w:rsid w:val="00EB5C47"/>
    <w:rsid w:val="00ED0639"/>
    <w:rsid w:val="00EF4755"/>
    <w:rsid w:val="00EF7135"/>
    <w:rsid w:val="00F027DB"/>
    <w:rsid w:val="00F14A7A"/>
    <w:rsid w:val="00F22985"/>
    <w:rsid w:val="00F3383E"/>
    <w:rsid w:val="00F465A7"/>
    <w:rsid w:val="00F50B7C"/>
    <w:rsid w:val="00F550E6"/>
    <w:rsid w:val="00F74345"/>
    <w:rsid w:val="00F80A0A"/>
    <w:rsid w:val="00F82B19"/>
    <w:rsid w:val="00F9212D"/>
    <w:rsid w:val="00F965DA"/>
    <w:rsid w:val="00FA406A"/>
    <w:rsid w:val="00FB503A"/>
    <w:rsid w:val="00FB516C"/>
    <w:rsid w:val="00FD0236"/>
    <w:rsid w:val="00FD18F4"/>
    <w:rsid w:val="00FD54DB"/>
    <w:rsid w:val="00FD619F"/>
    <w:rsid w:val="0106543F"/>
    <w:rsid w:val="01290F7E"/>
    <w:rsid w:val="0150096C"/>
    <w:rsid w:val="015D1E09"/>
    <w:rsid w:val="015F50A2"/>
    <w:rsid w:val="01A63BF9"/>
    <w:rsid w:val="01A73079"/>
    <w:rsid w:val="02697903"/>
    <w:rsid w:val="02F96569"/>
    <w:rsid w:val="03176462"/>
    <w:rsid w:val="03E40BD3"/>
    <w:rsid w:val="03EA7B21"/>
    <w:rsid w:val="048821DE"/>
    <w:rsid w:val="05241F08"/>
    <w:rsid w:val="05ED43C1"/>
    <w:rsid w:val="05F83EAE"/>
    <w:rsid w:val="062C2F91"/>
    <w:rsid w:val="063E7D85"/>
    <w:rsid w:val="06742A00"/>
    <w:rsid w:val="067B40CC"/>
    <w:rsid w:val="071F5B9A"/>
    <w:rsid w:val="07293586"/>
    <w:rsid w:val="07295285"/>
    <w:rsid w:val="07636392"/>
    <w:rsid w:val="07770C56"/>
    <w:rsid w:val="079F667F"/>
    <w:rsid w:val="07B26C61"/>
    <w:rsid w:val="08C20C2C"/>
    <w:rsid w:val="08F32F05"/>
    <w:rsid w:val="092217DD"/>
    <w:rsid w:val="093A7294"/>
    <w:rsid w:val="099D39A9"/>
    <w:rsid w:val="09A03EC7"/>
    <w:rsid w:val="09A733CC"/>
    <w:rsid w:val="09AC78A5"/>
    <w:rsid w:val="09B2588E"/>
    <w:rsid w:val="0A002B44"/>
    <w:rsid w:val="0A263993"/>
    <w:rsid w:val="0A2D3AC2"/>
    <w:rsid w:val="0AA755DF"/>
    <w:rsid w:val="0B120D44"/>
    <w:rsid w:val="0B3369B5"/>
    <w:rsid w:val="0B593FC8"/>
    <w:rsid w:val="0B637376"/>
    <w:rsid w:val="0BD27BF6"/>
    <w:rsid w:val="0BD32014"/>
    <w:rsid w:val="0BFA5B6A"/>
    <w:rsid w:val="0C3257B3"/>
    <w:rsid w:val="0C3B3C7D"/>
    <w:rsid w:val="0C4A60A7"/>
    <w:rsid w:val="0CAB2EAE"/>
    <w:rsid w:val="0CC9336F"/>
    <w:rsid w:val="0CDB5281"/>
    <w:rsid w:val="0CFD2BB2"/>
    <w:rsid w:val="0D0479BE"/>
    <w:rsid w:val="0D3228F4"/>
    <w:rsid w:val="0D621C7D"/>
    <w:rsid w:val="0E130244"/>
    <w:rsid w:val="0E4119B3"/>
    <w:rsid w:val="0E73034D"/>
    <w:rsid w:val="0E9E2E13"/>
    <w:rsid w:val="0F13775A"/>
    <w:rsid w:val="0F1E0F86"/>
    <w:rsid w:val="0F284A92"/>
    <w:rsid w:val="0F4D1CFE"/>
    <w:rsid w:val="0F5F45FE"/>
    <w:rsid w:val="0F9A112B"/>
    <w:rsid w:val="103A670E"/>
    <w:rsid w:val="106D2F64"/>
    <w:rsid w:val="10781D94"/>
    <w:rsid w:val="107F4731"/>
    <w:rsid w:val="10B63710"/>
    <w:rsid w:val="10EF37DA"/>
    <w:rsid w:val="10F10820"/>
    <w:rsid w:val="111C2F7A"/>
    <w:rsid w:val="114670B6"/>
    <w:rsid w:val="11665CA1"/>
    <w:rsid w:val="11833512"/>
    <w:rsid w:val="12067A7A"/>
    <w:rsid w:val="1247777A"/>
    <w:rsid w:val="12945F1B"/>
    <w:rsid w:val="137270FE"/>
    <w:rsid w:val="139059C1"/>
    <w:rsid w:val="13951726"/>
    <w:rsid w:val="13B16CE7"/>
    <w:rsid w:val="13BA3984"/>
    <w:rsid w:val="13BB223E"/>
    <w:rsid w:val="14236700"/>
    <w:rsid w:val="14396509"/>
    <w:rsid w:val="1490730E"/>
    <w:rsid w:val="14DD2C3C"/>
    <w:rsid w:val="14EA5DC2"/>
    <w:rsid w:val="157E7213"/>
    <w:rsid w:val="16087E1D"/>
    <w:rsid w:val="16CB6B52"/>
    <w:rsid w:val="16FA50CC"/>
    <w:rsid w:val="17701D14"/>
    <w:rsid w:val="17735226"/>
    <w:rsid w:val="17765F82"/>
    <w:rsid w:val="17D266A7"/>
    <w:rsid w:val="189F624C"/>
    <w:rsid w:val="194A4589"/>
    <w:rsid w:val="19D82BAD"/>
    <w:rsid w:val="1A1C66C0"/>
    <w:rsid w:val="1A3A5FE0"/>
    <w:rsid w:val="1A42393B"/>
    <w:rsid w:val="1A6C085B"/>
    <w:rsid w:val="1AAD45DE"/>
    <w:rsid w:val="1AB60AB7"/>
    <w:rsid w:val="1ABA5B0B"/>
    <w:rsid w:val="1AF55D40"/>
    <w:rsid w:val="1B046F80"/>
    <w:rsid w:val="1B3267B5"/>
    <w:rsid w:val="1B40161D"/>
    <w:rsid w:val="1B441859"/>
    <w:rsid w:val="1B4B0717"/>
    <w:rsid w:val="1B6606B1"/>
    <w:rsid w:val="1C5E7925"/>
    <w:rsid w:val="1CCE3BBB"/>
    <w:rsid w:val="1CE4275D"/>
    <w:rsid w:val="1CFD070F"/>
    <w:rsid w:val="1D103BA1"/>
    <w:rsid w:val="1D3E5C21"/>
    <w:rsid w:val="1D5F6196"/>
    <w:rsid w:val="1D6132A5"/>
    <w:rsid w:val="1D8B407A"/>
    <w:rsid w:val="1D8E56D5"/>
    <w:rsid w:val="1E4C0400"/>
    <w:rsid w:val="1E7A43DA"/>
    <w:rsid w:val="1E810919"/>
    <w:rsid w:val="1E995AAD"/>
    <w:rsid w:val="1E9F0B44"/>
    <w:rsid w:val="1EB869D9"/>
    <w:rsid w:val="1FD37C82"/>
    <w:rsid w:val="1FE7539E"/>
    <w:rsid w:val="1FEE4438"/>
    <w:rsid w:val="201975CD"/>
    <w:rsid w:val="20671BE0"/>
    <w:rsid w:val="206A26F8"/>
    <w:rsid w:val="20700D48"/>
    <w:rsid w:val="20963CB8"/>
    <w:rsid w:val="20A81A1B"/>
    <w:rsid w:val="20B07FB6"/>
    <w:rsid w:val="20B646FB"/>
    <w:rsid w:val="211D3C0E"/>
    <w:rsid w:val="213B74B1"/>
    <w:rsid w:val="215A2310"/>
    <w:rsid w:val="21DE318A"/>
    <w:rsid w:val="21EF5B80"/>
    <w:rsid w:val="21F51020"/>
    <w:rsid w:val="22576990"/>
    <w:rsid w:val="22F47480"/>
    <w:rsid w:val="234A1CE5"/>
    <w:rsid w:val="236D1464"/>
    <w:rsid w:val="239614F6"/>
    <w:rsid w:val="239E27E8"/>
    <w:rsid w:val="23DE1C48"/>
    <w:rsid w:val="240210CD"/>
    <w:rsid w:val="24656336"/>
    <w:rsid w:val="246B501A"/>
    <w:rsid w:val="24BF09F7"/>
    <w:rsid w:val="252D53FE"/>
    <w:rsid w:val="257D5761"/>
    <w:rsid w:val="25DD5871"/>
    <w:rsid w:val="25EC2D81"/>
    <w:rsid w:val="276F7260"/>
    <w:rsid w:val="277057A2"/>
    <w:rsid w:val="2831409E"/>
    <w:rsid w:val="288B1EA1"/>
    <w:rsid w:val="29206EB8"/>
    <w:rsid w:val="29595666"/>
    <w:rsid w:val="29874881"/>
    <w:rsid w:val="299510BD"/>
    <w:rsid w:val="29BE7B58"/>
    <w:rsid w:val="29E325E0"/>
    <w:rsid w:val="2A2D6BC3"/>
    <w:rsid w:val="2A385E29"/>
    <w:rsid w:val="2A452503"/>
    <w:rsid w:val="2B2D6AEF"/>
    <w:rsid w:val="2B431394"/>
    <w:rsid w:val="2B464ADA"/>
    <w:rsid w:val="2BA936A8"/>
    <w:rsid w:val="2C315A5A"/>
    <w:rsid w:val="2C4B1C25"/>
    <w:rsid w:val="2D090B71"/>
    <w:rsid w:val="2D0A13DA"/>
    <w:rsid w:val="2D9E56F5"/>
    <w:rsid w:val="2E5844D8"/>
    <w:rsid w:val="2E667F96"/>
    <w:rsid w:val="2E8226AB"/>
    <w:rsid w:val="2EA7602B"/>
    <w:rsid w:val="2F5240A3"/>
    <w:rsid w:val="2F7047E3"/>
    <w:rsid w:val="2F8147C0"/>
    <w:rsid w:val="2FBC33EC"/>
    <w:rsid w:val="2FD065E6"/>
    <w:rsid w:val="2FD96870"/>
    <w:rsid w:val="301948C3"/>
    <w:rsid w:val="30580BC9"/>
    <w:rsid w:val="307F1E42"/>
    <w:rsid w:val="30D7723E"/>
    <w:rsid w:val="30E939CD"/>
    <w:rsid w:val="30F12A70"/>
    <w:rsid w:val="311E2ED7"/>
    <w:rsid w:val="315619EE"/>
    <w:rsid w:val="315C449C"/>
    <w:rsid w:val="31AA7156"/>
    <w:rsid w:val="31B82709"/>
    <w:rsid w:val="31BD4AE6"/>
    <w:rsid w:val="31C2042D"/>
    <w:rsid w:val="31C36890"/>
    <w:rsid w:val="31D05482"/>
    <w:rsid w:val="32066801"/>
    <w:rsid w:val="32400B34"/>
    <w:rsid w:val="327729D3"/>
    <w:rsid w:val="329E6876"/>
    <w:rsid w:val="32D745EF"/>
    <w:rsid w:val="32F426D6"/>
    <w:rsid w:val="333015F2"/>
    <w:rsid w:val="334B6320"/>
    <w:rsid w:val="335A4A05"/>
    <w:rsid w:val="33D934D4"/>
    <w:rsid w:val="33FE2F6A"/>
    <w:rsid w:val="340073EC"/>
    <w:rsid w:val="340E07E5"/>
    <w:rsid w:val="34235BF7"/>
    <w:rsid w:val="343E0361"/>
    <w:rsid w:val="35440A6C"/>
    <w:rsid w:val="35697B2F"/>
    <w:rsid w:val="358C5FA8"/>
    <w:rsid w:val="35B73647"/>
    <w:rsid w:val="35C15DF1"/>
    <w:rsid w:val="35FE54E2"/>
    <w:rsid w:val="36074A7F"/>
    <w:rsid w:val="367D2D2D"/>
    <w:rsid w:val="36923549"/>
    <w:rsid w:val="36B75FBF"/>
    <w:rsid w:val="36BD0C45"/>
    <w:rsid w:val="36F62BAA"/>
    <w:rsid w:val="37383725"/>
    <w:rsid w:val="37AB3B1C"/>
    <w:rsid w:val="37E00298"/>
    <w:rsid w:val="37FF77B7"/>
    <w:rsid w:val="385D4FA0"/>
    <w:rsid w:val="38B302F9"/>
    <w:rsid w:val="38C22266"/>
    <w:rsid w:val="38F12CD3"/>
    <w:rsid w:val="38F94775"/>
    <w:rsid w:val="392971ED"/>
    <w:rsid w:val="39325651"/>
    <w:rsid w:val="394F33CF"/>
    <w:rsid w:val="39766D93"/>
    <w:rsid w:val="39AF3A67"/>
    <w:rsid w:val="39B61D33"/>
    <w:rsid w:val="3A243CFF"/>
    <w:rsid w:val="3A5378E4"/>
    <w:rsid w:val="3A872856"/>
    <w:rsid w:val="3AED2630"/>
    <w:rsid w:val="3B2720F0"/>
    <w:rsid w:val="3B3763D1"/>
    <w:rsid w:val="3B850EA5"/>
    <w:rsid w:val="3B966844"/>
    <w:rsid w:val="3C2F6E1E"/>
    <w:rsid w:val="3C4F64BA"/>
    <w:rsid w:val="3CAB4DEB"/>
    <w:rsid w:val="3CD95741"/>
    <w:rsid w:val="3CDA245A"/>
    <w:rsid w:val="3D1E06B7"/>
    <w:rsid w:val="3D1F7B37"/>
    <w:rsid w:val="3DBA35BF"/>
    <w:rsid w:val="3DBA7073"/>
    <w:rsid w:val="3E6D1423"/>
    <w:rsid w:val="3E73483D"/>
    <w:rsid w:val="3EDA0523"/>
    <w:rsid w:val="3F7509B5"/>
    <w:rsid w:val="3FB65546"/>
    <w:rsid w:val="407A6407"/>
    <w:rsid w:val="40B21A91"/>
    <w:rsid w:val="41424DE6"/>
    <w:rsid w:val="41A56CA2"/>
    <w:rsid w:val="41D811C7"/>
    <w:rsid w:val="41DF4998"/>
    <w:rsid w:val="4200449D"/>
    <w:rsid w:val="423A3BCC"/>
    <w:rsid w:val="424E57D2"/>
    <w:rsid w:val="42B26C49"/>
    <w:rsid w:val="42E44F41"/>
    <w:rsid w:val="433A6FE6"/>
    <w:rsid w:val="43480868"/>
    <w:rsid w:val="4350713C"/>
    <w:rsid w:val="436653E0"/>
    <w:rsid w:val="43C4431A"/>
    <w:rsid w:val="44151572"/>
    <w:rsid w:val="442E66F8"/>
    <w:rsid w:val="442F13DF"/>
    <w:rsid w:val="44431A75"/>
    <w:rsid w:val="44B951CC"/>
    <w:rsid w:val="44CD14E0"/>
    <w:rsid w:val="44E92E6A"/>
    <w:rsid w:val="44E97CBB"/>
    <w:rsid w:val="44F20B0B"/>
    <w:rsid w:val="452E5F4C"/>
    <w:rsid w:val="45343151"/>
    <w:rsid w:val="45612018"/>
    <w:rsid w:val="458946E9"/>
    <w:rsid w:val="45A47C0E"/>
    <w:rsid w:val="46572E62"/>
    <w:rsid w:val="46577FD6"/>
    <w:rsid w:val="46D955A7"/>
    <w:rsid w:val="47133957"/>
    <w:rsid w:val="473F1CF0"/>
    <w:rsid w:val="4755693E"/>
    <w:rsid w:val="47A07E0C"/>
    <w:rsid w:val="48291B1A"/>
    <w:rsid w:val="482B3DA5"/>
    <w:rsid w:val="4870272E"/>
    <w:rsid w:val="499A0F37"/>
    <w:rsid w:val="49DC7715"/>
    <w:rsid w:val="4A023139"/>
    <w:rsid w:val="4A267D29"/>
    <w:rsid w:val="4A313502"/>
    <w:rsid w:val="4A7B576F"/>
    <w:rsid w:val="4AE7656F"/>
    <w:rsid w:val="4AF561A9"/>
    <w:rsid w:val="4AFB7520"/>
    <w:rsid w:val="4B0A3937"/>
    <w:rsid w:val="4B1A6EAF"/>
    <w:rsid w:val="4B506409"/>
    <w:rsid w:val="4BEC45E2"/>
    <w:rsid w:val="4C4A0649"/>
    <w:rsid w:val="4C57172F"/>
    <w:rsid w:val="4C7E5ECA"/>
    <w:rsid w:val="4C876AA5"/>
    <w:rsid w:val="4C893B7F"/>
    <w:rsid w:val="4CB90904"/>
    <w:rsid w:val="4CD075B1"/>
    <w:rsid w:val="4D0E00FB"/>
    <w:rsid w:val="4D176606"/>
    <w:rsid w:val="4D787104"/>
    <w:rsid w:val="4D9619A5"/>
    <w:rsid w:val="4DEC4FB0"/>
    <w:rsid w:val="4E075D8A"/>
    <w:rsid w:val="4E296A20"/>
    <w:rsid w:val="4E791CD1"/>
    <w:rsid w:val="4EC00FAD"/>
    <w:rsid w:val="4EE277F3"/>
    <w:rsid w:val="4F2C1DC0"/>
    <w:rsid w:val="4F3334AB"/>
    <w:rsid w:val="4F9843DC"/>
    <w:rsid w:val="4FA66DBA"/>
    <w:rsid w:val="4FC62A8C"/>
    <w:rsid w:val="4FE20F0D"/>
    <w:rsid w:val="4FE51552"/>
    <w:rsid w:val="502901CB"/>
    <w:rsid w:val="50504C4B"/>
    <w:rsid w:val="5091538F"/>
    <w:rsid w:val="509C6E7C"/>
    <w:rsid w:val="50AF5256"/>
    <w:rsid w:val="50F637E7"/>
    <w:rsid w:val="5162104E"/>
    <w:rsid w:val="518862DE"/>
    <w:rsid w:val="51A600CA"/>
    <w:rsid w:val="52676B05"/>
    <w:rsid w:val="52982D3B"/>
    <w:rsid w:val="5344511F"/>
    <w:rsid w:val="53A039CC"/>
    <w:rsid w:val="53A1505A"/>
    <w:rsid w:val="53F718F4"/>
    <w:rsid w:val="54063E08"/>
    <w:rsid w:val="541A3D70"/>
    <w:rsid w:val="543437E8"/>
    <w:rsid w:val="54F73313"/>
    <w:rsid w:val="54F80955"/>
    <w:rsid w:val="555170A7"/>
    <w:rsid w:val="5557449A"/>
    <w:rsid w:val="5587536D"/>
    <w:rsid w:val="559B174B"/>
    <w:rsid w:val="55CE0CF4"/>
    <w:rsid w:val="56B16A90"/>
    <w:rsid w:val="56B22A9C"/>
    <w:rsid w:val="56D3069F"/>
    <w:rsid w:val="572558C6"/>
    <w:rsid w:val="57352251"/>
    <w:rsid w:val="57A160EA"/>
    <w:rsid w:val="57B72A76"/>
    <w:rsid w:val="57C3426C"/>
    <w:rsid w:val="57CE1F93"/>
    <w:rsid w:val="588743D1"/>
    <w:rsid w:val="5887701A"/>
    <w:rsid w:val="58912CC9"/>
    <w:rsid w:val="58AB7728"/>
    <w:rsid w:val="58D5034F"/>
    <w:rsid w:val="58F163FE"/>
    <w:rsid w:val="59171F09"/>
    <w:rsid w:val="592F35A7"/>
    <w:rsid w:val="594378C6"/>
    <w:rsid w:val="59C0439F"/>
    <w:rsid w:val="59C538AE"/>
    <w:rsid w:val="59DE4635"/>
    <w:rsid w:val="5A032FC6"/>
    <w:rsid w:val="5A451D84"/>
    <w:rsid w:val="5A6702C3"/>
    <w:rsid w:val="5ABE2233"/>
    <w:rsid w:val="5B2C4FFA"/>
    <w:rsid w:val="5BD52805"/>
    <w:rsid w:val="5BDF5D95"/>
    <w:rsid w:val="5BFE7528"/>
    <w:rsid w:val="5CFA4A52"/>
    <w:rsid w:val="5D3D7B35"/>
    <w:rsid w:val="5D704AEA"/>
    <w:rsid w:val="5E2467F1"/>
    <w:rsid w:val="5E5E466B"/>
    <w:rsid w:val="5E833281"/>
    <w:rsid w:val="5F1A2B43"/>
    <w:rsid w:val="5F4B5DD5"/>
    <w:rsid w:val="5FB837BB"/>
    <w:rsid w:val="60487722"/>
    <w:rsid w:val="60CC405A"/>
    <w:rsid w:val="60F341D9"/>
    <w:rsid w:val="61747744"/>
    <w:rsid w:val="617C580C"/>
    <w:rsid w:val="61E215D8"/>
    <w:rsid w:val="621B3775"/>
    <w:rsid w:val="621E66AA"/>
    <w:rsid w:val="62364782"/>
    <w:rsid w:val="62487C32"/>
    <w:rsid w:val="627B7A6E"/>
    <w:rsid w:val="62DB5BF6"/>
    <w:rsid w:val="62F041E2"/>
    <w:rsid w:val="634E3D33"/>
    <w:rsid w:val="6394356A"/>
    <w:rsid w:val="639B7E50"/>
    <w:rsid w:val="63C61B2C"/>
    <w:rsid w:val="63D40BE9"/>
    <w:rsid w:val="64102431"/>
    <w:rsid w:val="643B23BE"/>
    <w:rsid w:val="64530961"/>
    <w:rsid w:val="64A5243A"/>
    <w:rsid w:val="64F531DE"/>
    <w:rsid w:val="651B079E"/>
    <w:rsid w:val="65246325"/>
    <w:rsid w:val="65373578"/>
    <w:rsid w:val="65846801"/>
    <w:rsid w:val="65C459D3"/>
    <w:rsid w:val="66402D0B"/>
    <w:rsid w:val="66B12E9A"/>
    <w:rsid w:val="671F124A"/>
    <w:rsid w:val="674858E9"/>
    <w:rsid w:val="677A33C6"/>
    <w:rsid w:val="681F6961"/>
    <w:rsid w:val="68610A2F"/>
    <w:rsid w:val="68805514"/>
    <w:rsid w:val="69316E2F"/>
    <w:rsid w:val="693D2E8D"/>
    <w:rsid w:val="694E2071"/>
    <w:rsid w:val="696B3537"/>
    <w:rsid w:val="69766163"/>
    <w:rsid w:val="697A3B33"/>
    <w:rsid w:val="697B377C"/>
    <w:rsid w:val="69D44760"/>
    <w:rsid w:val="69F647E8"/>
    <w:rsid w:val="6A520EC7"/>
    <w:rsid w:val="6A660766"/>
    <w:rsid w:val="6A725A83"/>
    <w:rsid w:val="6A806AD1"/>
    <w:rsid w:val="6A8123D5"/>
    <w:rsid w:val="6A903FEB"/>
    <w:rsid w:val="6AE2138A"/>
    <w:rsid w:val="6AF87E20"/>
    <w:rsid w:val="6B322639"/>
    <w:rsid w:val="6B3D1E9E"/>
    <w:rsid w:val="6C4B70A4"/>
    <w:rsid w:val="6C5203E8"/>
    <w:rsid w:val="6C636C38"/>
    <w:rsid w:val="6DB258AD"/>
    <w:rsid w:val="6DB34098"/>
    <w:rsid w:val="6DB545B6"/>
    <w:rsid w:val="6DE02FB4"/>
    <w:rsid w:val="6E514CED"/>
    <w:rsid w:val="6EB563D5"/>
    <w:rsid w:val="6ED92677"/>
    <w:rsid w:val="6F225983"/>
    <w:rsid w:val="6FD31A9B"/>
    <w:rsid w:val="6FFC5590"/>
    <w:rsid w:val="706D1DD0"/>
    <w:rsid w:val="70856B87"/>
    <w:rsid w:val="70B84386"/>
    <w:rsid w:val="70D527EE"/>
    <w:rsid w:val="70D54466"/>
    <w:rsid w:val="715B5300"/>
    <w:rsid w:val="719E0D8D"/>
    <w:rsid w:val="71A150C4"/>
    <w:rsid w:val="71D14718"/>
    <w:rsid w:val="71D27F8A"/>
    <w:rsid w:val="71F83FBA"/>
    <w:rsid w:val="72553024"/>
    <w:rsid w:val="73122968"/>
    <w:rsid w:val="731F5D5E"/>
    <w:rsid w:val="73C51AD5"/>
    <w:rsid w:val="741E793C"/>
    <w:rsid w:val="74434DD8"/>
    <w:rsid w:val="745E3944"/>
    <w:rsid w:val="7470209C"/>
    <w:rsid w:val="74972EA1"/>
    <w:rsid w:val="74F75D5F"/>
    <w:rsid w:val="7518763B"/>
    <w:rsid w:val="75485BC4"/>
    <w:rsid w:val="75780B7A"/>
    <w:rsid w:val="75950E36"/>
    <w:rsid w:val="7604464E"/>
    <w:rsid w:val="7635099D"/>
    <w:rsid w:val="764C6323"/>
    <w:rsid w:val="76C10B05"/>
    <w:rsid w:val="776C7088"/>
    <w:rsid w:val="77762421"/>
    <w:rsid w:val="77B56B1F"/>
    <w:rsid w:val="780F09F4"/>
    <w:rsid w:val="78A90480"/>
    <w:rsid w:val="78ED6E00"/>
    <w:rsid w:val="78F65A4C"/>
    <w:rsid w:val="798927D7"/>
    <w:rsid w:val="79C949BD"/>
    <w:rsid w:val="7A364017"/>
    <w:rsid w:val="7A8265E1"/>
    <w:rsid w:val="7B686D42"/>
    <w:rsid w:val="7B6E0463"/>
    <w:rsid w:val="7B841746"/>
    <w:rsid w:val="7BE16D21"/>
    <w:rsid w:val="7C091E5D"/>
    <w:rsid w:val="7C142DB9"/>
    <w:rsid w:val="7C6C5AC7"/>
    <w:rsid w:val="7CC6544B"/>
    <w:rsid w:val="7D0239FF"/>
    <w:rsid w:val="7D5E40CD"/>
    <w:rsid w:val="7DCD56F2"/>
    <w:rsid w:val="7E157D9E"/>
    <w:rsid w:val="7E275FCE"/>
    <w:rsid w:val="7E595078"/>
    <w:rsid w:val="7EF9789B"/>
    <w:rsid w:val="7F001CE7"/>
    <w:rsid w:val="7FE47E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0" w:semiHidden="0" w:name="heading 3" w:locked="1"/>
    <w:lsdException w:qFormat="1" w:uiPriority="0" w:name="heading 4" w:locked="1"/>
    <w:lsdException w:qFormat="1" w:unhideWhenUsed="0" w:uiPriority="0"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qFormat="1"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22"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autoRedefine/>
    <w:qFormat/>
    <w:locked/>
    <w:uiPriority w:val="0"/>
    <w:pPr>
      <w:keepNext/>
      <w:keepLines/>
      <w:outlineLvl w:val="1"/>
    </w:pPr>
    <w:rPr>
      <w:rFonts w:ascii="Arial" w:hAnsi="Arial" w:eastAsia="黑体"/>
      <w:b/>
      <w:bCs/>
      <w:sz w:val="28"/>
      <w:szCs w:val="32"/>
    </w:rPr>
  </w:style>
  <w:style w:type="paragraph" w:styleId="4">
    <w:name w:val="heading 3"/>
    <w:basedOn w:val="1"/>
    <w:next w:val="1"/>
    <w:autoRedefine/>
    <w:qFormat/>
    <w:locked/>
    <w:uiPriority w:val="0"/>
    <w:pPr>
      <w:keepNext/>
      <w:keepLines/>
      <w:spacing w:before="260" w:after="260" w:line="416" w:lineRule="auto"/>
      <w:outlineLvl w:val="2"/>
    </w:pPr>
    <w:rPr>
      <w:b/>
      <w:bCs/>
      <w:sz w:val="32"/>
      <w:szCs w:val="32"/>
    </w:rPr>
  </w:style>
  <w:style w:type="paragraph" w:styleId="5">
    <w:name w:val="heading 5"/>
    <w:basedOn w:val="1"/>
    <w:next w:val="1"/>
    <w:qFormat/>
    <w:locked/>
    <w:uiPriority w:val="0"/>
    <w:pPr>
      <w:keepNext/>
      <w:keepLines/>
      <w:spacing w:before="280" w:after="290" w:line="376" w:lineRule="auto"/>
      <w:outlineLvl w:val="4"/>
    </w:pPr>
    <w:rPr>
      <w:b/>
      <w:bCs/>
      <w:sz w:val="28"/>
      <w:szCs w:val="28"/>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6">
    <w:name w:val="toc 7"/>
    <w:basedOn w:val="1"/>
    <w:next w:val="1"/>
    <w:autoRedefine/>
    <w:qFormat/>
    <w:locked/>
    <w:uiPriority w:val="0"/>
    <w:pPr>
      <w:ind w:left="2520"/>
    </w:pPr>
    <w:rPr>
      <w:rFonts w:ascii="Times New Roman" w:eastAsia="宋体"/>
    </w:rPr>
  </w:style>
  <w:style w:type="paragraph" w:styleId="7">
    <w:name w:val="Normal Indent"/>
    <w:basedOn w:val="1"/>
    <w:autoRedefine/>
    <w:qFormat/>
    <w:locked/>
    <w:uiPriority w:val="0"/>
    <w:pPr>
      <w:adjustRightInd w:val="0"/>
      <w:snapToGrid w:val="0"/>
      <w:spacing w:line="300" w:lineRule="auto"/>
    </w:pPr>
    <w:rPr>
      <w:rFonts w:ascii="仿宋_GB2312" w:eastAsia="仿宋_GB2312"/>
      <w:sz w:val="28"/>
    </w:rPr>
  </w:style>
  <w:style w:type="paragraph" w:styleId="8">
    <w:name w:val="annotation text"/>
    <w:basedOn w:val="1"/>
    <w:link w:val="33"/>
    <w:autoRedefine/>
    <w:semiHidden/>
    <w:qFormat/>
    <w:uiPriority w:val="0"/>
    <w:pPr>
      <w:jc w:val="left"/>
    </w:pPr>
    <w:rPr>
      <w:kern w:val="0"/>
      <w:sz w:val="24"/>
      <w:szCs w:val="20"/>
    </w:rPr>
  </w:style>
  <w:style w:type="paragraph" w:styleId="9">
    <w:name w:val="Body Text"/>
    <w:basedOn w:val="1"/>
    <w:next w:val="1"/>
    <w:link w:val="34"/>
    <w:autoRedefine/>
    <w:qFormat/>
    <w:uiPriority w:val="0"/>
    <w:pPr>
      <w:widowControl/>
      <w:snapToGrid w:val="0"/>
      <w:spacing w:before="60" w:after="160" w:line="259" w:lineRule="auto"/>
      <w:ind w:right="113"/>
    </w:pPr>
    <w:rPr>
      <w:kern w:val="0"/>
      <w:sz w:val="18"/>
      <w:szCs w:val="20"/>
    </w:rPr>
  </w:style>
  <w:style w:type="paragraph" w:styleId="10">
    <w:name w:val="Body Text Indent"/>
    <w:basedOn w:val="1"/>
    <w:next w:val="1"/>
    <w:link w:val="35"/>
    <w:autoRedefine/>
    <w:qFormat/>
    <w:uiPriority w:val="0"/>
    <w:pPr>
      <w:spacing w:after="120"/>
      <w:ind w:left="420" w:leftChars="200"/>
    </w:pPr>
    <w:rPr>
      <w:kern w:val="0"/>
      <w:sz w:val="24"/>
      <w:szCs w:val="20"/>
    </w:rPr>
  </w:style>
  <w:style w:type="paragraph" w:styleId="11">
    <w:name w:val="Plain Text"/>
    <w:basedOn w:val="1"/>
    <w:autoRedefine/>
    <w:qFormat/>
    <w:locked/>
    <w:uiPriority w:val="0"/>
    <w:rPr>
      <w:rFonts w:ascii="Times New Roman" w:hAnsi="Times New Roman" w:eastAsia="宋体"/>
      <w:szCs w:val="21"/>
    </w:rPr>
  </w:style>
  <w:style w:type="paragraph" w:styleId="12">
    <w:name w:val="Date"/>
    <w:basedOn w:val="1"/>
    <w:next w:val="1"/>
    <w:link w:val="36"/>
    <w:autoRedefine/>
    <w:qFormat/>
    <w:uiPriority w:val="0"/>
    <w:pPr>
      <w:ind w:left="100" w:leftChars="2500"/>
    </w:pPr>
    <w:rPr>
      <w:kern w:val="0"/>
      <w:sz w:val="24"/>
      <w:szCs w:val="20"/>
    </w:rPr>
  </w:style>
  <w:style w:type="paragraph" w:styleId="13">
    <w:name w:val="Balloon Text"/>
    <w:basedOn w:val="1"/>
    <w:link w:val="37"/>
    <w:autoRedefine/>
    <w:semiHidden/>
    <w:qFormat/>
    <w:uiPriority w:val="0"/>
    <w:rPr>
      <w:kern w:val="0"/>
      <w:sz w:val="18"/>
      <w:szCs w:val="20"/>
    </w:rPr>
  </w:style>
  <w:style w:type="paragraph" w:styleId="14">
    <w:name w:val="footer"/>
    <w:basedOn w:val="1"/>
    <w:link w:val="38"/>
    <w:autoRedefine/>
    <w:qFormat/>
    <w:uiPriority w:val="99"/>
    <w:pPr>
      <w:tabs>
        <w:tab w:val="center" w:pos="4153"/>
        <w:tab w:val="right" w:pos="8306"/>
      </w:tabs>
      <w:snapToGrid w:val="0"/>
      <w:jc w:val="left"/>
    </w:pPr>
    <w:rPr>
      <w:kern w:val="0"/>
      <w:sz w:val="18"/>
      <w:szCs w:val="20"/>
    </w:rPr>
  </w:style>
  <w:style w:type="paragraph" w:styleId="15">
    <w:name w:val="header"/>
    <w:basedOn w:val="1"/>
    <w:next w:val="1"/>
    <w:link w:val="39"/>
    <w:autoRedefine/>
    <w:qFormat/>
    <w:uiPriority w:val="0"/>
    <w:pPr>
      <w:pBdr>
        <w:bottom w:val="single" w:color="auto" w:sz="6" w:space="1"/>
      </w:pBdr>
      <w:tabs>
        <w:tab w:val="center" w:pos="4153"/>
        <w:tab w:val="right" w:pos="8306"/>
      </w:tabs>
      <w:snapToGrid w:val="0"/>
      <w:jc w:val="center"/>
    </w:pPr>
    <w:rPr>
      <w:kern w:val="0"/>
      <w:sz w:val="18"/>
      <w:szCs w:val="20"/>
    </w:rPr>
  </w:style>
  <w:style w:type="paragraph" w:styleId="16">
    <w:name w:val="toc 1"/>
    <w:basedOn w:val="1"/>
    <w:next w:val="1"/>
    <w:autoRedefine/>
    <w:qFormat/>
    <w:locked/>
    <w:uiPriority w:val="0"/>
    <w:pPr>
      <w:widowControl/>
      <w:tabs>
        <w:tab w:val="right" w:leader="dot" w:pos="9061"/>
      </w:tabs>
      <w:adjustRightInd w:val="0"/>
      <w:snapToGrid w:val="0"/>
      <w:spacing w:before="100" w:beforeAutospacing="1" w:after="100" w:afterAutospacing="1"/>
    </w:pPr>
    <w:rPr>
      <w:rFonts w:cs="宋体-18030"/>
      <w:b/>
      <w:bCs/>
      <w:caps/>
      <w:kern w:val="0"/>
      <w:szCs w:val="22"/>
      <w:lang w:eastAsia="en-US" w:bidi="en-US"/>
    </w:rPr>
  </w:style>
  <w:style w:type="paragraph" w:styleId="17">
    <w:name w:val="index heading"/>
    <w:basedOn w:val="1"/>
    <w:next w:val="18"/>
    <w:autoRedefine/>
    <w:qFormat/>
    <w:locked/>
    <w:uiPriority w:val="0"/>
    <w:rPr>
      <w:szCs w:val="20"/>
    </w:rPr>
  </w:style>
  <w:style w:type="paragraph" w:styleId="18">
    <w:name w:val="index 1"/>
    <w:basedOn w:val="1"/>
    <w:next w:val="1"/>
    <w:autoRedefine/>
    <w:qFormat/>
    <w:locked/>
    <w:uiPriority w:val="0"/>
    <w:pPr>
      <w:widowControl/>
      <w:adjustRightInd w:val="0"/>
      <w:snapToGrid w:val="0"/>
      <w:spacing w:line="0" w:lineRule="atLeast"/>
      <w:jc w:val="center"/>
    </w:pPr>
    <w:rPr>
      <w:kern w:val="0"/>
      <w:szCs w:val="24"/>
      <w:lang w:eastAsia="en-US" w:bidi="en-US"/>
    </w:rPr>
  </w:style>
  <w:style w:type="paragraph" w:styleId="19">
    <w:name w:val="Normal (Web)"/>
    <w:basedOn w:val="1"/>
    <w:link w:val="40"/>
    <w:autoRedefine/>
    <w:qFormat/>
    <w:uiPriority w:val="0"/>
    <w:pPr>
      <w:widowControl/>
      <w:spacing w:before="100" w:beforeAutospacing="1" w:after="100" w:afterAutospacing="1"/>
      <w:jc w:val="left"/>
    </w:pPr>
    <w:rPr>
      <w:rFonts w:ascii="宋体" w:hAnsi="宋体"/>
      <w:kern w:val="0"/>
      <w:sz w:val="24"/>
      <w:szCs w:val="20"/>
    </w:rPr>
  </w:style>
  <w:style w:type="paragraph" w:styleId="20">
    <w:name w:val="annotation subject"/>
    <w:basedOn w:val="8"/>
    <w:next w:val="8"/>
    <w:link w:val="41"/>
    <w:autoRedefine/>
    <w:semiHidden/>
    <w:qFormat/>
    <w:uiPriority w:val="0"/>
    <w:rPr>
      <w:b/>
      <w:sz w:val="24"/>
      <w:szCs w:val="20"/>
    </w:rPr>
  </w:style>
  <w:style w:type="paragraph" w:styleId="21">
    <w:name w:val="Body Text First Indent"/>
    <w:basedOn w:val="9"/>
    <w:autoRedefine/>
    <w:qFormat/>
    <w:locked/>
    <w:uiPriority w:val="0"/>
    <w:pPr>
      <w:widowControl/>
      <w:adjustRightInd w:val="0"/>
      <w:snapToGrid w:val="0"/>
      <w:ind w:firstLine="420" w:firstLineChars="100"/>
    </w:pPr>
    <w:rPr>
      <w:sz w:val="28"/>
      <w:szCs w:val="24"/>
      <w:lang w:eastAsia="en-US" w:bidi="en-US"/>
    </w:rPr>
  </w:style>
  <w:style w:type="paragraph" w:styleId="22">
    <w:name w:val="Body Text First Indent 2"/>
    <w:basedOn w:val="10"/>
    <w:next w:val="21"/>
    <w:autoRedefine/>
    <w:qFormat/>
    <w:locked/>
    <w:uiPriority w:val="0"/>
    <w:pPr>
      <w:spacing w:after="120" w:line="240" w:lineRule="auto"/>
      <w:ind w:left="420" w:leftChars="200" w:firstLine="420"/>
    </w:pPr>
    <w:rPr>
      <w:sz w:val="21"/>
    </w:rPr>
  </w:style>
  <w:style w:type="table" w:styleId="24">
    <w:name w:val="Table Grid"/>
    <w:basedOn w:val="23"/>
    <w:autoRedefine/>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locked/>
    <w:uiPriority w:val="22"/>
    <w:rPr>
      <w:b/>
      <w:bCs/>
    </w:rPr>
  </w:style>
  <w:style w:type="character" w:styleId="27">
    <w:name w:val="page number"/>
    <w:basedOn w:val="25"/>
    <w:autoRedefine/>
    <w:qFormat/>
    <w:locked/>
    <w:uiPriority w:val="0"/>
  </w:style>
  <w:style w:type="character" w:styleId="28">
    <w:name w:val="Hyperlink"/>
    <w:basedOn w:val="25"/>
    <w:autoRedefine/>
    <w:qFormat/>
    <w:locked/>
    <w:uiPriority w:val="0"/>
    <w:rPr>
      <w:color w:val="0000FF"/>
      <w:u w:val="single"/>
    </w:rPr>
  </w:style>
  <w:style w:type="character" w:styleId="29">
    <w:name w:val="annotation reference"/>
    <w:autoRedefine/>
    <w:semiHidden/>
    <w:qFormat/>
    <w:uiPriority w:val="0"/>
    <w:rPr>
      <w:sz w:val="21"/>
    </w:rPr>
  </w:style>
  <w:style w:type="paragraph" w:customStyle="1" w:styleId="30">
    <w:name w:val="Default"/>
    <w:basedOn w:val="31"/>
    <w:autoRedefine/>
    <w:qFormat/>
    <w:uiPriority w:val="0"/>
    <w:pPr>
      <w:widowControl w:val="0"/>
      <w:autoSpaceDE w:val="0"/>
      <w:autoSpaceDN w:val="0"/>
      <w:adjustRightInd w:val="0"/>
      <w:spacing w:after="200" w:line="276" w:lineRule="auto"/>
    </w:pPr>
    <w:rPr>
      <w:rFonts w:ascii="仿宋_GB2312" w:hAnsi="Times New Roman" w:eastAsia="仿宋_GB2312" w:cs="仿宋_GB2312"/>
      <w:color w:val="000000"/>
      <w:sz w:val="24"/>
      <w:szCs w:val="24"/>
      <w:lang w:val="en-US" w:eastAsia="zh-CN" w:bidi="ar-SA"/>
    </w:rPr>
  </w:style>
  <w:style w:type="paragraph" w:customStyle="1" w:styleId="31">
    <w:name w:val="标题 段落4级"/>
    <w:autoRedefine/>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customStyle="1" w:styleId="32">
    <w:name w:val="样式1"/>
    <w:basedOn w:val="17"/>
    <w:next w:val="1"/>
    <w:autoRedefine/>
    <w:qFormat/>
    <w:uiPriority w:val="0"/>
    <w:pPr>
      <w:widowControl/>
      <w:adjustRightInd w:val="0"/>
      <w:snapToGrid w:val="0"/>
      <w:jc w:val="center"/>
    </w:pPr>
    <w:rPr>
      <w:rFonts w:ascii="宋体" w:hAnsi="宋体"/>
      <w:spacing w:val="-12"/>
      <w:kern w:val="0"/>
      <w:szCs w:val="28"/>
      <w:lang w:eastAsia="en-US" w:bidi="en-US"/>
    </w:rPr>
  </w:style>
  <w:style w:type="character" w:customStyle="1" w:styleId="33">
    <w:name w:val="批注文字 字符"/>
    <w:link w:val="8"/>
    <w:autoRedefine/>
    <w:qFormat/>
    <w:locked/>
    <w:uiPriority w:val="0"/>
    <w:rPr>
      <w:rFonts w:ascii="Times New Roman" w:hAnsi="Times New Roman" w:eastAsia="宋体"/>
      <w:sz w:val="24"/>
    </w:rPr>
  </w:style>
  <w:style w:type="character" w:customStyle="1" w:styleId="34">
    <w:name w:val="正文文本 字符"/>
    <w:link w:val="9"/>
    <w:autoRedefine/>
    <w:qFormat/>
    <w:locked/>
    <w:uiPriority w:val="0"/>
    <w:rPr>
      <w:sz w:val="18"/>
    </w:rPr>
  </w:style>
  <w:style w:type="character" w:customStyle="1" w:styleId="35">
    <w:name w:val="正文文本缩进 字符"/>
    <w:link w:val="10"/>
    <w:autoRedefine/>
    <w:semiHidden/>
    <w:qFormat/>
    <w:locked/>
    <w:uiPriority w:val="0"/>
    <w:rPr>
      <w:rFonts w:ascii="Times New Roman" w:hAnsi="Times New Roman" w:eastAsia="宋体"/>
      <w:sz w:val="24"/>
    </w:rPr>
  </w:style>
  <w:style w:type="character" w:customStyle="1" w:styleId="36">
    <w:name w:val="日期 字符1"/>
    <w:link w:val="12"/>
    <w:autoRedefine/>
    <w:qFormat/>
    <w:locked/>
    <w:uiPriority w:val="0"/>
    <w:rPr>
      <w:rFonts w:ascii="Times New Roman" w:hAnsi="Times New Roman" w:eastAsia="宋体"/>
      <w:sz w:val="24"/>
    </w:rPr>
  </w:style>
  <w:style w:type="character" w:customStyle="1" w:styleId="37">
    <w:name w:val="批注框文本 字符"/>
    <w:link w:val="13"/>
    <w:autoRedefine/>
    <w:semiHidden/>
    <w:qFormat/>
    <w:locked/>
    <w:uiPriority w:val="0"/>
    <w:rPr>
      <w:rFonts w:ascii="Times New Roman" w:hAnsi="Times New Roman" w:eastAsia="宋体"/>
      <w:sz w:val="18"/>
    </w:rPr>
  </w:style>
  <w:style w:type="character" w:customStyle="1" w:styleId="38">
    <w:name w:val="页脚 字符1"/>
    <w:link w:val="14"/>
    <w:autoRedefine/>
    <w:qFormat/>
    <w:locked/>
    <w:uiPriority w:val="99"/>
    <w:rPr>
      <w:sz w:val="18"/>
    </w:rPr>
  </w:style>
  <w:style w:type="character" w:customStyle="1" w:styleId="39">
    <w:name w:val="页眉 字符"/>
    <w:link w:val="15"/>
    <w:autoRedefine/>
    <w:qFormat/>
    <w:locked/>
    <w:uiPriority w:val="0"/>
    <w:rPr>
      <w:sz w:val="18"/>
    </w:rPr>
  </w:style>
  <w:style w:type="character" w:customStyle="1" w:styleId="40">
    <w:name w:val="普通(网站) 字符"/>
    <w:link w:val="19"/>
    <w:autoRedefine/>
    <w:qFormat/>
    <w:locked/>
    <w:uiPriority w:val="0"/>
    <w:rPr>
      <w:rFonts w:ascii="宋体" w:hAnsi="宋体" w:eastAsia="宋体"/>
      <w:sz w:val="24"/>
    </w:rPr>
  </w:style>
  <w:style w:type="character" w:customStyle="1" w:styleId="41">
    <w:name w:val="批注主题 字符"/>
    <w:link w:val="20"/>
    <w:autoRedefine/>
    <w:semiHidden/>
    <w:qFormat/>
    <w:locked/>
    <w:uiPriority w:val="0"/>
    <w:rPr>
      <w:rFonts w:ascii="Times New Roman" w:hAnsi="Times New Roman" w:eastAsia="宋体"/>
      <w:b/>
      <w:kern w:val="2"/>
      <w:sz w:val="24"/>
    </w:rPr>
  </w:style>
  <w:style w:type="paragraph" w:customStyle="1" w:styleId="42">
    <w:name w:val="0正文"/>
    <w:basedOn w:val="19"/>
    <w:autoRedefine/>
    <w:qFormat/>
    <w:uiPriority w:val="0"/>
    <w:pPr>
      <w:spacing w:before="0" w:beforeAutospacing="0" w:after="0" w:afterAutospacing="0"/>
      <w:ind w:firstLine="482"/>
      <w:jc w:val="both"/>
    </w:pPr>
    <w:rPr>
      <w:rFonts w:ascii="Times New Roman" w:hAnsi="Times New Roman"/>
      <w:kern w:val="2"/>
    </w:rPr>
  </w:style>
  <w:style w:type="character" w:customStyle="1" w:styleId="43">
    <w:name w:val="页脚 字符"/>
    <w:basedOn w:val="25"/>
    <w:autoRedefine/>
    <w:qFormat/>
    <w:uiPriority w:val="99"/>
  </w:style>
  <w:style w:type="character" w:customStyle="1" w:styleId="44">
    <w:name w:val="正文文本 字符1"/>
    <w:autoRedefine/>
    <w:semiHidden/>
    <w:qFormat/>
    <w:uiPriority w:val="0"/>
    <w:rPr>
      <w:rFonts w:ascii="Times New Roman" w:hAnsi="Times New Roman" w:eastAsia="宋体"/>
      <w:sz w:val="24"/>
    </w:rPr>
  </w:style>
  <w:style w:type="character" w:customStyle="1" w:styleId="45">
    <w:name w:val="日期 字符"/>
    <w:autoRedefine/>
    <w:semiHidden/>
    <w:qFormat/>
    <w:uiPriority w:val="0"/>
    <w:rPr>
      <w:rFonts w:ascii="Times New Roman" w:hAnsi="Times New Roman" w:eastAsia="宋体"/>
      <w:sz w:val="24"/>
    </w:rPr>
  </w:style>
  <w:style w:type="character" w:customStyle="1" w:styleId="46">
    <w:name w:val="批注文字 字符1"/>
    <w:autoRedefine/>
    <w:semiHidden/>
    <w:qFormat/>
    <w:uiPriority w:val="0"/>
    <w:rPr>
      <w:rFonts w:ascii="Times New Roman" w:hAnsi="Times New Roman" w:eastAsia="宋体"/>
      <w:sz w:val="24"/>
    </w:rPr>
  </w:style>
  <w:style w:type="character" w:customStyle="1" w:styleId="47">
    <w:name w:val="表格 Char"/>
    <w:link w:val="48"/>
    <w:autoRedefine/>
    <w:qFormat/>
    <w:locked/>
    <w:uiPriority w:val="0"/>
    <w:rPr>
      <w:rFonts w:ascii="宋体"/>
      <w:sz w:val="21"/>
    </w:rPr>
  </w:style>
  <w:style w:type="paragraph" w:customStyle="1" w:styleId="48">
    <w:name w:val="表格"/>
    <w:basedOn w:val="32"/>
    <w:next w:val="1"/>
    <w:link w:val="47"/>
    <w:autoRedefine/>
    <w:qFormat/>
    <w:uiPriority w:val="0"/>
    <w:pPr>
      <w:adjustRightInd w:val="0"/>
      <w:snapToGrid w:val="0"/>
      <w:spacing w:beforeLines="10" w:afterLines="10" w:line="259" w:lineRule="auto"/>
      <w:jc w:val="center"/>
    </w:pPr>
    <w:rPr>
      <w:rFonts w:ascii="宋体"/>
      <w:kern w:val="0"/>
      <w:szCs w:val="20"/>
    </w:rPr>
  </w:style>
  <w:style w:type="paragraph" w:customStyle="1" w:styleId="49">
    <w:name w:val="表格文字2"/>
    <w:basedOn w:val="1"/>
    <w:autoRedefine/>
    <w:qFormat/>
    <w:uiPriority w:val="0"/>
    <w:pPr>
      <w:tabs>
        <w:tab w:val="left" w:pos="277"/>
        <w:tab w:val="left" w:pos="600"/>
        <w:tab w:val="left" w:pos="780"/>
        <w:tab w:val="left" w:pos="2517"/>
      </w:tabs>
      <w:adjustRightInd w:val="0"/>
      <w:snapToGrid w:val="0"/>
      <w:spacing w:line="240" w:lineRule="auto"/>
      <w:ind w:firstLine="0" w:firstLineChars="0"/>
      <w:jc w:val="center"/>
      <w:textAlignment w:val="baseline"/>
    </w:pPr>
    <w:rPr>
      <w:kern w:val="0"/>
      <w:sz w:val="21"/>
      <w:szCs w:val="21"/>
    </w:rPr>
  </w:style>
  <w:style w:type="paragraph" w:customStyle="1" w:styleId="50">
    <w:name w:val="普通(网站)2"/>
    <w:basedOn w:val="1"/>
    <w:autoRedefine/>
    <w:qFormat/>
    <w:uiPriority w:val="0"/>
    <w:pPr>
      <w:widowControl/>
      <w:spacing w:before="100" w:beforeAutospacing="1" w:after="100" w:afterAutospacing="1"/>
      <w:jc w:val="left"/>
    </w:pPr>
    <w:rPr>
      <w:rFonts w:ascii="宋体" w:hAnsi="宋体"/>
      <w:sz w:val="24"/>
      <w:szCs w:val="20"/>
    </w:rPr>
  </w:style>
  <w:style w:type="paragraph" w:customStyle="1" w:styleId="51">
    <w:name w:val="xl27"/>
    <w:basedOn w:val="1"/>
    <w:autoRedefine/>
    <w:qFormat/>
    <w:uiPriority w:val="0"/>
    <w:pPr>
      <w:widowControl/>
      <w:pBdr>
        <w:bottom w:val="single" w:color="auto" w:sz="12" w:space="0"/>
      </w:pBdr>
      <w:spacing w:before="100" w:after="100"/>
      <w:jc w:val="center"/>
    </w:pPr>
    <w:rPr>
      <w:rFonts w:ascii="宋体" w:hAnsi="宋体"/>
      <w:kern w:val="0"/>
    </w:rPr>
  </w:style>
  <w:style w:type="paragraph" w:customStyle="1" w:styleId="52">
    <w:name w:val="表格内文字"/>
    <w:basedOn w:val="1"/>
    <w:autoRedefine/>
    <w:qFormat/>
    <w:uiPriority w:val="0"/>
    <w:pPr>
      <w:tabs>
        <w:tab w:val="left" w:pos="0"/>
      </w:tabs>
      <w:adjustRightInd w:val="0"/>
      <w:snapToGrid w:val="0"/>
      <w:jc w:val="center"/>
    </w:pPr>
    <w:rPr>
      <w:spacing w:val="4"/>
      <w:kern w:val="18"/>
    </w:rPr>
  </w:style>
  <w:style w:type="paragraph" w:customStyle="1" w:styleId="53">
    <w:name w:val="表头"/>
    <w:basedOn w:val="1"/>
    <w:autoRedefine/>
    <w:qFormat/>
    <w:uiPriority w:val="0"/>
    <w:pPr>
      <w:jc w:val="center"/>
    </w:pPr>
    <w:rPr>
      <w:b/>
      <w:szCs w:val="24"/>
    </w:rPr>
  </w:style>
  <w:style w:type="paragraph" w:customStyle="1" w:styleId="54">
    <w:name w:val="正文_1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5">
    <w:name w:val="表蕊"/>
    <w:autoRedefine/>
    <w:qFormat/>
    <w:uiPriority w:val="0"/>
    <w:pPr>
      <w:spacing w:line="320" w:lineRule="atLeast"/>
    </w:pPr>
    <w:rPr>
      <w:rFonts w:ascii="Times New Roman" w:hAnsi="Times New Roman" w:eastAsia="宋体" w:cs="Times New Roman"/>
      <w:spacing w:val="-10"/>
      <w:sz w:val="21"/>
      <w:szCs w:val="22"/>
      <w:lang w:val="en-US" w:eastAsia="zh-CN" w:bidi="ar-SA"/>
    </w:rPr>
  </w:style>
  <w:style w:type="paragraph" w:customStyle="1" w:styleId="56">
    <w:name w:val="首行缩进"/>
    <w:basedOn w:val="1"/>
    <w:autoRedefine/>
    <w:qFormat/>
    <w:uiPriority w:val="0"/>
    <w:pPr>
      <w:ind w:firstLine="480"/>
    </w:pPr>
    <w:rPr>
      <w:szCs w:val="24"/>
    </w:rPr>
  </w:style>
  <w:style w:type="paragraph" w:customStyle="1" w:styleId="57">
    <w:name w:val="图表"/>
    <w:basedOn w:val="1"/>
    <w:autoRedefine/>
    <w:qFormat/>
    <w:uiPriority w:val="0"/>
    <w:pPr>
      <w:adjustRightInd w:val="0"/>
      <w:snapToGrid w:val="0"/>
      <w:spacing w:line="240" w:lineRule="auto"/>
      <w:ind w:firstLine="0" w:firstLineChars="0"/>
      <w:jc w:val="center"/>
    </w:pPr>
    <w:rPr>
      <w:color w:val="000000"/>
      <w:sz w:val="21"/>
      <w:szCs w:val="21"/>
      <w:lang w:val="zh-CN"/>
    </w:rPr>
  </w:style>
  <w:style w:type="paragraph" w:customStyle="1" w:styleId="58">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9">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0">
    <w:name w:val="样式 表格 + 加粗"/>
    <w:basedOn w:val="48"/>
    <w:autoRedefine/>
    <w:qFormat/>
    <w:uiPriority w:val="0"/>
  </w:style>
  <w:style w:type="paragraph" w:customStyle="1" w:styleId="61">
    <w:name w:val="样式 样式 正文缩进正文（首行缩进两字） Char Char Char Char Char Char Char表格标题标题4文...."/>
    <w:basedOn w:val="62"/>
    <w:autoRedefine/>
    <w:qFormat/>
    <w:uiPriority w:val="0"/>
  </w:style>
  <w:style w:type="paragraph" w:customStyle="1" w:styleId="62">
    <w:name w:val="样式 正文缩进正文（首行缩进两字） Char Char Char Char Char Char Char表格标题标题4文..."/>
    <w:basedOn w:val="7"/>
    <w:autoRedefine/>
    <w:qFormat/>
    <w:uiPriority w:val="99"/>
    <w:pPr>
      <w:widowControl/>
      <w:overflowPunct w:val="0"/>
      <w:adjustRightInd w:val="0"/>
      <w:snapToGrid w:val="0"/>
      <w:spacing w:line="500" w:lineRule="exact"/>
      <w:ind w:firstLine="200" w:firstLineChars="200"/>
      <w:jc w:val="left"/>
    </w:pPr>
    <w:rPr>
      <w:rFonts w:ascii="宋体" w:hAnsi="宋体" w:eastAsia="仿宋_GB2312" w:cs="宋体"/>
      <w:sz w:val="28"/>
    </w:rPr>
  </w:style>
  <w:style w:type="paragraph" w:customStyle="1" w:styleId="63">
    <w:name w:val="表格1"/>
    <w:basedOn w:val="1"/>
    <w:autoRedefine/>
    <w:qFormat/>
    <w:uiPriority w:val="0"/>
    <w:pPr>
      <w:adjustRightInd w:val="0"/>
      <w:snapToGrid w:val="0"/>
      <w:spacing w:line="240" w:lineRule="auto"/>
      <w:ind w:firstLine="0" w:firstLineChars="0"/>
      <w:jc w:val="center"/>
    </w:pPr>
    <w:rPr>
      <w:sz w:val="21"/>
      <w:szCs w:val="21"/>
    </w:rPr>
  </w:style>
  <w:style w:type="table" w:customStyle="1" w:styleId="64">
    <w:name w:val="网格型4"/>
    <w:basedOn w:val="23"/>
    <w:autoRedefine/>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5">
    <w:name w:val="Table Paragraph"/>
    <w:basedOn w:val="1"/>
    <w:autoRedefine/>
    <w:qFormat/>
    <w:uiPriority w:val="1"/>
  </w:style>
  <w:style w:type="paragraph" w:customStyle="1" w:styleId="66">
    <w:name w:val="Body Text 21"/>
    <w:basedOn w:val="1"/>
    <w:autoRedefine/>
    <w:qFormat/>
    <w:uiPriority w:val="0"/>
    <w:pPr>
      <w:adjustRightInd w:val="0"/>
      <w:spacing w:line="540" w:lineRule="exact"/>
      <w:ind w:firstLine="570"/>
      <w:textAlignment w:val="baseline"/>
    </w:pPr>
    <w:rPr>
      <w:rFonts w:ascii="文鼎CS楷体" w:eastAsia="文鼎CS楷体"/>
      <w:sz w:val="28"/>
      <w:szCs w:val="20"/>
    </w:rPr>
  </w:style>
  <w:style w:type="paragraph" w:customStyle="1" w:styleId="67">
    <w:name w:val="p0"/>
    <w:basedOn w:val="1"/>
    <w:autoRedefine/>
    <w:qFormat/>
    <w:uiPriority w:val="0"/>
    <w:pPr>
      <w:widowControl/>
      <w:adjustRightInd w:val="0"/>
      <w:snapToGrid w:val="0"/>
      <w:spacing w:line="360" w:lineRule="auto"/>
      <w:ind w:firstLine="200" w:firstLineChars="200"/>
    </w:pPr>
    <w:rPr>
      <w:kern w:val="0"/>
      <w:sz w:val="24"/>
      <w:szCs w:val="21"/>
    </w:rPr>
  </w:style>
  <w:style w:type="paragraph" w:customStyle="1" w:styleId="68">
    <w:name w:val="表格标题"/>
    <w:basedOn w:val="69"/>
    <w:next w:val="1"/>
    <w:autoRedefine/>
    <w:qFormat/>
    <w:uiPriority w:val="0"/>
    <w:pPr>
      <w:ind w:firstLine="0" w:firstLineChars="0"/>
      <w:jc w:val="center"/>
    </w:pPr>
    <w:rPr>
      <w:b/>
    </w:rPr>
  </w:style>
  <w:style w:type="paragraph" w:customStyle="1" w:styleId="69">
    <w:name w:val="应急正文"/>
    <w:basedOn w:val="1"/>
    <w:autoRedefine/>
    <w:qFormat/>
    <w:uiPriority w:val="0"/>
    <w:pPr>
      <w:ind w:firstLine="560"/>
    </w:pPr>
  </w:style>
  <w:style w:type="paragraph" w:customStyle="1" w:styleId="70">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71">
    <w:name w:val="表格文字"/>
    <w:basedOn w:val="68"/>
    <w:autoRedefine/>
    <w:qFormat/>
    <w:uiPriority w:val="0"/>
    <w:pPr>
      <w:tabs>
        <w:tab w:val="left" w:pos="0"/>
        <w:tab w:val="left" w:pos="277"/>
        <w:tab w:val="left" w:pos="600"/>
        <w:tab w:val="left" w:pos="780"/>
        <w:tab w:val="left" w:pos="2517"/>
      </w:tabs>
      <w:adjustRightInd w:val="0"/>
      <w:spacing w:line="240" w:lineRule="auto"/>
      <w:textAlignment w:val="baseline"/>
    </w:pPr>
    <w:rPr>
      <w:b w:val="0"/>
      <w:kern w:val="0"/>
      <w:sz w:val="21"/>
      <w:szCs w:val="21"/>
    </w:rPr>
  </w:style>
  <w:style w:type="paragraph" w:customStyle="1" w:styleId="72">
    <w:name w:val="文本1"/>
    <w:basedOn w:val="1"/>
    <w:qFormat/>
    <w:uiPriority w:val="0"/>
    <w:pPr>
      <w:ind w:firstLine="397"/>
      <w:jc w:val="left"/>
    </w:pPr>
    <w:rPr>
      <w:rFonts w:ascii="宋体" w:hAnsi="宋体"/>
      <w:color w:val="000000"/>
      <w:sz w:val="28"/>
      <w:szCs w:val="22"/>
    </w:rPr>
  </w:style>
  <w:style w:type="paragraph" w:customStyle="1" w:styleId="73">
    <w:name w:val="列出段落3"/>
    <w:basedOn w:val="1"/>
    <w:autoRedefine/>
    <w:qFormat/>
    <w:uiPriority w:val="0"/>
    <w:pPr>
      <w:ind w:firstLine="420"/>
    </w:pPr>
    <w:rPr>
      <w:rFonts w:ascii="Calibri" w:hAnsi="Calibri"/>
      <w:szCs w:val="24"/>
    </w:rPr>
  </w:style>
  <w:style w:type="paragraph" w:customStyle="1" w:styleId="74">
    <w:name w:val="样式35"/>
    <w:basedOn w:val="1"/>
    <w:next w:val="1"/>
    <w:qFormat/>
    <w:uiPriority w:val="0"/>
    <w:pPr>
      <w:spacing w:line="312" w:lineRule="auto"/>
      <w:ind w:firstLine="567"/>
    </w:pPr>
    <w:rPr>
      <w:rFonts w:ascii="宋体"/>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38</Pages>
  <Words>18483</Words>
  <Characters>20377</Characters>
  <Lines>13</Lines>
  <Paragraphs>3</Paragraphs>
  <TotalTime>160</TotalTime>
  <ScaleCrop>false</ScaleCrop>
  <LinksUpToDate>false</LinksUpToDate>
  <CharactersWithSpaces>20456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2021-03-02T06:40:00Z</dcterms:created>
  <dc:creator>lhj</dc:creator>
  <cp:lastModifiedBy>王爱华</cp:lastModifiedBy>
  <cp:lastPrinted>2024-12-11T05:42:00Z</cp:lastPrinted>
  <dcterms:modified xsi:type="dcterms:W3CDTF">2025-04-16T05:40:34Z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7D14E5F925374EB6BB748C0935980DA1_13</vt:lpwstr>
  </property>
  <property fmtid="{D5CDD505-2E9C-101B-9397-08002B2CF9AE}" pid="4" name="KSOTemplateDocerSaveRecord">
    <vt:lpwstr>eyJoZGlkIjoiZWYzNTM3YjE5Mzc2NGQ2OTQ3ZmRjMGQxOTQ0MmY5ODgiLCJ1c2VySWQiOiI0MzI0MDA1MTUifQ==</vt:lpwstr>
  </property>
</Properties>
</file>