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_GBK" w:cs="Times New Roman"/>
          <w:sz w:val="44"/>
          <w:szCs w:val="44"/>
        </w:rPr>
      </w:pPr>
    </w:p>
    <w:p>
      <w:pPr>
        <w:spacing w:line="56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如皋市</w:t>
      </w:r>
      <w:r>
        <w:rPr>
          <w:rFonts w:ascii="Times New Roman" w:hAnsi="Times New Roman" w:eastAsia="方正小标宋_GBK" w:cs="Times New Roman"/>
          <w:sz w:val="44"/>
          <w:szCs w:val="44"/>
        </w:rPr>
        <w:t>信访局202</w:t>
      </w:r>
      <w:r>
        <w:rPr>
          <w:rFonts w:hint="eastAsia" w:ascii="Times New Roman" w:hAnsi="Times New Roman" w:eastAsia="方正小标宋_GBK" w:cs="Times New Roman"/>
          <w:sz w:val="44"/>
          <w:szCs w:val="44"/>
        </w:rPr>
        <w:t>4</w:t>
      </w:r>
      <w:r>
        <w:rPr>
          <w:rFonts w:ascii="Times New Roman" w:hAnsi="Times New Roman" w:eastAsia="方正小标宋_GBK" w:cs="Times New Roman"/>
          <w:sz w:val="44"/>
          <w:szCs w:val="44"/>
        </w:rPr>
        <w:t>年政府信息公开工作</w:t>
      </w:r>
      <w:r>
        <w:rPr>
          <w:rFonts w:hint="eastAsia" w:ascii="Times New Roman" w:hAnsi="Times New Roman" w:eastAsia="方正小标宋_GBK" w:cs="Times New Roman"/>
          <w:sz w:val="44"/>
          <w:szCs w:val="44"/>
        </w:rPr>
        <w:br w:type="textWrapping"/>
      </w:r>
      <w:r>
        <w:rPr>
          <w:rFonts w:ascii="Times New Roman" w:hAnsi="Times New Roman" w:eastAsia="方正小标宋_GBK" w:cs="Times New Roman"/>
          <w:sz w:val="44"/>
          <w:szCs w:val="44"/>
        </w:rPr>
        <w:t>年度报告</w:t>
      </w:r>
    </w:p>
    <w:p>
      <w:pPr>
        <w:spacing w:line="560" w:lineRule="exact"/>
        <w:jc w:val="center"/>
        <w:rPr>
          <w:rFonts w:ascii="Times New Roman" w:hAnsi="Times New Roman"/>
          <w:sz w:val="44"/>
          <w:szCs w:val="44"/>
        </w:rPr>
      </w:pPr>
    </w:p>
    <w:p>
      <w:pPr>
        <w:spacing w:line="56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一、总体情况</w:t>
      </w:r>
    </w:p>
    <w:p>
      <w:pPr>
        <w:spacing w:line="56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1.</w:t>
      </w:r>
      <w:r>
        <w:rPr>
          <w:rFonts w:hint="eastAsia" w:ascii="方正楷体_GBK" w:hAnsi="Times New Roman" w:eastAsia="方正楷体_GBK" w:cs="方正仿宋_GBK"/>
          <w:sz w:val="32"/>
          <w:szCs w:val="32"/>
        </w:rPr>
        <w:t>上级工作要点贯彻落实情况</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年，市信访局认真贯彻落实了国办、省办关于信息公开相关部署要求，结合《政府信息公开条例》，坚持以</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公开为常态、不公开为例外</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原则，不断完善工作机制，落实各项工作制度，及时、准确地公开了相关政府信息。</w:t>
      </w:r>
    </w:p>
    <w:p>
      <w:pPr>
        <w:spacing w:line="56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2.</w:t>
      </w:r>
      <w:r>
        <w:rPr>
          <w:rFonts w:hint="eastAsia" w:ascii="方正楷体_GBK" w:hAnsi="Times New Roman" w:eastAsia="方正楷体_GBK" w:cs="方正仿宋_GBK"/>
          <w:sz w:val="32"/>
          <w:szCs w:val="32"/>
        </w:rPr>
        <w:t>主动公开情况</w:t>
      </w:r>
      <w:r>
        <w:rPr>
          <w:rFonts w:ascii="Times New Roman" w:hAnsi="Times New Roman" w:eastAsia="方正仿宋_GBK" w:cs="方正仿宋_GBK"/>
          <w:sz w:val="32"/>
          <w:szCs w:val="32"/>
        </w:rPr>
        <w:t>。</w:t>
      </w:r>
      <w:r>
        <w:rPr>
          <w:rFonts w:ascii="Times New Roman" w:hAnsi="Times New Roman" w:eastAsia="方正仿宋_GBK" w:cs="方正仿宋_GBK"/>
          <w:b/>
          <w:sz w:val="32"/>
          <w:szCs w:val="32"/>
        </w:rPr>
        <w:t>主动公开政府信息</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年，市信访局按照《政府信息公开条例》规定时间对外公布了</w:t>
      </w:r>
      <w:r>
        <w:rPr>
          <w:rFonts w:hint="eastAsia" w:ascii="Times New Roman" w:hAnsi="Times New Roman" w:eastAsia="方正仿宋_GBK" w:cs="方正仿宋_GBK"/>
          <w:sz w:val="32"/>
          <w:szCs w:val="32"/>
        </w:rPr>
        <w:t>政府信息19条，其中：信息公开指南1条，信息公开制度1条，信息公开年报1条，机构职能1条，机构设置1条，领导分工1条，办公地址及时间1条，政策文件2条，公告公示3条，计划总结1条，部门预决算4条，公开动态信息2条。</w:t>
      </w:r>
      <w:r>
        <w:rPr>
          <w:rFonts w:ascii="Times New Roman" w:hAnsi="Times New Roman" w:eastAsia="方正仿宋_GBK" w:cs="方正仿宋_GBK"/>
          <w:sz w:val="32"/>
          <w:szCs w:val="32"/>
        </w:rPr>
        <w:t>公布了群众来访的办事程序、办理期限、服务电话，对群众在领导信箱中反映的问题，及时进行办理和回复。</w:t>
      </w:r>
      <w:r>
        <w:rPr>
          <w:rFonts w:ascii="Times New Roman" w:hAnsi="Times New Roman" w:eastAsia="方正仿宋_GBK" w:cs="方正仿宋_GBK"/>
          <w:b/>
          <w:sz w:val="32"/>
          <w:szCs w:val="32"/>
        </w:rPr>
        <w:t>主动公开的途径</w:t>
      </w:r>
      <w:r>
        <w:rPr>
          <w:rFonts w:ascii="Times New Roman" w:hAnsi="Times New Roman" w:eastAsia="方正仿宋_GBK" w:cs="方正仿宋_GBK"/>
          <w:sz w:val="32"/>
          <w:szCs w:val="32"/>
        </w:rPr>
        <w:t>。市信访局政府信息公开主要依托市政府信息公开系统、市人民来访接待中心显示屏、江苏省和南通市信访网站。</w:t>
      </w:r>
    </w:p>
    <w:p>
      <w:pPr>
        <w:spacing w:line="560" w:lineRule="exact"/>
        <w:ind w:firstLine="640" w:firstLineChars="200"/>
        <w:rPr>
          <w:rFonts w:hint="eastAsia" w:ascii="Times New Roman" w:hAnsi="Times New Roman" w:eastAsia="方正仿宋_GBK" w:cs="方正仿宋_GBK"/>
          <w:sz w:val="32"/>
          <w:szCs w:val="32"/>
        </w:rPr>
      </w:pPr>
      <w:r>
        <w:rPr>
          <w:rFonts w:ascii="Times New Roman" w:hAnsi="Times New Roman" w:eastAsia="方正仿宋_GBK" w:cs="方正仿宋_GBK"/>
          <w:sz w:val="32"/>
          <w:szCs w:val="32"/>
        </w:rPr>
        <w:t>3.</w:t>
      </w:r>
      <w:r>
        <w:rPr>
          <w:rFonts w:hint="eastAsia" w:ascii="方正楷体_GBK" w:hAnsi="Times New Roman" w:eastAsia="方正楷体_GBK" w:cs="方正仿宋_GBK"/>
          <w:sz w:val="32"/>
          <w:szCs w:val="32"/>
        </w:rPr>
        <w:t>依申请公开办理情况</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年，市信访局收到</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件依申请公开的申请，</w:t>
      </w:r>
      <w:r>
        <w:rPr>
          <w:rFonts w:hint="eastAsia" w:ascii="Times New Roman" w:hAnsi="Times New Roman" w:eastAsia="方正仿宋_GBK" w:cs="方正仿宋_GBK"/>
          <w:sz w:val="32"/>
          <w:szCs w:val="32"/>
        </w:rPr>
        <w:t>3件“</w:t>
      </w:r>
      <w:r>
        <w:rPr>
          <w:rFonts w:ascii="Times New Roman" w:hAnsi="Times New Roman" w:eastAsia="方正仿宋_GBK" w:cs="方正仿宋_GBK"/>
          <w:sz w:val="32"/>
          <w:szCs w:val="32"/>
        </w:rPr>
        <w:t>属于</w:t>
      </w:r>
      <w:r>
        <w:rPr>
          <w:rFonts w:hint="eastAsia" w:ascii="Times New Roman" w:hAnsi="Times New Roman" w:eastAsia="方正仿宋_GBK" w:cs="方正仿宋_GBK"/>
          <w:sz w:val="32"/>
          <w:szCs w:val="32"/>
        </w:rPr>
        <w:t>三类内部事务信息”</w:t>
      </w:r>
      <w:r>
        <w:rPr>
          <w:rFonts w:ascii="Times New Roman" w:hAnsi="Times New Roman" w:eastAsia="方正仿宋_GBK" w:cs="方正仿宋_GBK"/>
          <w:sz w:val="32"/>
          <w:szCs w:val="32"/>
        </w:rPr>
        <w:t>的类型</w:t>
      </w:r>
      <w:r>
        <w:rPr>
          <w:rFonts w:hint="eastAsia" w:ascii="Times New Roman" w:hAnsi="Times New Roman" w:eastAsia="方正仿宋_GBK" w:cs="方正仿宋_GBK"/>
          <w:sz w:val="32"/>
          <w:szCs w:val="32"/>
        </w:rPr>
        <w:t>，1件属于“本机关不掌握相关政府信息”的类型</w:t>
      </w:r>
      <w:r>
        <w:rPr>
          <w:rFonts w:ascii="Times New Roman" w:hAnsi="Times New Roman" w:eastAsia="方正仿宋_GBK" w:cs="方正仿宋_GBK"/>
          <w:sz w:val="32"/>
          <w:szCs w:val="32"/>
        </w:rPr>
        <w:t>。市信访局在规定时间内进行了办理，并以书面形式向申请人进行了答复</w:t>
      </w:r>
      <w:r>
        <w:rPr>
          <w:rFonts w:hint="eastAsia" w:ascii="Times New Roman" w:hAnsi="Times New Roman" w:eastAsia="方正仿宋_GBK" w:cs="方正仿宋_GBK"/>
          <w:sz w:val="32"/>
          <w:szCs w:val="32"/>
        </w:rPr>
        <w:t>。目前</w:t>
      </w:r>
      <w:r>
        <w:rPr>
          <w:rFonts w:ascii="Times New Roman" w:hAnsi="Times New Roman" w:eastAsia="方正仿宋_GBK" w:cs="方正仿宋_GBK"/>
          <w:sz w:val="32"/>
          <w:szCs w:val="32"/>
        </w:rPr>
        <w:t>均已办结</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无上年结转</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无结转下年。</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hint="eastAsia" w:ascii="方正楷体_GBK" w:hAnsi="Times New Roman" w:eastAsia="方正楷体_GBK" w:cs="方正仿宋_GBK"/>
          <w:sz w:val="32"/>
          <w:szCs w:val="32"/>
        </w:rPr>
        <w:t>政府信息公开行政复议、行政诉讼情况</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年，市信访局收到行政复议</w:t>
      </w:r>
      <w:r>
        <w:rPr>
          <w:rFonts w:hint="eastAsia" w:ascii="Times New Roman" w:hAnsi="Times New Roman" w:eastAsia="方正仿宋_GBK" w:cs="方正仿宋_GBK"/>
          <w:sz w:val="32"/>
          <w:szCs w:val="32"/>
        </w:rPr>
        <w:t>1件，维持结果。无行政诉讼。</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ascii="Times New Roman" w:hAnsi="Times New Roman" w:eastAsia="方正仿宋_GBK" w:cs="方正仿宋_GBK"/>
          <w:sz w:val="32"/>
          <w:szCs w:val="32"/>
        </w:rPr>
        <w:t>.</w:t>
      </w:r>
      <w:r>
        <w:rPr>
          <w:rFonts w:hint="eastAsia" w:ascii="方正楷体_GBK" w:hAnsi="Times New Roman" w:eastAsia="方正楷体_GBK" w:cs="方正仿宋_GBK"/>
          <w:sz w:val="32"/>
          <w:szCs w:val="32"/>
        </w:rPr>
        <w:t>政府信息资源管理情况</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完善了由局主要领导负总责、分管领导亲自抓、办公室专门人员具体抓的政府信息公开工作组织机构。分管领导和具体承办人员积极学习贯彻政府信息公开工作相关精神和要求，专门组织全局人员对《政府信息公开条例》进行系统学习宣传，进一步规范信息公开内容，规范依申请公开办理流程，不断提升业务素质，提高政府信息公开工作的质效。</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ascii="Times New Roman" w:hAnsi="Times New Roman" w:eastAsia="方正仿宋_GBK" w:cs="方正仿宋_GBK"/>
          <w:sz w:val="32"/>
          <w:szCs w:val="32"/>
        </w:rPr>
        <w:t>.</w:t>
      </w:r>
      <w:r>
        <w:rPr>
          <w:rFonts w:hint="eastAsia" w:ascii="方正楷体_GBK" w:hAnsi="Times New Roman" w:eastAsia="方正楷体_GBK" w:cs="方正仿宋_GBK"/>
          <w:sz w:val="32"/>
          <w:szCs w:val="32"/>
        </w:rPr>
        <w:t>政府信息公开平台建设情况</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年，市信访局依托市政府门户网站，面对社会开设群众网上信访事项投诉受理工作平台，方便群众在网上反映问题、表达诉求、提出意见和建议。在全市开通</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阳光信访</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信息系统，及时受理办理群众来信来访事项诉求，对办理结果充分征求群众意见建议，进行网上满意度评价。在市人民来访接待大厅设立了电子显示屏，及时公开群众信访事项办理流程、注意事项、信访禁止类行为等相关内容，并印制发放宣传手册，通过多层次、多角度的公开体系，方便群众及时、有效获取政府信息，不断提高人民群众的获得感、幸福感、安全感。</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7</w:t>
      </w:r>
      <w:r>
        <w:rPr>
          <w:rFonts w:ascii="Times New Roman" w:hAnsi="Times New Roman" w:eastAsia="方正仿宋_GBK" w:cs="方正仿宋_GBK"/>
          <w:sz w:val="32"/>
          <w:szCs w:val="32"/>
        </w:rPr>
        <w:t>.</w:t>
      </w:r>
      <w:r>
        <w:rPr>
          <w:rFonts w:hint="eastAsia" w:ascii="方正楷体_GBK" w:hAnsi="Times New Roman" w:eastAsia="方正楷体_GBK" w:cs="方正仿宋_GBK"/>
          <w:sz w:val="32"/>
          <w:szCs w:val="32"/>
        </w:rPr>
        <w:t>政府信息公开监督保障情况</w:t>
      </w:r>
      <w:r>
        <w:rPr>
          <w:rFonts w:ascii="Times New Roman" w:hAnsi="Times New Roman" w:eastAsia="方正仿宋_GBK" w:cs="方正仿宋_GBK"/>
          <w:sz w:val="32"/>
          <w:szCs w:val="32"/>
        </w:rPr>
        <w:t>。202</w:t>
      </w: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年，市信访局根据工作实际，进一步规范了政府信息公开工作流程，不断完善政府信息公开工作中的主动公开、依申请公开、保密审查、责任追究、年度报告、考核评估工作制度，对公众关注度高的热点问题，完善了热点回应及主要负责人走进政风行风热线回应群众关切制度。年内无责任追究现象，社会评议较好。</w:t>
      </w:r>
    </w:p>
    <w:p>
      <w:pPr>
        <w:spacing w:line="56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二、主动公开政府信息情况</w:t>
      </w:r>
    </w:p>
    <w:tbl>
      <w:tblPr>
        <w:tblStyle w:val="5"/>
        <w:tblW w:w="8140" w:type="dxa"/>
        <w:jc w:val="center"/>
        <w:tblInd w:w="0" w:type="dxa"/>
        <w:tblLayout w:type="fixed"/>
        <w:tblCellMar>
          <w:top w:w="0" w:type="dxa"/>
          <w:left w:w="0" w:type="dxa"/>
          <w:bottom w:w="0" w:type="dxa"/>
          <w:right w:w="0" w:type="dxa"/>
        </w:tblCellMar>
      </w:tblPr>
      <w:tblGrid>
        <w:gridCol w:w="3113"/>
        <w:gridCol w:w="1875"/>
        <w:gridCol w:w="1477"/>
        <w:gridCol w:w="1675"/>
      </w:tblGrid>
      <w:tr>
        <w:tblPrEx>
          <w:tblLayout w:type="fixed"/>
          <w:tblCellMar>
            <w:top w:w="0" w:type="dxa"/>
            <w:left w:w="0" w:type="dxa"/>
            <w:bottom w:w="0" w:type="dxa"/>
            <w:right w:w="0" w:type="dxa"/>
          </w:tblCellMar>
        </w:tblPrEx>
        <w:trPr>
          <w:trHeight w:val="340"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第二十条第（一）项</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信息内容</w:t>
            </w:r>
          </w:p>
        </w:tc>
        <w:tc>
          <w:tcPr>
            <w:tcW w:w="1875" w:type="dxa"/>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本年制发件数</w:t>
            </w:r>
          </w:p>
        </w:tc>
        <w:tc>
          <w:tcPr>
            <w:tcW w:w="1477"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本年废止件数</w:t>
            </w:r>
          </w:p>
        </w:tc>
        <w:tc>
          <w:tcPr>
            <w:tcW w:w="167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现行有效件数</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Times New Roman" w:hAnsi="Times New Roman" w:cs="宋体"/>
                <w:kern w:val="0"/>
                <w:sz w:val="20"/>
                <w:szCs w:val="20"/>
              </w:rPr>
            </w:pPr>
            <w:r>
              <w:rPr>
                <w:rFonts w:hint="eastAsia" w:ascii="Times New Roman" w:hAnsi="Times New Roman" w:cs="宋体"/>
                <w:color w:val="000000"/>
                <w:kern w:val="0"/>
                <w:sz w:val="20"/>
                <w:szCs w:val="20"/>
              </w:rPr>
              <w:t>规章</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1477"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167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Times New Roman" w:hAnsi="Times New Roman" w:cs="宋体"/>
                <w:kern w:val="0"/>
                <w:sz w:val="20"/>
                <w:szCs w:val="20"/>
              </w:rPr>
            </w:pPr>
            <w:r>
              <w:rPr>
                <w:rFonts w:hint="eastAsia" w:ascii="Times New Roman" w:hAnsi="Times New Roman" w:cs="宋体"/>
                <w:color w:val="000000"/>
                <w:kern w:val="0"/>
                <w:sz w:val="20"/>
                <w:szCs w:val="20"/>
              </w:rPr>
              <w:t>行政规范性文件</w:t>
            </w:r>
          </w:p>
        </w:tc>
        <w:tc>
          <w:tcPr>
            <w:tcW w:w="187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color w:val="000000" w:themeColor="text1"/>
                <w:kern w:val="0"/>
                <w:sz w:val="20"/>
                <w:szCs w:val="20"/>
              </w:rPr>
            </w:pPr>
            <w:r>
              <w:rPr>
                <w:rFonts w:hint="eastAsia" w:ascii="Times New Roman" w:hAnsi="Times New Roman" w:cs="Times New Roman"/>
                <w:color w:val="000000" w:themeColor="text1"/>
                <w:kern w:val="0"/>
                <w:sz w:val="20"/>
                <w:szCs w:val="20"/>
              </w:rPr>
              <w:t>0</w:t>
            </w:r>
          </w:p>
        </w:tc>
        <w:tc>
          <w:tcPr>
            <w:tcW w:w="1477"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color w:val="000000" w:themeColor="text1"/>
                <w:kern w:val="0"/>
                <w:sz w:val="20"/>
                <w:szCs w:val="20"/>
              </w:rPr>
            </w:pPr>
            <w:r>
              <w:rPr>
                <w:rFonts w:hint="eastAsia" w:ascii="Times New Roman" w:hAnsi="Times New Roman" w:cs="Times New Roman"/>
                <w:color w:val="000000" w:themeColor="text1"/>
                <w:kern w:val="0"/>
                <w:sz w:val="20"/>
                <w:szCs w:val="20"/>
              </w:rPr>
              <w:t>0</w:t>
            </w:r>
          </w:p>
        </w:tc>
        <w:tc>
          <w:tcPr>
            <w:tcW w:w="1675" w:type="dxa"/>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color w:val="000000" w:themeColor="text1"/>
                <w:kern w:val="0"/>
                <w:sz w:val="20"/>
                <w:szCs w:val="20"/>
              </w:rPr>
            </w:pPr>
            <w:r>
              <w:rPr>
                <w:rFonts w:hint="eastAsia" w:ascii="Times New Roman" w:hAnsi="Times New Roman" w:cs="Times New Roman"/>
                <w:color w:val="000000" w:themeColor="text1"/>
                <w:kern w:val="0"/>
                <w:sz w:val="20"/>
                <w:szCs w:val="20"/>
              </w:rPr>
              <w:t>0</w:t>
            </w:r>
          </w:p>
        </w:tc>
      </w:tr>
      <w:tr>
        <w:tblPrEx>
          <w:tblLayout w:type="fixed"/>
          <w:tblCellMar>
            <w:top w:w="0" w:type="dxa"/>
            <w:left w:w="0" w:type="dxa"/>
            <w:bottom w:w="0" w:type="dxa"/>
            <w:right w:w="0" w:type="dxa"/>
          </w:tblCellMar>
        </w:tblPrEx>
        <w:trPr>
          <w:trHeight w:val="34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第二十条第（五）项</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Times New Roman" w:hAnsi="Times New Roman" w:cs="宋体"/>
                <w:kern w:val="0"/>
                <w:sz w:val="20"/>
                <w:szCs w:val="20"/>
              </w:rPr>
            </w:pPr>
            <w:r>
              <w:rPr>
                <w:rFonts w:hint="eastAsia" w:ascii="Times New Roman" w:hAnsi="Times New Roman" w:cs="宋体"/>
                <w:color w:val="000000"/>
                <w:kern w:val="0"/>
                <w:sz w:val="20"/>
                <w:szCs w:val="20"/>
              </w:rPr>
              <w:t>行政许可</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trHeight w:val="34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第二十条第（六）项</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信息内容</w:t>
            </w:r>
          </w:p>
        </w:tc>
        <w:tc>
          <w:tcPr>
            <w:tcW w:w="5027" w:type="dxa"/>
            <w:gridSpan w:val="3"/>
            <w:tcBorders>
              <w:top w:val="single" w:color="auto" w:sz="8" w:space="0"/>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Times New Roman" w:hAnsi="Times New Roman" w:cs="宋体"/>
                <w:kern w:val="0"/>
                <w:sz w:val="20"/>
                <w:szCs w:val="20"/>
              </w:rPr>
            </w:pPr>
            <w:r>
              <w:rPr>
                <w:rFonts w:hint="eastAsia" w:ascii="Times New Roman" w:hAnsi="Times New Roman" w:cs="宋体"/>
                <w:color w:val="000000"/>
                <w:kern w:val="0"/>
                <w:sz w:val="20"/>
                <w:szCs w:val="20"/>
              </w:rPr>
              <w:t>行政处罚</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Times New Roman" w:hAnsi="Times New Roman" w:cs="宋体"/>
                <w:kern w:val="0"/>
                <w:sz w:val="20"/>
                <w:szCs w:val="20"/>
              </w:rPr>
            </w:pPr>
            <w:r>
              <w:rPr>
                <w:rFonts w:hint="eastAsia" w:ascii="Times New Roman" w:hAnsi="Times New Roman" w:cs="宋体"/>
                <w:color w:val="000000"/>
                <w:kern w:val="0"/>
                <w:sz w:val="20"/>
                <w:szCs w:val="20"/>
              </w:rPr>
              <w:t>行政强制</w:t>
            </w:r>
          </w:p>
        </w:tc>
        <w:tc>
          <w:tcPr>
            <w:tcW w:w="5027" w:type="dxa"/>
            <w:gridSpan w:val="3"/>
            <w:tcBorders>
              <w:top w:val="nil"/>
              <w:left w:val="nil"/>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trHeight w:val="34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第二十条第（八）项</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信息内容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pPr>
              <w:widowControl/>
              <w:jc w:val="center"/>
              <w:rPr>
                <w:rFonts w:ascii="Times New Roman" w:hAnsi="Times New Roman" w:cs="宋体"/>
                <w:kern w:val="0"/>
                <w:sz w:val="20"/>
                <w:szCs w:val="20"/>
              </w:rPr>
            </w:pPr>
            <w:r>
              <w:rPr>
                <w:rFonts w:hint="eastAsia" w:ascii="Times New Roman" w:hAnsi="Times New Roman" w:cs="宋体"/>
                <w:color w:val="000000"/>
                <w:kern w:val="0"/>
                <w:sz w:val="20"/>
                <w:szCs w:val="20"/>
              </w:rPr>
              <w:t>本年收费金额（单位：万元）</w:t>
            </w:r>
          </w:p>
        </w:tc>
      </w:tr>
      <w:tr>
        <w:tblPrEx>
          <w:tblLayout w:type="fixed"/>
          <w:tblCellMar>
            <w:top w:w="0" w:type="dxa"/>
            <w:left w:w="0" w:type="dxa"/>
            <w:bottom w:w="0" w:type="dxa"/>
            <w:right w:w="0" w:type="dxa"/>
          </w:tblCellMar>
        </w:tblPrEx>
        <w:trPr>
          <w:trHeight w:val="340" w:hRule="atLeast"/>
          <w:jc w:val="center"/>
        </w:trPr>
        <w:tc>
          <w:tcPr>
            <w:tcW w:w="3113" w:type="dxa"/>
            <w:tcBorders>
              <w:top w:val="nil"/>
              <w:left w:val="single" w:color="auto" w:sz="8" w:space="0"/>
              <w:bottom w:val="single" w:color="auto" w:sz="8" w:space="0"/>
              <w:right w:val="single" w:color="auto" w:sz="8" w:space="0"/>
            </w:tcBorders>
            <w:noWrap/>
            <w:tcMar>
              <w:left w:w="108" w:type="dxa"/>
              <w:right w:w="108" w:type="dxa"/>
            </w:tcMar>
            <w:vAlign w:val="center"/>
          </w:tcPr>
          <w:p>
            <w:pPr>
              <w:widowControl/>
              <w:jc w:val="left"/>
              <w:rPr>
                <w:rFonts w:ascii="Times New Roman" w:hAnsi="Times New Roman" w:cs="宋体"/>
                <w:kern w:val="0"/>
                <w:sz w:val="20"/>
                <w:szCs w:val="20"/>
              </w:rPr>
            </w:pPr>
            <w:r>
              <w:rPr>
                <w:rFonts w:hint="eastAsia" w:ascii="Times New Roman" w:hAnsi="Times New Roman" w:cs="宋体"/>
                <w:color w:val="000000"/>
                <w:kern w:val="0"/>
                <w:sz w:val="20"/>
                <w:szCs w:val="20"/>
              </w:rPr>
              <w:t>行政事业性收费</w:t>
            </w:r>
          </w:p>
        </w:tc>
        <w:tc>
          <w:tcPr>
            <w:tcW w:w="5027" w:type="dxa"/>
            <w:gridSpan w:val="3"/>
            <w:tcBorders>
              <w:top w:val="nil"/>
              <w:left w:val="nil"/>
              <w:bottom w:val="single" w:color="auto" w:sz="8" w:space="0"/>
              <w:right w:val="single" w:color="000000" w:sz="8" w:space="0"/>
            </w:tcBorders>
            <w:noWrap/>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bl>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三、收到和处理政府信息公开申请情况</w:t>
      </w:r>
    </w:p>
    <w:tbl>
      <w:tblPr>
        <w:tblStyle w:val="5"/>
        <w:tblW w:w="9467" w:type="dxa"/>
        <w:jc w:val="center"/>
        <w:tblInd w:w="0" w:type="dxa"/>
        <w:tblLayout w:type="fixed"/>
        <w:tblCellMar>
          <w:top w:w="0" w:type="dxa"/>
          <w:left w:w="0" w:type="dxa"/>
          <w:bottom w:w="0" w:type="dxa"/>
          <w:right w:w="0" w:type="dxa"/>
        </w:tblCellMar>
      </w:tblPr>
      <w:tblGrid>
        <w:gridCol w:w="616"/>
        <w:gridCol w:w="816"/>
        <w:gridCol w:w="2392"/>
        <w:gridCol w:w="676"/>
        <w:gridCol w:w="827"/>
        <w:gridCol w:w="828"/>
        <w:gridCol w:w="828"/>
        <w:gridCol w:w="828"/>
        <w:gridCol w:w="828"/>
        <w:gridCol w:w="828"/>
      </w:tblGrid>
      <w:tr>
        <w:tblPrEx>
          <w:tblLayout w:type="fixed"/>
          <w:tblCellMar>
            <w:top w:w="0" w:type="dxa"/>
            <w:left w:w="0" w:type="dxa"/>
            <w:bottom w:w="0" w:type="dxa"/>
            <w:right w:w="0" w:type="dxa"/>
          </w:tblCellMar>
        </w:tblPrEx>
        <w:trPr>
          <w:jc w:val="center"/>
        </w:trPr>
        <w:tc>
          <w:tcPr>
            <w:tcW w:w="3824"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（本列数据的勾稽关系为：第一项加第二项之和，等于第三项加第四项之和）</w:t>
            </w:r>
          </w:p>
        </w:tc>
        <w:tc>
          <w:tcPr>
            <w:tcW w:w="5643" w:type="dxa"/>
            <w:gridSpan w:val="7"/>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申请人情况</w:t>
            </w:r>
          </w:p>
        </w:tc>
      </w:tr>
      <w:tr>
        <w:tblPrEx>
          <w:tblLayout w:type="fixed"/>
          <w:tblCellMar>
            <w:top w:w="0" w:type="dxa"/>
            <w:left w:w="0" w:type="dxa"/>
            <w:bottom w:w="0" w:type="dxa"/>
            <w:right w:w="0" w:type="dxa"/>
          </w:tblCellMar>
        </w:tblPrEx>
        <w:trPr>
          <w:jc w:val="center"/>
        </w:trPr>
        <w:tc>
          <w:tcPr>
            <w:tcW w:w="3824" w:type="dxa"/>
            <w:gridSpan w:val="3"/>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rPr>
            </w:pPr>
          </w:p>
        </w:tc>
        <w:tc>
          <w:tcPr>
            <w:tcW w:w="676" w:type="dxa"/>
            <w:vMerge w:val="restart"/>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自然人</w:t>
            </w:r>
          </w:p>
        </w:tc>
        <w:tc>
          <w:tcPr>
            <w:tcW w:w="4139"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法人或其他组织</w:t>
            </w:r>
          </w:p>
        </w:tc>
        <w:tc>
          <w:tcPr>
            <w:tcW w:w="82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总计</w:t>
            </w:r>
          </w:p>
        </w:tc>
      </w:tr>
      <w:tr>
        <w:tblPrEx>
          <w:tblLayout w:type="fixed"/>
          <w:tblCellMar>
            <w:top w:w="0" w:type="dxa"/>
            <w:left w:w="0" w:type="dxa"/>
            <w:bottom w:w="0" w:type="dxa"/>
            <w:right w:w="0" w:type="dxa"/>
          </w:tblCellMar>
        </w:tblPrEx>
        <w:trPr>
          <w:jc w:val="center"/>
        </w:trPr>
        <w:tc>
          <w:tcPr>
            <w:tcW w:w="3824" w:type="dxa"/>
            <w:gridSpan w:val="3"/>
            <w:vMerge w:val="continue"/>
            <w:tcBorders>
              <w:top w:val="single" w:color="auto" w:sz="8" w:space="0"/>
              <w:left w:val="single" w:color="auto" w:sz="8" w:space="0"/>
              <w:bottom w:val="single" w:color="auto" w:sz="8" w:space="0"/>
              <w:right w:val="single" w:color="auto" w:sz="8" w:space="0"/>
            </w:tcBorders>
            <w:vAlign w:val="center"/>
          </w:tcPr>
          <w:p>
            <w:pPr>
              <w:rPr>
                <w:rFonts w:ascii="Times New Roman" w:hAnsi="Times New Roman"/>
              </w:rPr>
            </w:pPr>
          </w:p>
        </w:tc>
        <w:tc>
          <w:tcPr>
            <w:tcW w:w="676" w:type="dxa"/>
            <w:vMerge w:val="continue"/>
            <w:tcBorders>
              <w:top w:val="nil"/>
              <w:left w:val="nil"/>
              <w:bottom w:val="single" w:color="auto" w:sz="8" w:space="0"/>
              <w:right w:val="single" w:color="auto" w:sz="8" w:space="0"/>
            </w:tcBorders>
            <w:vAlign w:val="center"/>
          </w:tcPr>
          <w:p>
            <w:pPr>
              <w:rPr>
                <w:rFonts w:ascii="Times New Roman" w:hAnsi="Times New Roman"/>
              </w:rPr>
            </w:pPr>
          </w:p>
        </w:tc>
        <w:tc>
          <w:tcPr>
            <w:tcW w:w="827"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商业 企业</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科研 机构</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社会公益组织</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法律服务机构</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其他</w:t>
            </w:r>
          </w:p>
        </w:tc>
        <w:tc>
          <w:tcPr>
            <w:tcW w:w="828" w:type="dxa"/>
            <w:vMerge w:val="continue"/>
            <w:tcBorders>
              <w:top w:val="single" w:color="auto" w:sz="8" w:space="0"/>
              <w:left w:val="nil"/>
              <w:bottom w:val="single" w:color="auto" w:sz="8" w:space="0"/>
              <w:right w:val="single" w:color="auto" w:sz="8" w:space="0"/>
            </w:tcBorders>
            <w:vAlign w:val="center"/>
          </w:tcPr>
          <w:p>
            <w:pPr>
              <w:rPr>
                <w:rFonts w:ascii="Times New Roman" w:hAnsi="Times New Roman"/>
              </w:rPr>
            </w:pPr>
          </w:p>
        </w:tc>
      </w:tr>
      <w:tr>
        <w:tblPrEx>
          <w:tblLayout w:type="fixed"/>
          <w:tblCellMar>
            <w:top w:w="0" w:type="dxa"/>
            <w:left w:w="0" w:type="dxa"/>
            <w:bottom w:w="0" w:type="dxa"/>
            <w:right w:w="0" w:type="dxa"/>
          </w:tblCellMar>
        </w:tblPrEx>
        <w:trPr>
          <w:jc w:val="center"/>
        </w:trPr>
        <w:tc>
          <w:tcPr>
            <w:tcW w:w="3824"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cs="宋体"/>
                <w:kern w:val="0"/>
                <w:sz w:val="20"/>
                <w:szCs w:val="20"/>
              </w:rPr>
              <w:t>一、本年新收政府信息公开申请数量</w:t>
            </w:r>
          </w:p>
        </w:tc>
        <w:tc>
          <w:tcPr>
            <w:tcW w:w="67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4</w:t>
            </w:r>
          </w:p>
        </w:tc>
        <w:tc>
          <w:tcPr>
            <w:tcW w:w="827"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hint="eastAsia" w:ascii="Times New Roman" w:hAnsi="Times New Roman" w:eastAsia="宋体" w:cs="Times New Roman"/>
                <w:kern w:val="0"/>
                <w:sz w:val="20"/>
                <w:szCs w:val="20"/>
                <w:lang w:val="en-US" w:eastAsia="zh-CN"/>
              </w:rPr>
            </w:pPr>
            <w:r>
              <w:rPr>
                <w:rFonts w:hint="eastAsia" w:ascii="Times New Roman" w:hAnsi="Times New Roman" w:cs="Times New Roman"/>
                <w:kern w:val="0"/>
                <w:sz w:val="20"/>
                <w:szCs w:val="20"/>
                <w:lang w:val="en-US" w:eastAsia="zh-CN"/>
              </w:rPr>
              <w:t>4</w:t>
            </w:r>
          </w:p>
        </w:tc>
      </w:tr>
      <w:tr>
        <w:tblPrEx>
          <w:tblLayout w:type="fixed"/>
          <w:tblCellMar>
            <w:top w:w="0" w:type="dxa"/>
            <w:left w:w="0" w:type="dxa"/>
            <w:bottom w:w="0" w:type="dxa"/>
            <w:right w:w="0" w:type="dxa"/>
          </w:tblCellMar>
        </w:tblPrEx>
        <w:trPr>
          <w:jc w:val="center"/>
        </w:trPr>
        <w:tc>
          <w:tcPr>
            <w:tcW w:w="3824" w:type="dxa"/>
            <w:gridSpan w:val="3"/>
            <w:tcBorders>
              <w:top w:val="nil"/>
              <w:left w:val="single" w:color="auto" w:sz="8" w:space="0"/>
              <w:bottom w:val="single" w:color="auto" w:sz="4" w:space="0"/>
              <w:right w:val="single" w:color="auto" w:sz="8"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cs="宋体"/>
                <w:kern w:val="0"/>
                <w:sz w:val="20"/>
                <w:szCs w:val="20"/>
              </w:rPr>
              <w:t>二、上年结转政府信息公开申请数量</w:t>
            </w:r>
          </w:p>
        </w:tc>
        <w:tc>
          <w:tcPr>
            <w:tcW w:w="676"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三、本年度办理结果</w:t>
            </w:r>
          </w:p>
        </w:tc>
        <w:tc>
          <w:tcPr>
            <w:tcW w:w="320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（一）予以公开</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trHeight w:val="219"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320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（二）部分公开（区分处理的，只计这一情形，不计其他情形）</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（三）不予公开</w:t>
            </w: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1.属于国家秘密</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2.其他法律行政法规禁止公开</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3.危及“三安全一稳定”</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4.保护第三方合法权益</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5.属于三类内部事务信息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3</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3</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6.属于四类过程性信息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7.属于行政执法案卷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8.属于行政查询事项</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（四）无法提供</w:t>
            </w: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1.本机关不掌握相关政府信息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2.没有现成信息需要另行制作</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3.补正后申请内容仍不明确</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restart"/>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（五）不予处理</w:t>
            </w: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1.信访举报投诉类申请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2.重复申请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3.要求提供公开出版物</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4.无正当理由大量反复申请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cs="宋体"/>
                <w:kern w:val="0"/>
                <w:sz w:val="24"/>
                <w:szCs w:val="24"/>
              </w:rPr>
            </w:pPr>
            <w:r>
              <w:rPr>
                <w:rFonts w:hint="eastAsia" w:ascii="Times New Roman" w:hAnsi="Times New Roman" w:eastAsia="楷体" w:cs="宋体"/>
                <w:kern w:val="0"/>
                <w:sz w:val="20"/>
                <w:szCs w:val="20"/>
              </w:rPr>
              <w:t>5.要求行政机关确认或重新出具已获取信息</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rPr>
            </w:pPr>
            <w:r>
              <w:rPr>
                <w:rFonts w:hint="eastAsia" w:ascii="Times New Roman" w:hAnsi="Times New Roman" w:eastAsia="楷体" w:cs="宋体"/>
                <w:kern w:val="0"/>
                <w:sz w:val="20"/>
                <w:szCs w:val="20"/>
              </w:rPr>
              <w:t>（六）其他处理</w:t>
            </w: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eastAsia="楷体" w:cs="宋体"/>
                <w:kern w:val="0"/>
                <w:sz w:val="20"/>
                <w:szCs w:val="20"/>
              </w:rPr>
            </w:pPr>
            <w:r>
              <w:rPr>
                <w:rFonts w:hint="eastAsia" w:ascii="Times New Roman" w:hAnsi="Times New Roman" w:eastAsia="楷体" w:cs="宋体"/>
                <w:kern w:val="0"/>
                <w:sz w:val="20"/>
                <w:szCs w:val="20"/>
              </w:rPr>
              <w:t>1.申请人无正当理由逾期不补正、行政机关不再处理其政府信息公开申请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 w:cs="宋体"/>
                <w:kern w:val="0"/>
                <w:sz w:val="20"/>
                <w:szCs w:val="20"/>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eastAsia="楷体" w:cs="宋体"/>
                <w:kern w:val="0"/>
                <w:sz w:val="20"/>
                <w:szCs w:val="20"/>
              </w:rPr>
            </w:pPr>
            <w:r>
              <w:rPr>
                <w:rFonts w:hint="eastAsia" w:ascii="Times New Roman" w:hAnsi="Times New Roman" w:eastAsia="楷体" w:cs="宋体"/>
                <w:kern w:val="0"/>
                <w:sz w:val="20"/>
                <w:szCs w:val="20"/>
              </w:rPr>
              <w:t>2.申请人逾期未按收费通知要求缴纳费用、行政机关不再处理其政府信息公开申请</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8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 w:cs="宋体"/>
                <w:kern w:val="0"/>
                <w:sz w:val="20"/>
                <w:szCs w:val="20"/>
              </w:rPr>
            </w:pPr>
          </w:p>
        </w:tc>
        <w:tc>
          <w:tcPr>
            <w:tcW w:w="239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left"/>
              <w:rPr>
                <w:rFonts w:ascii="Times New Roman" w:hAnsi="Times New Roman" w:eastAsia="楷体" w:cs="宋体"/>
                <w:kern w:val="0"/>
                <w:sz w:val="20"/>
                <w:szCs w:val="20"/>
              </w:rPr>
            </w:pPr>
            <w:r>
              <w:rPr>
                <w:rFonts w:hint="eastAsia" w:ascii="Times New Roman" w:hAnsi="Times New Roman" w:eastAsia="楷体" w:cs="宋体"/>
                <w:kern w:val="0"/>
                <w:sz w:val="20"/>
                <w:szCs w:val="20"/>
              </w:rPr>
              <w:t>3.其他</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single" w:color="auto" w:sz="4" w:space="0"/>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nil"/>
              <w:left w:val="nil"/>
              <w:bottom w:val="single" w:color="auto" w:sz="4"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r>
        <w:tblPrEx>
          <w:tblLayout w:type="fixed"/>
          <w:tblCellMar>
            <w:top w:w="0" w:type="dxa"/>
            <w:left w:w="0" w:type="dxa"/>
            <w:bottom w:w="0" w:type="dxa"/>
            <w:right w:w="0" w:type="dxa"/>
          </w:tblCellMar>
        </w:tblPrEx>
        <w:trPr>
          <w:trHeight w:val="137" w:hRule="atLeast"/>
          <w:jc w:val="center"/>
        </w:trPr>
        <w:tc>
          <w:tcPr>
            <w:tcW w:w="61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rPr>
            </w:pPr>
          </w:p>
        </w:tc>
        <w:tc>
          <w:tcPr>
            <w:tcW w:w="3208" w:type="dxa"/>
            <w:gridSpan w:val="2"/>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eastAsia="楷体" w:cs="宋体"/>
                <w:kern w:val="0"/>
                <w:sz w:val="20"/>
                <w:szCs w:val="20"/>
              </w:rPr>
              <w:t>（七）总计</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4</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4</w:t>
            </w:r>
          </w:p>
        </w:tc>
      </w:tr>
      <w:tr>
        <w:tblPrEx>
          <w:tblLayout w:type="fixed"/>
          <w:tblCellMar>
            <w:top w:w="0" w:type="dxa"/>
            <w:left w:w="0" w:type="dxa"/>
            <w:bottom w:w="0" w:type="dxa"/>
            <w:right w:w="0" w:type="dxa"/>
          </w:tblCellMar>
        </w:tblPrEx>
        <w:trPr>
          <w:jc w:val="center"/>
        </w:trPr>
        <w:tc>
          <w:tcPr>
            <w:tcW w:w="3824" w:type="dxa"/>
            <w:gridSpan w:val="3"/>
            <w:tcBorders>
              <w:top w:val="single" w:color="auto" w:sz="4" w:space="0"/>
              <w:left w:val="single" w:color="auto" w:sz="4" w:space="0"/>
              <w:bottom w:val="single" w:color="auto" w:sz="4" w:space="0"/>
              <w:right w:val="single" w:color="auto" w:sz="4" w:space="0"/>
            </w:tcBorders>
            <w:tcMar>
              <w:left w:w="108" w:type="dxa"/>
              <w:right w:w="108" w:type="dxa"/>
            </w:tcMar>
          </w:tcPr>
          <w:p>
            <w:pPr>
              <w:widowControl/>
              <w:jc w:val="left"/>
              <w:rPr>
                <w:rFonts w:ascii="Times New Roman" w:hAnsi="Times New Roman" w:cs="宋体"/>
                <w:kern w:val="0"/>
                <w:sz w:val="24"/>
                <w:szCs w:val="24"/>
              </w:rPr>
            </w:pPr>
            <w:r>
              <w:rPr>
                <w:rFonts w:hint="eastAsia" w:ascii="Times New Roman" w:hAnsi="Times New Roman" w:cs="宋体"/>
                <w:kern w:val="0"/>
                <w:sz w:val="20"/>
                <w:szCs w:val="20"/>
              </w:rPr>
              <w:t>四、结转下年度继续办理</w:t>
            </w:r>
          </w:p>
        </w:tc>
        <w:tc>
          <w:tcPr>
            <w:tcW w:w="676"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82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bl>
    <w:p>
      <w:pPr>
        <w:spacing w:line="560" w:lineRule="exact"/>
        <w:rPr>
          <w:rFonts w:ascii="Times New Roman" w:hAnsi="Times New Roman" w:eastAsia="仿宋_GB2312"/>
          <w:sz w:val="32"/>
          <w:szCs w:val="32"/>
        </w:rPr>
      </w:pPr>
    </w:p>
    <w:p>
      <w:pPr>
        <w:spacing w:line="56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四、政府信息公开行政复议、行政诉讼情况</w:t>
      </w:r>
    </w:p>
    <w:tbl>
      <w:tblPr>
        <w:tblStyle w:val="5"/>
        <w:tblW w:w="9839" w:type="dxa"/>
        <w:jc w:val="center"/>
        <w:tblInd w:w="0" w:type="dxa"/>
        <w:tblLayout w:type="fixed"/>
        <w:tblCellMar>
          <w:top w:w="0" w:type="dxa"/>
          <w:left w:w="0" w:type="dxa"/>
          <w:bottom w:w="0" w:type="dxa"/>
          <w:right w:w="0" w:type="dxa"/>
        </w:tblCellMar>
      </w:tblPr>
      <w:tblGrid>
        <w:gridCol w:w="655"/>
        <w:gridCol w:w="655"/>
        <w:gridCol w:w="655"/>
        <w:gridCol w:w="655"/>
        <w:gridCol w:w="634"/>
        <w:gridCol w:w="676"/>
        <w:gridCol w:w="656"/>
        <w:gridCol w:w="656"/>
        <w:gridCol w:w="656"/>
        <w:gridCol w:w="657"/>
        <w:gridCol w:w="656"/>
        <w:gridCol w:w="656"/>
        <w:gridCol w:w="656"/>
        <w:gridCol w:w="657"/>
        <w:gridCol w:w="659"/>
      </w:tblGrid>
      <w:tr>
        <w:tblPrEx>
          <w:tblLayout w:type="fixed"/>
          <w:tblCellMar>
            <w:top w:w="0" w:type="dxa"/>
            <w:left w:w="0" w:type="dxa"/>
            <w:bottom w:w="0" w:type="dxa"/>
            <w:right w:w="0" w:type="dxa"/>
          </w:tblCellMar>
        </w:tblPrEx>
        <w:trPr>
          <w:trHeight w:val="324" w:hRule="atLeast"/>
          <w:jc w:val="center"/>
        </w:trPr>
        <w:tc>
          <w:tcPr>
            <w:tcW w:w="3254"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行政复议</w:t>
            </w:r>
          </w:p>
        </w:tc>
        <w:tc>
          <w:tcPr>
            <w:tcW w:w="6585" w:type="dxa"/>
            <w:gridSpan w:val="10"/>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行政诉讼</w:t>
            </w:r>
          </w:p>
        </w:tc>
      </w:tr>
      <w:tr>
        <w:tblPrEx>
          <w:tblLayout w:type="fixed"/>
          <w:tblCellMar>
            <w:top w:w="0" w:type="dxa"/>
            <w:left w:w="0" w:type="dxa"/>
            <w:bottom w:w="0" w:type="dxa"/>
            <w:right w:w="0" w:type="dxa"/>
          </w:tblCellMar>
        </w:tblPrEx>
        <w:trPr>
          <w:trHeight w:val="324" w:hRule="atLeast"/>
          <w:jc w:val="center"/>
        </w:trPr>
        <w:tc>
          <w:tcPr>
            <w:tcW w:w="65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结果维持</w:t>
            </w:r>
          </w:p>
        </w:tc>
        <w:tc>
          <w:tcPr>
            <w:tcW w:w="655" w:type="dxa"/>
            <w:vMerge w:val="restart"/>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结果纠正</w:t>
            </w:r>
          </w:p>
        </w:tc>
        <w:tc>
          <w:tcPr>
            <w:tcW w:w="65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其他结果</w:t>
            </w:r>
          </w:p>
        </w:tc>
        <w:tc>
          <w:tcPr>
            <w:tcW w:w="65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尚未审结</w:t>
            </w:r>
          </w:p>
        </w:tc>
        <w:tc>
          <w:tcPr>
            <w:tcW w:w="63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总计</w:t>
            </w:r>
          </w:p>
        </w:tc>
        <w:tc>
          <w:tcPr>
            <w:tcW w:w="3301"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未经复议直接起诉</w:t>
            </w:r>
          </w:p>
        </w:tc>
        <w:tc>
          <w:tcPr>
            <w:tcW w:w="3284"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复议后起诉</w:t>
            </w:r>
          </w:p>
        </w:tc>
      </w:tr>
      <w:tr>
        <w:tblPrEx>
          <w:tblLayout w:type="fixed"/>
          <w:tblCellMar>
            <w:top w:w="0" w:type="dxa"/>
            <w:left w:w="0" w:type="dxa"/>
            <w:bottom w:w="0" w:type="dxa"/>
            <w:right w:w="0" w:type="dxa"/>
          </w:tblCellMar>
        </w:tblPrEx>
        <w:trPr>
          <w:trHeight w:val="1235" w:hRule="atLeast"/>
          <w:jc w:val="center"/>
        </w:trPr>
        <w:tc>
          <w:tcPr>
            <w:tcW w:w="655" w:type="dxa"/>
            <w:vMerge w:val="continue"/>
            <w:tcBorders>
              <w:top w:val="nil"/>
              <w:left w:val="single" w:color="auto" w:sz="8" w:space="0"/>
              <w:bottom w:val="single" w:color="auto" w:sz="8" w:space="0"/>
              <w:right w:val="single" w:color="auto" w:sz="8" w:space="0"/>
            </w:tcBorders>
            <w:vAlign w:val="center"/>
          </w:tcPr>
          <w:p>
            <w:pPr>
              <w:rPr>
                <w:rFonts w:ascii="Times New Roman" w:hAnsi="Times New Roman"/>
              </w:rPr>
            </w:pPr>
          </w:p>
        </w:tc>
        <w:tc>
          <w:tcPr>
            <w:tcW w:w="655" w:type="dxa"/>
            <w:vMerge w:val="continue"/>
            <w:tcBorders>
              <w:top w:val="nil"/>
              <w:left w:val="nil"/>
              <w:bottom w:val="single" w:color="auto" w:sz="8" w:space="0"/>
              <w:right w:val="single" w:color="auto" w:sz="8" w:space="0"/>
            </w:tcBorders>
            <w:vAlign w:val="center"/>
          </w:tcPr>
          <w:p>
            <w:pPr>
              <w:rPr>
                <w:rFonts w:ascii="Times New Roman" w:hAnsi="Times New Roman"/>
              </w:rPr>
            </w:pPr>
          </w:p>
        </w:tc>
        <w:tc>
          <w:tcPr>
            <w:tcW w:w="655" w:type="dxa"/>
            <w:vMerge w:val="continue"/>
            <w:tcBorders>
              <w:top w:val="single" w:color="auto" w:sz="8" w:space="0"/>
              <w:left w:val="nil"/>
              <w:bottom w:val="single" w:color="auto" w:sz="8" w:space="0"/>
              <w:right w:val="single" w:color="auto" w:sz="8" w:space="0"/>
            </w:tcBorders>
            <w:vAlign w:val="center"/>
          </w:tcPr>
          <w:p>
            <w:pPr>
              <w:rPr>
                <w:rFonts w:ascii="Times New Roman" w:hAnsi="Times New Roman"/>
              </w:rPr>
            </w:pPr>
          </w:p>
        </w:tc>
        <w:tc>
          <w:tcPr>
            <w:tcW w:w="655" w:type="dxa"/>
            <w:vMerge w:val="continue"/>
            <w:tcBorders>
              <w:top w:val="single" w:color="auto" w:sz="8" w:space="0"/>
              <w:left w:val="nil"/>
              <w:bottom w:val="single" w:color="auto" w:sz="8" w:space="0"/>
              <w:right w:val="single" w:color="auto" w:sz="8" w:space="0"/>
            </w:tcBorders>
            <w:vAlign w:val="center"/>
          </w:tcPr>
          <w:p>
            <w:pPr>
              <w:rPr>
                <w:rFonts w:ascii="Times New Roman" w:hAnsi="Times New Roman"/>
              </w:rPr>
            </w:pPr>
          </w:p>
        </w:tc>
        <w:tc>
          <w:tcPr>
            <w:tcW w:w="634" w:type="dxa"/>
            <w:vMerge w:val="continue"/>
            <w:tcBorders>
              <w:top w:val="single" w:color="auto" w:sz="8" w:space="0"/>
              <w:left w:val="nil"/>
              <w:bottom w:val="single" w:color="auto" w:sz="8" w:space="0"/>
              <w:right w:val="single" w:color="auto" w:sz="8" w:space="0"/>
            </w:tcBorders>
            <w:vAlign w:val="center"/>
          </w:tcPr>
          <w:p>
            <w:pPr>
              <w:rPr>
                <w:rFonts w:ascii="Times New Roman" w:hAnsi="Times New Roman"/>
              </w:rPr>
            </w:pPr>
          </w:p>
        </w:tc>
        <w:tc>
          <w:tcPr>
            <w:tcW w:w="67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结果维持</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结果纠正</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其他结果</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尚未审结</w:t>
            </w:r>
          </w:p>
        </w:tc>
        <w:tc>
          <w:tcPr>
            <w:tcW w:w="657"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color w:val="000000"/>
                <w:kern w:val="0"/>
                <w:sz w:val="20"/>
                <w:szCs w:val="20"/>
              </w:rPr>
              <w:t>总计</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结果维持</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结果纠正</w:t>
            </w:r>
          </w:p>
        </w:tc>
        <w:tc>
          <w:tcPr>
            <w:tcW w:w="65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color w:val="000000"/>
                <w:kern w:val="0"/>
                <w:sz w:val="20"/>
                <w:szCs w:val="20"/>
              </w:rPr>
              <w:t>其他结果</w:t>
            </w:r>
          </w:p>
        </w:tc>
        <w:tc>
          <w:tcPr>
            <w:tcW w:w="657"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kern w:val="0"/>
                <w:sz w:val="20"/>
                <w:szCs w:val="20"/>
              </w:rPr>
              <w:t>尚未审结</w:t>
            </w:r>
          </w:p>
        </w:tc>
        <w:tc>
          <w:tcPr>
            <w:tcW w:w="659"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宋体"/>
                <w:kern w:val="0"/>
                <w:sz w:val="24"/>
                <w:szCs w:val="24"/>
              </w:rPr>
            </w:pPr>
            <w:r>
              <w:rPr>
                <w:rFonts w:hint="eastAsia" w:ascii="Times New Roman" w:hAnsi="Times New Roman" w:cs="宋体"/>
                <w:color w:val="000000"/>
                <w:kern w:val="0"/>
                <w:sz w:val="20"/>
                <w:szCs w:val="20"/>
              </w:rPr>
              <w:t>总计</w:t>
            </w:r>
          </w:p>
        </w:tc>
      </w:tr>
      <w:tr>
        <w:tblPrEx>
          <w:tblLayout w:type="fixed"/>
          <w:tblCellMar>
            <w:top w:w="0" w:type="dxa"/>
            <w:left w:w="0" w:type="dxa"/>
            <w:bottom w:w="0" w:type="dxa"/>
            <w:right w:w="0" w:type="dxa"/>
          </w:tblCellMar>
        </w:tblPrEx>
        <w:trPr>
          <w:trHeight w:val="343" w:hRule="atLeast"/>
          <w:jc w:val="center"/>
        </w:trPr>
        <w:tc>
          <w:tcPr>
            <w:tcW w:w="655"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w:t>
            </w:r>
          </w:p>
        </w:tc>
        <w:tc>
          <w:tcPr>
            <w:tcW w:w="655"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5"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5"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34"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1</w:t>
            </w:r>
          </w:p>
        </w:tc>
        <w:tc>
          <w:tcPr>
            <w:tcW w:w="67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7"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6"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7"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c>
          <w:tcPr>
            <w:tcW w:w="659"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Times New Roman" w:hAnsi="Times New Roman" w:cs="Times New Roman"/>
                <w:kern w:val="0"/>
                <w:sz w:val="20"/>
                <w:szCs w:val="20"/>
              </w:rPr>
            </w:pPr>
            <w:r>
              <w:rPr>
                <w:rFonts w:hint="eastAsia" w:ascii="Times New Roman" w:hAnsi="Times New Roman" w:cs="Times New Roman"/>
                <w:kern w:val="0"/>
                <w:sz w:val="20"/>
                <w:szCs w:val="20"/>
              </w:rPr>
              <w:t>0</w:t>
            </w:r>
          </w:p>
        </w:tc>
      </w:tr>
    </w:tbl>
    <w:p>
      <w:pPr>
        <w:spacing w:line="560" w:lineRule="exact"/>
        <w:ind w:firstLine="640" w:firstLineChars="200"/>
        <w:rPr>
          <w:rFonts w:ascii="Times New Roman" w:hAnsi="Times New Roman" w:eastAsia="方正黑体_GBK" w:cs="方正黑体_GBK"/>
          <w:sz w:val="32"/>
          <w:szCs w:val="32"/>
        </w:rPr>
      </w:pPr>
      <w:r>
        <w:rPr>
          <w:rFonts w:hint="eastAsia" w:ascii="Times New Roman" w:hAnsi="Times New Roman" w:eastAsia="方正黑体_GBK" w:cs="方正黑体_GBK"/>
          <w:sz w:val="32"/>
          <w:szCs w:val="32"/>
        </w:rPr>
        <w:t>五、存在的主要问题及改进情况</w:t>
      </w:r>
    </w:p>
    <w:p>
      <w:pPr>
        <w:spacing w:line="560" w:lineRule="exact"/>
        <w:ind w:firstLine="640" w:firstLineChars="200"/>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存在的问题主要有以下几点：1.信息公开内容的深度与广度不足，本系统内部的工作动态、会议信息占比过高，而与群众生活、工作息息相关的民生信息、政策解读发布较少。</w:t>
      </w:r>
      <w:r>
        <w:rPr>
          <w:rFonts w:hint="eastAsia" w:ascii="Times New Roman" w:hAnsi="Times New Roman" w:eastAsia="方正仿宋_GBK" w:cs="方正仿宋_GBK"/>
          <w:sz w:val="32"/>
          <w:szCs w:val="32"/>
          <w:lang w:val="en-US" w:eastAsia="zh-CN"/>
        </w:rPr>
        <w:t>2.信息公开的主动性不是很强，主动挖掘亮点、主动公开新信息的意识有待加强。</w:t>
      </w:r>
      <w:r>
        <w:rPr>
          <w:rFonts w:hint="eastAsia" w:ascii="Times New Roman" w:hAnsi="Times New Roman" w:eastAsia="方正仿宋_GBK" w:cs="方正仿宋_GBK"/>
          <w:sz w:val="32"/>
          <w:szCs w:val="32"/>
          <w:lang w:val="en-US" w:eastAsia="zh-CN"/>
        </w:rPr>
        <w:t>3.信息公开的时效性有待提升，部分信息更新不够及时。</w:t>
      </w:r>
    </w:p>
    <w:p>
      <w:pPr>
        <w:spacing w:line="56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lang w:val="en-US" w:eastAsia="zh-CN"/>
        </w:rPr>
        <w:t>下一步改进措施：一是加大培训力度，提升业务能力。聚焦主动公开、依申请公开、政策解读等薄弱环节，加强对工作人员的培训。二是丰富公开形式，加强平台建设。进一步完善门户网站和政务新媒体的功能，提升用户体验。三是增强互动参与，提升公开实效。加大对《政府信息公开条例》的宣传力度，加强政策解读，让群众不仅“找得到”，还能“看得懂”。</w:t>
      </w:r>
      <w:bookmarkStart w:id="0" w:name="_GoBack"/>
      <w:bookmarkEnd w:id="0"/>
    </w:p>
    <w:p>
      <w:pPr>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六、其他需要报告的事项</w:t>
      </w:r>
    </w:p>
    <w:p>
      <w:pPr>
        <w:spacing w:line="560" w:lineRule="exact"/>
        <w:ind w:firstLine="640" w:firstLineChars="200"/>
        <w:rPr>
          <w:rFonts w:ascii="Times New Roman" w:hAnsi="Times New Roman"/>
        </w:rPr>
      </w:pPr>
      <w:r>
        <w:rPr>
          <w:rFonts w:hint="eastAsia" w:ascii="Times New Roman" w:hAnsi="Times New Roman" w:eastAsia="方正仿宋_GBK" w:cs="方正仿宋_GBK"/>
          <w:sz w:val="32"/>
          <w:szCs w:val="32"/>
        </w:rPr>
        <w:t>2024年度未有收取信息处理费情况，无其他需要报告事项。</w:t>
      </w:r>
    </w:p>
    <w:sectPr>
      <w:footerReference r:id="rId3" w:type="default"/>
      <w:pgSz w:w="11906" w:h="16838"/>
      <w:pgMar w:top="1701"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A00555-1E76-4B0F-A0AD-1C3F457536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embedRegular r:id="rId2" w:fontKey="{650E1377-313E-45F0-82F9-12F951CD56E6}"/>
  </w:font>
  <w:font w:name="方正黑体_GBK">
    <w:panose1 w:val="03000509000000000000"/>
    <w:charset w:val="86"/>
    <w:family w:val="script"/>
    <w:pitch w:val="default"/>
    <w:sig w:usb0="00000001" w:usb1="080E0000" w:usb2="00000000" w:usb3="00000000" w:csb0="00040000" w:csb1="00000000"/>
    <w:embedRegular r:id="rId3" w:fontKey="{3F92A21D-4922-431F-B43D-93DFD22746C9}"/>
  </w:font>
  <w:font w:name="方正仿宋_GBK">
    <w:panose1 w:val="03000509000000000000"/>
    <w:charset w:val="86"/>
    <w:family w:val="script"/>
    <w:pitch w:val="default"/>
    <w:sig w:usb0="00000001" w:usb1="080E0000" w:usb2="00000000" w:usb3="00000000" w:csb0="00040000" w:csb1="00000000"/>
    <w:embedRegular r:id="rId4" w:fontKey="{B29757D9-1DB6-4D92-AFC5-1CBC1D26FA13}"/>
  </w:font>
  <w:font w:name="方正楷体_GBK">
    <w:panose1 w:val="03000509000000000000"/>
    <w:charset w:val="86"/>
    <w:family w:val="script"/>
    <w:pitch w:val="default"/>
    <w:sig w:usb0="00000001" w:usb1="080E0000" w:usb2="00000000" w:usb3="00000000" w:csb0="00040000" w:csb1="00000000"/>
    <w:embedRegular r:id="rId5" w:fontKey="{1B391192-69EB-48F8-A54B-A431C7035BF7}"/>
  </w:font>
  <w:font w:name="楷体">
    <w:panose1 w:val="02010609060101010101"/>
    <w:charset w:val="86"/>
    <w:family w:val="modern"/>
    <w:pitch w:val="default"/>
    <w:sig w:usb0="800002BF" w:usb1="38CF7CFA" w:usb2="00000016" w:usb3="00000000" w:csb0="00040001" w:csb1="00000000"/>
    <w:embedRegular r:id="rId6" w:fontKey="{DDEF9C9B-2AC7-4909-82E0-53F88B6725AF}"/>
  </w:font>
  <w:font w:name="仿宋_GB2312">
    <w:panose1 w:val="02010609030101010101"/>
    <w:charset w:val="86"/>
    <w:family w:val="modern"/>
    <w:pitch w:val="default"/>
    <w:sig w:usb0="00000001" w:usb1="080E0000" w:usb2="00000000" w:usb3="00000000" w:csb0="00040000" w:csb1="00000000"/>
    <w:embedRegular r:id="rId7" w:fontKey="{414F191F-B5EB-4D95-BC58-6CCCF39DBB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rPr>
                    <w:rFonts w:ascii="Times New Roman" w:hAnsi="Times New Roman" w:eastAsia="方正仿宋_GBK" w:cs="Times New Roman"/>
                    <w:sz w:val="28"/>
                    <w:szCs w:val="28"/>
                  </w:rPr>
                </w:pPr>
                <w:r>
                  <w:rPr>
                    <w:rFonts w:ascii="Times New Roman" w:hAnsi="Times New Roman" w:eastAsia="方正仿宋_GBK" w:cs="Times New Roman"/>
                    <w:sz w:val="28"/>
                    <w:szCs w:val="28"/>
                  </w:rPr>
                  <w:t xml:space="preserve">— </w:t>
                </w:r>
                <w:r>
                  <w:rPr>
                    <w:rFonts w:ascii="Times New Roman" w:hAnsi="Times New Roman" w:eastAsia="方正仿宋_GBK" w:cs="Times New Roman"/>
                    <w:sz w:val="28"/>
                    <w:szCs w:val="28"/>
                  </w:rPr>
                  <w:fldChar w:fldCharType="begin"/>
                </w:r>
                <w:r>
                  <w:rPr>
                    <w:rFonts w:ascii="Times New Roman" w:hAnsi="Times New Roman" w:eastAsia="方正仿宋_GBK" w:cs="Times New Roman"/>
                    <w:sz w:val="28"/>
                    <w:szCs w:val="28"/>
                  </w:rPr>
                  <w:instrText xml:space="preserve"> PAGE  \* MERGEFORMAT </w:instrText>
                </w:r>
                <w:r>
                  <w:rPr>
                    <w:rFonts w:ascii="Times New Roman" w:hAnsi="Times New Roman" w:eastAsia="方正仿宋_GBK" w:cs="Times New Roman"/>
                    <w:sz w:val="28"/>
                    <w:szCs w:val="28"/>
                  </w:rPr>
                  <w:fldChar w:fldCharType="separate"/>
                </w:r>
                <w:r>
                  <w:rPr>
                    <w:rFonts w:ascii="Times New Roman" w:hAnsi="Times New Roman" w:eastAsia="方正仿宋_GBK" w:cs="Times New Roman"/>
                    <w:sz w:val="28"/>
                    <w:szCs w:val="28"/>
                  </w:rPr>
                  <w:t>5</w:t>
                </w:r>
                <w:r>
                  <w:rPr>
                    <w:rFonts w:ascii="Times New Roman" w:hAnsi="Times New Roman" w:eastAsia="方正仿宋_GBK" w:cs="Times New Roman"/>
                    <w:sz w:val="28"/>
                    <w:szCs w:val="28"/>
                  </w:rPr>
                  <w:fldChar w:fldCharType="end"/>
                </w:r>
                <w:r>
                  <w:rPr>
                    <w:rFonts w:ascii="Times New Roman" w:hAnsi="Times New Roman" w:eastAsia="方正仿宋_GBK" w:cs="Times New Roman"/>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ZjZmYxOTkxZTE4OTZlMTE2YmQ3OWQzMWI1YWJjYjUifQ=="/>
  </w:docVars>
  <w:rsids>
    <w:rsidRoot w:val="2AE61FA9"/>
    <w:rsid w:val="00073339"/>
    <w:rsid w:val="001C6AA5"/>
    <w:rsid w:val="002943D2"/>
    <w:rsid w:val="004C1407"/>
    <w:rsid w:val="004F7589"/>
    <w:rsid w:val="005827D9"/>
    <w:rsid w:val="005D2927"/>
    <w:rsid w:val="00605737"/>
    <w:rsid w:val="006F0F6C"/>
    <w:rsid w:val="007B7C19"/>
    <w:rsid w:val="00903CEF"/>
    <w:rsid w:val="00AF5FC2"/>
    <w:rsid w:val="00AF7EF1"/>
    <w:rsid w:val="00C94EB5"/>
    <w:rsid w:val="00E97A0C"/>
    <w:rsid w:val="00EB4914"/>
    <w:rsid w:val="00EC2B4B"/>
    <w:rsid w:val="00F556D2"/>
    <w:rsid w:val="00FE30BE"/>
    <w:rsid w:val="05CA7F4D"/>
    <w:rsid w:val="0CA43CE5"/>
    <w:rsid w:val="10BE10ED"/>
    <w:rsid w:val="1AC62589"/>
    <w:rsid w:val="1EB4768C"/>
    <w:rsid w:val="1F812483"/>
    <w:rsid w:val="2042704D"/>
    <w:rsid w:val="20445115"/>
    <w:rsid w:val="225C2FF1"/>
    <w:rsid w:val="2AE61FA9"/>
    <w:rsid w:val="2C4C0C14"/>
    <w:rsid w:val="32AE0B6A"/>
    <w:rsid w:val="3F944A63"/>
    <w:rsid w:val="410F072B"/>
    <w:rsid w:val="4F9803B2"/>
    <w:rsid w:val="52537B63"/>
    <w:rsid w:val="567011EA"/>
    <w:rsid w:val="5B07533E"/>
    <w:rsid w:val="5F20557C"/>
    <w:rsid w:val="60AF5F2B"/>
    <w:rsid w:val="62CA6A4B"/>
    <w:rsid w:val="667B644B"/>
    <w:rsid w:val="690C0DC9"/>
    <w:rsid w:val="6A786C43"/>
    <w:rsid w:val="729C05C6"/>
    <w:rsid w:val="79703A50"/>
    <w:rsid w:val="7BF321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419</Words>
  <Characters>2391</Characters>
  <Lines>19</Lines>
  <Paragraphs>5</Paragraphs>
  <TotalTime>144</TotalTime>
  <ScaleCrop>false</ScaleCrop>
  <LinksUpToDate>false</LinksUpToDate>
  <CharactersWithSpaces>2805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2021-12-29T08:10:00Z</dcterms:created>
  <dc:creator>猫</dc:creator>
  <cp:lastModifiedBy>Administrator</cp:lastModifiedBy>
  <cp:lastPrinted>2024-12-23T02:38:00Z</cp:lastPrinted>
  <dcterms:modified xsi:type="dcterms:W3CDTF">2025-12-17T06:52:22Z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6686591B515D484FB65E68A3B9385318</vt:lpwstr>
  </property>
</Properties>
</file>