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40" w:lineRule="atLeast"/>
        <w:ind w:firstLine="0"/>
        <w:textAlignment w:val="auto"/>
        <w:rPr>
          <w:rFonts w:hint="eastAsia"/>
          <w:lang w:eastAsia="zh-CN"/>
        </w:rPr>
      </w:pPr>
    </w:p>
    <w:tbl>
      <w:tblPr>
        <w:tblStyle w:val="10"/>
        <w:tblW w:w="9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8"/>
        <w:gridCol w:w="2018"/>
        <w:gridCol w:w="1119"/>
        <w:gridCol w:w="623"/>
        <w:gridCol w:w="1475"/>
        <w:gridCol w:w="836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部门整体支出绩效自评价表</w:t>
            </w:r>
          </w:p>
          <w:p>
            <w:pPr>
              <w:pStyle w:val="2"/>
              <w:ind w:firstLine="3132" w:firstLineChars="130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  <w:t>如皋市妇女联合会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主要职能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  <w:t>如皋市妇女联合会属人民群众团体，是党和政府联系妇女群众的桥梁和纽带，是国家政权的重要社会支柱，是团结、教育、引领广大妇女建设有中国特色社会主义的重要力量。主要职责是：（1）指导和推动各级妇联开展“双学双比”、“巾帼建功”活动，帮助下岗女工寻岗创业；指导各级妇联组织开展好妇女文化科技、技能培训工作。（2）宣传贯彻、参与研究制定有关维护妇女儿童权益方面的政策措施，参与相关普法工作；指导、推动各级妇联依法维护妇女儿童权益工作；负责处理群众日常来信来访。（3）开展妇女思想教育工作；指导和实施“五好家庭”创建活动，寻找“最美家庭”；表彰“三八”红旗手（集体）等妇女先进典型。（4）宣传马克思主义妇女观和男女平等基本国策；推动全市妇女儿童发展规划的实施，着力为妇女儿童办实事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  <w:t>；引导妇女开展巾帼志愿服务，开展富有特色的志愿活动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  <w:t>。（5）牵头家庭教育工作；参与协调、推动全社会为儿童的健康成长创造良好的社会环境。（6）配合有关部门做好培养选拔推荐女干部工作；负责妇联组织建设，联系、指导社会各界妇女组织。（7）承办如皋市委、市政府和江苏省、南通市妇联交办的有关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机构设置及人员配置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  <w:t>根据部门职责分工，本部门内设机构包括办公室、组宣部、发展部、家庭和儿童工作部、权益部、妇儿工委办公室。本部门下属单位包括：如皋市妇女儿童活动中心。年末实有在职行政人员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8人、退休人员5人，实有在职事业人员2人、退休人员1人。编外长期聘用合同制人员1人。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预算安排及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支出情况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实际支出数（万元）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422.63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427.86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303.63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345.12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119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82.74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其中:项目1：妇儿工委工作经费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10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项目2：妇联工作经费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30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25.24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项目3：慰问帮扶经费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15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项目4：两癌困境妇女救助经费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5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项目5：家庭教育经费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10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项目6：“一户一策”困境妇女儿童家庭精准微关爱项目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全年指标值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分值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评价要点及评分规则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决策(6)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计划制定(2)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中长期规划健全性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中长期规划是否健全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工作计划健全性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工作计划是否健全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目标设定(2)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绩效目标合理性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合理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绩效目标是否合理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合理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绩效指标明确性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明确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绩效指标是否明确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明确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预算编制(2)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预算编制科学性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科学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预算编是否制科学性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科学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预算编制规范性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规范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预算编制是否规范性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规范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过程(26)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预算执行(8)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预算调整率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预算调整率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支付进度符合率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支付进度符合率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/>
                <w:iCs/>
                <w:color w:val="FF0000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结转结余率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结转结余率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公用经费控制率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≤100%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公用经费控制率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≤100%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"三公经费"变动率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≤0%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"三公经费"变动率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≤0%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政府采购执行率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政府采购执行率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预算管理(6)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预算管理制度健全性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预算管理制度是否健全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合规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资金使用是否合规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合规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绩效管理覆盖率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绩效管理覆盖率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基础信息完善性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完善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基础信息是否完善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完善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预决算信息公开度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公开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预决算信息公开度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公开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资产管理(3)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资产管理制度健全性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资产管理制度是否健全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规范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资产管理是否规范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规范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100%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项目管理(3)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项目管理制度健全性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项目管理制度是否健全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eastAsia="zh-CN"/>
              </w:rPr>
              <w:t>健全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项目管理制度执行规范性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规范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项目管理制度执行是否规范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规范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人员管理(3)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人员管理制度健全性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人员管理制度是否健全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健全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人员管理制度执行有效性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有效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人员管理制度执行是否有效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有效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机构建设(3)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组织建设工作及时完成率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组织建设工作及时完成率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业务学习与培训及时完成率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业务学习与培训及时完成率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纪检监察工作有效性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有效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纪检监察工作有效性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有效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全年指标值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分值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评价要点及评分规则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履职（56）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2"/>
                <w:szCs w:val="1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2"/>
                <w:szCs w:val="12"/>
                <w:highlight w:val="none"/>
                <w:u w:val="none"/>
                <w:lang w:val="en-US" w:eastAsia="zh-CN" w:bidi="ar"/>
              </w:rPr>
              <w:t>重点工作1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坚持用党的最新理论武装头脑、指导实践、推动工作。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highlight w:val="none"/>
                <w:u w:val="none"/>
                <w:lang w:val="en-US" w:eastAsia="zh-CN" w:bidi="ar"/>
              </w:rPr>
              <w:t>用群众喜闻乐见的方式带领广大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妇女共同学习党的二十大精神。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指标：巾帼皋谭宣讲场次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4次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宣讲场次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12次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exac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2"/>
                <w:szCs w:val="1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重点工作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  <w:t>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坚持在我市工作大局中发挥妇女独特优势、贡献巾帼力量。持续深化“美丽庭院”创建工作，助推我市人居环境进一步提升；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深化家庭文明建设，引导广大妇女群众传承和弘扬好家风好家训好家教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eastAsia="zh-CN"/>
              </w:rPr>
              <w:t>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指标：家庭教育宣讲场次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4次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宣讲场次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4次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exac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  <w:t>重点工作3：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highlight w:val="none"/>
                <w:lang w:val="en-US" w:eastAsia="zh-CN"/>
              </w:rPr>
              <w:t>坚持在深化妇联改革中建强妇联组织、创新发展思路。深入开展“巾帼建功”活动，引导各行业因地制宜，组织岗位女性开展技能练兵、岗位创优、“巾帼文明岗”创建等活动。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2"/>
                <w:szCs w:val="12"/>
                <w:highlight w:val="none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指标：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出台《如皋市“巾帼文明岗”管理办法》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加强对各级巾帼文明岗的管理监督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出台文件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exac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yellow"/>
                <w:u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重点工作4：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坚持以更大的力度保障妇女儿童权益、促进全面发展。坚持男女平等基本国策，有序推进“十四五”妇女儿童发展规划实施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加大力度维护妇女儿童合法权益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深入开展“平安家庭”创建活动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  <w:t>重点关注特殊困难群体，广泛开展爱心帮扶、结对互助活动。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2"/>
                <w:szCs w:val="12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指标：全年慰问困难群众人数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85人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慰问人数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121人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效益（10）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指标：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促进社会和谐稳定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eastAsia="zh-CN"/>
              </w:rPr>
              <w:t>稳定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eastAsia="zh-CN"/>
              </w:rPr>
              <w:t>稳定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4"/>
                <w:szCs w:val="14"/>
                <w:highlight w:val="none"/>
                <w:u w:val="none"/>
                <w:lang w:eastAsia="zh-CN"/>
              </w:rPr>
              <w:t>稳定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yellow"/>
                <w:u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指标：依法保障妇女儿童合法权益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eastAsia="zh-CN"/>
              </w:rPr>
              <w:t>依法保障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eastAsia="zh-CN"/>
              </w:rPr>
              <w:t>依法保障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eastAsia="zh-CN"/>
              </w:rPr>
              <w:t>依法保障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指标：持续帮助困境妇女儿童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持续帮助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持续帮助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持续帮助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满意度（2）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指标：培训对象满意度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90%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90%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合计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100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绩效等级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exac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主要成效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34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一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凝心聚力、踔厉奋进，妇女思想引领不断强化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实施党的二十大“声动基层”行动，组织市级巾帼宣讲团和14支镇级巾帼宣讲队走进机关、基层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和姐妹微家等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，开展形式多样的宣讲活动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累计宣讲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0余场，覆盖1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4000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余人。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深入推进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文明创建工作，常态开展巾帼志愿服务，“雉水大妈说”获评江苏省巾帼志愿服务十大优秀项目。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守正创新、开拓进取，妇女发展空间更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加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广阔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推进乡村振兴巾帼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行动，联合人社局开展“春风行动送岗位 家政培训促就业”女性专场招聘活动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。举办育婴员职业技能培训班和巾帼电商培训班，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0余人参训并参加证书考试；配合南通妇联开展好“送教下乡”活动。持续推进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美丽庭院创建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，印发《如皋市“美家美户，美好‘院’景”行动实施方案》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。今年已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命名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如皋市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“美丽庭院”示范户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0户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；推荐选树南通市美丽庭院一星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7"/>
                <w:szCs w:val="17"/>
                <w:lang w:val="en-US" w:eastAsia="zh-CN"/>
              </w:rPr>
              <w:t>435户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7"/>
                <w:szCs w:val="17"/>
                <w:lang w:eastAsia="zh-CN"/>
              </w:rPr>
              <w:t>、三星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7"/>
                <w:szCs w:val="17"/>
                <w:lang w:val="en-US" w:eastAsia="zh-CN"/>
              </w:rPr>
              <w:t>175户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7"/>
                <w:szCs w:val="17"/>
                <w:lang w:eastAsia="zh-CN"/>
              </w:rPr>
              <w:t>、五星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7"/>
                <w:szCs w:val="17"/>
                <w:lang w:val="en-US" w:eastAsia="zh-CN"/>
              </w:rPr>
              <w:t>50户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。深化巾帼建功行动，出台《如皋市“巾帼文明岗”管理办法》，加强对各级巾帼文明岗的管理监督。持续推进妇女“双学双比”活动，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6个基地、2个村（社区）获评南通级示范基地，获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奖补资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金14万元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。承办南通市第六届“通创荟”巾帼科技创新大赛，如皋妇联获优秀组织奖，参赛项目共获二等奖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1个、三等奖3个、优秀奖2个、鼓励奖4个；2个项目晋级2023江苏巾帼科技创新大赛创意组比赛十强。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筑基提质、倡扬新风，家庭家教家风持续向好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常态开展寻访“最美家庭”活动，表彰如皋市“最美家庭”10户。5户家庭获评南通市“最美家庭”，2户家庭获评江苏省“最美家庭”。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实施赋能社区家庭成长计划，创设丰富多彩的“第三课堂”，赋能家庭“第一课堂”，延伸学校“第二课堂”，推动家校社融合发展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大力推进“一户一策”困境妇女儿童家庭精准微关爱服务，组织机关工作人员每人联系5-7户家庭进行逐户走访，确保摸清实情；依托省儿基会49万元善款，进一步优化方案、强化举措、细化内容，从物质和精神层面为50户家庭提供专业、精准、贴心的服务。六一期间，市领导带队走访慰问了54名“一户一策”困境家庭儿童。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四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担当作为、履职尽责，维权服务能力有效提升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深入实施“十四五”妇女儿童发展规划，推动男女平等基本国策教育纳入国民教育体系。深入推进“平安家庭”创建，大力开展普法宣传活动。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</w:rPr>
              <w:t>实施巾帼皋谭——听“她”说法项目，成立由“女法官+女律师”组成的“巾巾普法”宣讲队，线上线下融合开展普法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eastAsia="zh-CN"/>
              </w:rPr>
              <w:t>推进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</w:rPr>
              <w:t>省“我助妇儿康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</w:rPr>
              <w:t>妇儿权益维护与安全守护课堂”项目，开展防性侵、家暴、意外等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eastAsia="zh-CN"/>
              </w:rPr>
              <w:t>公益讲座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</w:rPr>
              <w:t>场次，惠及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</w:rPr>
              <w:t>000余人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eastAsia="zh-CN"/>
              </w:rPr>
              <w:t>。持续完善“法院+妇联”家事纠纷多元化解机制，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探索建立王桂兰家事调解“1+6+N”工作机制，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eastAsia="zh-CN"/>
              </w:rPr>
              <w:t>推动在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val="en-US" w:eastAsia="zh-CN"/>
              </w:rPr>
              <w:t>6家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eastAsia="zh-CN"/>
              </w:rPr>
              <w:t>基层法庭建立“王桂兰家事调解工作室”基层法庭工作站。常态开展“两癌”贫困妇女救助工作，成功申请救助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eastAsia="zh-CN"/>
              </w:rPr>
              <w:t>人，每人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五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深化改革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</w:rPr>
              <w:t>夯实基础，妇联组织建设更有活力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7"/>
                <w:szCs w:val="17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扎实开展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学习贯彻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习近平新时代中国特色社会主义思想主题教育，有序推进学习、研讨等步骤。强化妇联组织建设，持续推动镇（区、街道）妇联换届“回头看”、优秀“双员”与妇联执委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交叉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任职，配齐配强主席和执委；联合市委市级机关工委发出妇联改选提醒函，指导市级机关各部门开展好妇联换届工作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实施“链接她力量 激活新动能”项目，走访摸排特色产业链女性从业人员情况，推动建成智能家居产业链妇联、科技创业园妇联、医疗器械产业联盟妇联。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 w:bidi="ar"/>
              </w:rPr>
              <w:t>持续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</w:rPr>
              <w:t>关爱新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7"/>
                <w:szCs w:val="17"/>
                <w:lang w:val="en-US" w:eastAsia="zh-CN"/>
              </w:rPr>
              <w:t>业态新就业群体女性，开展了美团妇女党员冬训、文峰大世界女员工心理关爱等活动。杨敏当选中国妇女第十三次全国代表大会代表。为妇女和妇联干部充电赋能，举办为期10天的妇女干部培训班，37名优秀科级和后备女干部参训；举办妇联干部业务培训班，52名市镇村三级妇联干部参训。大兴调查研究之风，出台《如皋市妇联调查研究实施方案》，班子成员分组带队，深入基层，开展走访调研，推动问题解决。倾力打造“如小福”IP形象，进一步提高如皋妇联的辨识度和延展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 w:firstLine="3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 w:firstLine="3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绩效目标设置不够精细，绩效考核评价依据不够完善等。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整改举措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合理设置绩效目标。绩效目标的设置既要符合实际情况，又要切实可行，为绩效评价奠定基础。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headerReference r:id="rId3" w:type="default"/>
      <w:footerReference r:id="rId4" w:type="default"/>
      <w:pgSz w:w="11900" w:h="16820"/>
      <w:pgMar w:top="1417" w:right="1587" w:bottom="1417" w:left="1587" w:header="720" w:footer="1247" w:gutter="0"/>
      <w:pgNumType w:fmt="decimal"/>
      <w:cols w:space="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TFkMDZmZmJmOTlhOTc5ZTAzN2QwMzAyMGRmN2UifQ=="/>
  </w:docVars>
  <w:rsids>
    <w:rsidRoot w:val="00000000"/>
    <w:rsid w:val="00EC2DBB"/>
    <w:rsid w:val="05AB0957"/>
    <w:rsid w:val="089266FC"/>
    <w:rsid w:val="0B1D329D"/>
    <w:rsid w:val="0B4C0949"/>
    <w:rsid w:val="0FFC6B9F"/>
    <w:rsid w:val="12B019D2"/>
    <w:rsid w:val="13CA195F"/>
    <w:rsid w:val="14925032"/>
    <w:rsid w:val="157A2EF1"/>
    <w:rsid w:val="15B16537"/>
    <w:rsid w:val="1BF36283"/>
    <w:rsid w:val="1C256DF2"/>
    <w:rsid w:val="1EBF04B3"/>
    <w:rsid w:val="202C4BF3"/>
    <w:rsid w:val="203F5ADD"/>
    <w:rsid w:val="226D5A88"/>
    <w:rsid w:val="239E3AE2"/>
    <w:rsid w:val="259A483C"/>
    <w:rsid w:val="284F5D34"/>
    <w:rsid w:val="28713F75"/>
    <w:rsid w:val="2CD3732F"/>
    <w:rsid w:val="2D083D0C"/>
    <w:rsid w:val="2DEC14EC"/>
    <w:rsid w:val="2F5F189F"/>
    <w:rsid w:val="326D5E1F"/>
    <w:rsid w:val="32F93222"/>
    <w:rsid w:val="330B2F05"/>
    <w:rsid w:val="39B52B57"/>
    <w:rsid w:val="3D894157"/>
    <w:rsid w:val="401E5D57"/>
    <w:rsid w:val="405B5917"/>
    <w:rsid w:val="43927A0F"/>
    <w:rsid w:val="47B45A03"/>
    <w:rsid w:val="4A4F0B31"/>
    <w:rsid w:val="4F5766E8"/>
    <w:rsid w:val="4F8369DB"/>
    <w:rsid w:val="52F3242F"/>
    <w:rsid w:val="55B801C0"/>
    <w:rsid w:val="56927E72"/>
    <w:rsid w:val="5699538C"/>
    <w:rsid w:val="5AB7453F"/>
    <w:rsid w:val="5AD8307A"/>
    <w:rsid w:val="5C1C3421"/>
    <w:rsid w:val="5C476C0B"/>
    <w:rsid w:val="63F847F1"/>
    <w:rsid w:val="666D1E39"/>
    <w:rsid w:val="684E157C"/>
    <w:rsid w:val="6A207E04"/>
    <w:rsid w:val="6B7A275A"/>
    <w:rsid w:val="6C3F32E1"/>
    <w:rsid w:val="6D926657"/>
    <w:rsid w:val="6E872B8D"/>
    <w:rsid w:val="6FA53180"/>
    <w:rsid w:val="6FB46346"/>
    <w:rsid w:val="702B0379"/>
    <w:rsid w:val="71C475DB"/>
    <w:rsid w:val="74543C5E"/>
    <w:rsid w:val="761B2CB5"/>
    <w:rsid w:val="788724C4"/>
    <w:rsid w:val="788F10FC"/>
    <w:rsid w:val="7C351A2B"/>
    <w:rsid w:val="7DE3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仿宋" w:cs="仿宋_GB2312" w:asciiTheme="minorHAnsi" w:hAnsiTheme="minorHAnsi"/>
      <w:b/>
      <w:kern w:val="0"/>
      <w:sz w:val="28"/>
      <w:szCs w:val="28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99"/>
    <w:rPr>
      <w:rFonts w:ascii="Times New Roman" w:hAnsi="Times New Roman" w:cs="Times New Roman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Normal_1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2020-12-08T07:17:00Z</dcterms:created>
  <dc:creator>Administrator</dc:creator>
  <cp:lastModifiedBy>快乐</cp:lastModifiedBy>
  <cp:lastPrinted>2023-03-03T02:41:00Z</cp:lastPrinted>
  <dcterms:modified xsi:type="dcterms:W3CDTF">2024-09-06T08:51:45Z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A4A2F83C8519492AA7557C45BA735CF3</vt:lpwstr>
  </property>
</Properties>
</file>