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关于进一步规范城市基础设施配套费征收管理的意见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（征求意见稿）》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公开征求意见的函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为进一步规范我市城市基础设施配套费征收管理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工作，根据有关文件规定，结合我市实际，市财政局起草了《关于进一步规范城市基础设施配套费征收管理的意见》（征求意见稿），现向社会公开征求意见，公众如有意见建议，可通过以下方式在1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日前提出：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1.电子邮箱：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instrText xml:space="preserve"> HYPERLINK "mailto:rgczgkk@163.com"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rgczgkk@163.com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2.通过信函方式将意见寄至：如皋市解放路199号如皋市财政局综合科（邮政编码：226500）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《关于进一步规范城市基础设施配套费征收管理的意见（征求意见稿）》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如皋市财政局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2025年11月17日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关于进一步规范城市基础设施配套费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征收管理的意见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（征求意见稿）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为进一步规范我市城市基础设施配套费征收管理，根据</w:t>
      </w:r>
      <w:r>
        <w:rPr>
          <w:rFonts w:hint="eastAsia" w:ascii="Times" w:hAnsi="Times" w:eastAsia="仿宋_GB2312"/>
          <w:sz w:val="32"/>
          <w:szCs w:val="32"/>
        </w:rPr>
        <w:t>《政府非税收入管理办法》（财税〔2016〕33号）、《财政部关于印发</w:t>
      </w:r>
      <w:r>
        <w:rPr>
          <w:rFonts w:hint="eastAsia" w:ascii="仿宋_GB2312" w:hAnsi="Times" w:eastAsia="仿宋_GB2312"/>
          <w:sz w:val="32"/>
          <w:szCs w:val="32"/>
        </w:rPr>
        <w:t>〈</w:t>
      </w:r>
      <w:r>
        <w:rPr>
          <w:rFonts w:hint="eastAsia" w:ascii="Times" w:hAnsi="Times" w:eastAsia="仿宋_GB2312"/>
          <w:sz w:val="32"/>
          <w:szCs w:val="32"/>
        </w:rPr>
        <w:t>政府性基金管理暂行办法</w:t>
      </w:r>
      <w:r>
        <w:rPr>
          <w:rFonts w:hint="eastAsia" w:ascii="仿宋_GB2312" w:hAnsi="Times" w:eastAsia="仿宋_GB2312"/>
          <w:sz w:val="32"/>
          <w:szCs w:val="32"/>
        </w:rPr>
        <w:t>〉</w:t>
      </w:r>
      <w:r>
        <w:rPr>
          <w:rFonts w:hint="eastAsia" w:ascii="Times" w:hAnsi="Times" w:eastAsia="仿宋_GB2312"/>
          <w:sz w:val="32"/>
          <w:szCs w:val="32"/>
        </w:rPr>
        <w:t>的通知》（财综〔2010〕80号）</w:t>
      </w:r>
      <w:r>
        <w:rPr>
          <w:rFonts w:hint="eastAsia" w:ascii="Times" w:hAnsi="Times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《江苏省财政厅关于公布202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年江苏省政府性基金项目目录的通知》（苏财综〔202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有关文件，结合我市实际，制定本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一、适用范围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凡在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如皋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行政区域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范围内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国有土地上新建、改建、扩建的建设项目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，建设单位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或个人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应按照本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缴纳城市基础设施配套费。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二、征收标准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严格执行《江苏省财政厅关于公布202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年江苏省政府性基金项目目录的通知》（苏财综〔202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号）文件精神。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主城区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建设工程规划许可证核准的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建筑面积每平方米75元缴纳；其他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内建筑项目，按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建设工程规划许可证核准的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建筑面积缴纳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，其中工业项目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每平方米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30元，非工业项目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每平方米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40元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主城区：北至白茅港，东至宁启铁路，南至龙游湖、大明河、惠政路，西至如海运河、邓桥路。（见附图）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征收单位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仿宋_GB2312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城市基础设施配套费由市住房和城乡建设局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（以下简称市住建局）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负责征收。市财政局负责资金收取。市数据局、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市自然资源和规划局（以下简称市资规局）、镇（区、街道）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单位协助做好城市基础设施配套费的征收工作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下列建设项目免征配套费：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（一）保障性安居工程；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（含幼儿园）</w:t>
      </w:r>
      <w:r>
        <w:rPr>
          <w:rFonts w:hint="eastAsia" w:ascii="仿宋_GB2312" w:hAnsi="仿宋_GB2312" w:eastAsia="仿宋_GB2312" w:cs="仿宋_GB2312"/>
          <w:sz w:val="32"/>
          <w:szCs w:val="32"/>
        </w:rPr>
        <w:t>校舍安全工程；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）易地扶贫搬迁项目；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国家和省另有减免规定的，从其规定。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下列建设项目应当补缴城市基础设施配套费：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面积超过规划许可证面积的；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已减免配套费的建设项目，改变使用性质、用途后不再符合减免条件的；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违法建筑经认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予以保留的；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按照规定应当补缴配套费的其他情形。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、征收程序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建设工程规划许可证发放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市数据局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开具《城市基础设施配套费缴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费联系单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（以下简称“缴费联系单”），缴款人按照缴费联系单至市住建局窗口办理缴费。如皋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经济技术开发区范围内的工业项目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由经济技术开发区行政审批局开具缴费联系单，缴款人按照缴费联系单足额缴纳城市基础设施配套费。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（二）符合减征或免征条件的，缴款人应当向市住建局提交减免申请及相关真实有效的证明材料。市住建局应当及时向缴费人出具城市基础设施配套费减免证明材料。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在出具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建筑工程质量监督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报告时，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应当查验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城市基础设施配套费缴清或减免证明材料。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发现应当补缴城市基础设施配套费情形的，由发现部门及时移交市住建局，由市住建局实施征收。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Times" w:hAnsi="Times" w:eastAsia="仿宋_GB2312"/>
          <w:sz w:val="32"/>
          <w:szCs w:val="32"/>
        </w:rPr>
        <w:t>临时建筑城市基础设施配套费的征收参照永久建筑，在发放临时建筑</w:t>
      </w:r>
      <w:r>
        <w:rPr>
          <w:rFonts w:hint="eastAsia" w:ascii="Times" w:hAnsi="Times" w:eastAsia="仿宋_GB2312"/>
          <w:sz w:val="32"/>
          <w:szCs w:val="32"/>
          <w:lang w:eastAsia="zh-CN"/>
        </w:rPr>
        <w:t>工程规划许可证</w:t>
      </w:r>
      <w:r>
        <w:rPr>
          <w:rFonts w:hint="eastAsia" w:ascii="Times" w:hAnsi="Times" w:eastAsia="仿宋_GB2312"/>
          <w:sz w:val="32"/>
          <w:szCs w:val="32"/>
        </w:rPr>
        <w:t>前，由市</w:t>
      </w:r>
      <w:r>
        <w:rPr>
          <w:rFonts w:hint="eastAsia" w:ascii="Times" w:hAnsi="Times" w:eastAsia="仿宋_GB2312"/>
          <w:sz w:val="32"/>
          <w:szCs w:val="32"/>
          <w:lang w:eastAsia="zh-CN"/>
        </w:rPr>
        <w:t>数据</w:t>
      </w:r>
      <w:r>
        <w:rPr>
          <w:rFonts w:hint="eastAsia" w:ascii="Times" w:hAnsi="Times" w:eastAsia="仿宋_GB2312"/>
          <w:sz w:val="32"/>
          <w:szCs w:val="32"/>
        </w:rPr>
        <w:t>局开具</w:t>
      </w:r>
      <w:r>
        <w:rPr>
          <w:rFonts w:hint="eastAsia" w:ascii="仿宋_GB2312" w:hAnsi="仿宋_GB2312" w:eastAsia="仿宋_GB2312" w:cs="仿宋_GB2312"/>
          <w:sz w:val="32"/>
          <w:szCs w:val="32"/>
        </w:rPr>
        <w:t>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费联系单</w:t>
      </w:r>
      <w:r>
        <w:rPr>
          <w:rFonts w:hint="eastAsia" w:ascii="Times" w:hAnsi="Times" w:eastAsia="仿宋_GB2312"/>
          <w:sz w:val="32"/>
          <w:szCs w:val="32"/>
        </w:rPr>
        <w:t>，征收标准与永久建筑一致。临时建筑在有效期内拆除的，城市基础设施配套费全额无息退还，由建设单位向市住建局发起申请并提供相关证明材料，市住建局审批通过后，由市财政局退费。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、规范管理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城市基础设施配套费按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规定纳入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性基金预算管理。收取城市基础设施配套费应开具财政部门统一监（印）制的财政票据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，使用“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1030156城市基础设施配套费收入”科目。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除法律、行政法规和中共中央、国务院或者财政部规定外，其他任何部门、单位和地方各级人民政府均不得减征、免征、缓征、停征或者撤销政府性基金。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市住建局应按规定及时足额征收城市基础设施配套费，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做好分镇区情况统计，每半年向市财政局提供到镇明细表。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市财政局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根据市住建局提供的到镇明细表，每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年全额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结算至各镇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区（高新区除外）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缴纳义务人无正当理由不申报、不缴纳配套费的，征收单位可以依法通过制作并送达《城市基础设施配套费限期申报通知书》《城市基础设施配套费催缴通知书》等方式催报催缴。经催缴仍不缴纳的，依法送达《城市基础设施配套费征缴决定书》，责令其限期缴纳；逾期仍不缴纳的，依法申请人民法院强制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缴纳义务人经催缴仍拒绝缴纳配套费、经依法认定构成失信行为的，按照规定将其失信信息归集至公共信用信息平台，实施信用监管。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70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本意见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有效期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年  月  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如上级有新的规定出台，按照新的规定执行。自本意见发文起，原市级及各镇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自行制定的各类关于城市基础设施配套费的相关文件等不再执行。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753100" cy="8186420"/>
            <wp:effectExtent l="0" t="0" r="0" b="5080"/>
            <wp:docPr id="3" name="图片 3" descr="ae88c89a8893a793bfb174440721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88c89a8893a793bfb1744407216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D12AF"/>
    <w:multiLevelType w:val="singleLevel"/>
    <w:tmpl w:val="0C2D12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28406"/>
    <w:multiLevelType w:val="singleLevel"/>
    <w:tmpl w:val="5A0284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68F"/>
    <w:rsid w:val="006B775E"/>
    <w:rsid w:val="02F73D2A"/>
    <w:rsid w:val="03D84578"/>
    <w:rsid w:val="053C1CEA"/>
    <w:rsid w:val="06B82B2B"/>
    <w:rsid w:val="08E26922"/>
    <w:rsid w:val="09474ECA"/>
    <w:rsid w:val="0D0074F0"/>
    <w:rsid w:val="0F3E3610"/>
    <w:rsid w:val="13320EDF"/>
    <w:rsid w:val="13532C9F"/>
    <w:rsid w:val="13B30757"/>
    <w:rsid w:val="14301057"/>
    <w:rsid w:val="198C0124"/>
    <w:rsid w:val="19AF4B18"/>
    <w:rsid w:val="1B961E21"/>
    <w:rsid w:val="1DD81E3B"/>
    <w:rsid w:val="1E213394"/>
    <w:rsid w:val="213029DA"/>
    <w:rsid w:val="28156467"/>
    <w:rsid w:val="287305AE"/>
    <w:rsid w:val="2CD34994"/>
    <w:rsid w:val="2DAE165C"/>
    <w:rsid w:val="2EB71582"/>
    <w:rsid w:val="317A619A"/>
    <w:rsid w:val="33D6084F"/>
    <w:rsid w:val="35415611"/>
    <w:rsid w:val="367052EB"/>
    <w:rsid w:val="370A14C8"/>
    <w:rsid w:val="37AD2EE5"/>
    <w:rsid w:val="3A4E2152"/>
    <w:rsid w:val="3B671455"/>
    <w:rsid w:val="40B639CC"/>
    <w:rsid w:val="41D72EA0"/>
    <w:rsid w:val="438C38A3"/>
    <w:rsid w:val="43C47316"/>
    <w:rsid w:val="44DB5CFD"/>
    <w:rsid w:val="460D480B"/>
    <w:rsid w:val="49FE34AC"/>
    <w:rsid w:val="4A2F5DA5"/>
    <w:rsid w:val="4AD437FB"/>
    <w:rsid w:val="4C707711"/>
    <w:rsid w:val="4D052946"/>
    <w:rsid w:val="584D3754"/>
    <w:rsid w:val="5A7D2AC5"/>
    <w:rsid w:val="65BF57C6"/>
    <w:rsid w:val="675F03A8"/>
    <w:rsid w:val="6A326185"/>
    <w:rsid w:val="6D955CB8"/>
    <w:rsid w:val="76D6502F"/>
    <w:rsid w:val="79444035"/>
    <w:rsid w:val="796B589F"/>
    <w:rsid w:val="7CB62281"/>
    <w:rsid w:val="7DA3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90" w:lineRule="exact"/>
      <w:ind w:firstLine="200" w:firstLineChars="200"/>
    </w:pPr>
    <w:rPr>
      <w:rFonts w:ascii="Times New Roman" w:hAnsi="Times New Roman" w:eastAsia="仿宋_GB2312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2025-09-04T01:30:00Z</dcterms:created>
  <dc:creator>Administrator</dc:creator>
  <cp:lastModifiedBy>90果果</cp:lastModifiedBy>
  <cp:lastPrinted>2025-11-13T02:30:00Z</cp:lastPrinted>
  <dcterms:modified xsi:type="dcterms:W3CDTF">2025-11-17T00:53:51Z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70A4CB8027B54D19A07A823ED9EC2230</vt:lpwstr>
  </property>
</Properties>
</file>